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BB9761">
      <w:pPr>
        <w:autoSpaceDE w:val="0"/>
        <w:autoSpaceDN w:val="0"/>
        <w:spacing w:line="360" w:lineRule="auto"/>
        <w:jc w:val="center"/>
        <w:rPr>
          <w:rFonts w:hint="eastAsia" w:ascii="Times New Roman" w:hAnsi="Times New Roman" w:eastAsia="黑体" w:cs="Times New Roman"/>
          <w:b/>
          <w:color w:val="auto"/>
          <w:sz w:val="44"/>
          <w:szCs w:val="44"/>
          <w:u w:val="none" w:color="auto"/>
        </w:rPr>
      </w:pPr>
    </w:p>
    <w:p w14:paraId="5F9F51DD">
      <w:pPr>
        <w:autoSpaceDE w:val="0"/>
        <w:autoSpaceDN w:val="0"/>
        <w:spacing w:line="360" w:lineRule="auto"/>
        <w:jc w:val="center"/>
        <w:rPr>
          <w:rFonts w:hint="eastAsia" w:ascii="Times New Roman" w:hAnsi="Times New Roman" w:eastAsia="黑体" w:cs="Times New Roman"/>
          <w:b/>
          <w:color w:val="auto"/>
          <w:sz w:val="44"/>
          <w:szCs w:val="44"/>
          <w:u w:val="none" w:color="auto"/>
        </w:rPr>
      </w:pPr>
    </w:p>
    <w:p w14:paraId="4243A377">
      <w:pPr>
        <w:autoSpaceDE w:val="0"/>
        <w:autoSpaceDN w:val="0"/>
        <w:spacing w:line="360" w:lineRule="auto"/>
        <w:jc w:val="center"/>
        <w:rPr>
          <w:rFonts w:hint="eastAsia" w:ascii="Times New Roman" w:hAnsi="Times New Roman" w:eastAsia="黑体" w:cs="Times New Roman"/>
          <w:b/>
          <w:color w:val="auto"/>
          <w:sz w:val="44"/>
          <w:szCs w:val="44"/>
          <w:u w:val="none" w:color="auto"/>
        </w:rPr>
      </w:pPr>
    </w:p>
    <w:p w14:paraId="1EE58070">
      <w:pPr>
        <w:autoSpaceDE w:val="0"/>
        <w:autoSpaceDN w:val="0"/>
        <w:spacing w:line="360" w:lineRule="auto"/>
        <w:jc w:val="center"/>
        <w:rPr>
          <w:rFonts w:hint="eastAsia" w:ascii="Times New Roman" w:hAnsi="Times New Roman" w:eastAsia="黑体" w:cs="Times New Roman"/>
          <w:b/>
          <w:color w:val="auto"/>
          <w:sz w:val="44"/>
          <w:szCs w:val="44"/>
          <w:u w:val="none" w:color="auto"/>
          <w:lang w:eastAsia="zh-CN"/>
        </w:rPr>
      </w:pPr>
      <w:r>
        <w:rPr>
          <w:rFonts w:hint="eastAsia" w:ascii="Times New Roman" w:hAnsi="Times New Roman" w:eastAsia="黑体" w:cs="Times New Roman"/>
          <w:b/>
          <w:color w:val="auto"/>
          <w:sz w:val="44"/>
          <w:szCs w:val="44"/>
          <w:u w:val="none" w:color="auto"/>
          <w:lang w:eastAsia="zh-CN"/>
        </w:rPr>
        <w:t>钦州锦峰海洋重装二期项目</w:t>
      </w:r>
    </w:p>
    <w:p w14:paraId="7BEEB33B">
      <w:pPr>
        <w:autoSpaceDE w:val="0"/>
        <w:autoSpaceDN w:val="0"/>
        <w:spacing w:line="360" w:lineRule="auto"/>
        <w:jc w:val="center"/>
        <w:rPr>
          <w:rFonts w:ascii="Times New Roman" w:hAnsi="Times New Roman" w:eastAsia="黑体" w:cs="Times New Roman"/>
          <w:b/>
          <w:color w:val="auto"/>
          <w:sz w:val="52"/>
          <w:szCs w:val="52"/>
          <w:u w:val="none" w:color="auto"/>
        </w:rPr>
      </w:pPr>
    </w:p>
    <w:p w14:paraId="7E19D558">
      <w:pPr>
        <w:autoSpaceDE w:val="0"/>
        <w:autoSpaceDN w:val="0"/>
        <w:spacing w:line="360" w:lineRule="auto"/>
        <w:jc w:val="center"/>
        <w:rPr>
          <w:rFonts w:ascii="Times New Roman" w:hAnsi="Times New Roman" w:eastAsia="黑体" w:cs="Times New Roman"/>
          <w:b/>
          <w:color w:val="auto"/>
          <w:sz w:val="84"/>
          <w:szCs w:val="84"/>
          <w:u w:val="none" w:color="auto"/>
        </w:rPr>
      </w:pPr>
      <w:r>
        <w:rPr>
          <w:rFonts w:ascii="Times New Roman" w:hAnsi="Times New Roman" w:eastAsia="黑体" w:cs="Times New Roman"/>
          <w:b/>
          <w:color w:val="auto"/>
          <w:sz w:val="84"/>
          <w:szCs w:val="84"/>
          <w:u w:val="none" w:color="auto"/>
        </w:rPr>
        <w:t>环境影响报告书</w:t>
      </w:r>
    </w:p>
    <w:p w14:paraId="5372C580">
      <w:pPr>
        <w:autoSpaceDE w:val="0"/>
        <w:autoSpaceDN w:val="0"/>
        <w:spacing w:line="360" w:lineRule="auto"/>
        <w:jc w:val="center"/>
        <w:rPr>
          <w:rFonts w:ascii="Times New Roman" w:hAnsi="Times New Roman" w:cs="Times New Roman"/>
          <w:b/>
          <w:color w:val="auto"/>
          <w:sz w:val="44"/>
          <w:szCs w:val="44"/>
          <w:u w:val="none" w:color="auto"/>
        </w:rPr>
      </w:pPr>
      <w:r>
        <w:rPr>
          <w:rFonts w:ascii="Times New Roman" w:hAnsi="Times New Roman" w:cs="Times New Roman"/>
          <w:b/>
          <w:color w:val="auto"/>
          <w:sz w:val="44"/>
          <w:szCs w:val="44"/>
          <w:u w:val="none" w:color="auto"/>
        </w:rPr>
        <w:t>（</w:t>
      </w:r>
      <w:r>
        <w:rPr>
          <w:rFonts w:hint="eastAsia" w:ascii="Times New Roman" w:hAnsi="Times New Roman" w:cs="Times New Roman"/>
          <w:b/>
          <w:color w:val="auto"/>
          <w:sz w:val="44"/>
          <w:szCs w:val="44"/>
          <w:u w:val="none" w:color="auto"/>
          <w:lang w:val="en-US" w:eastAsia="zh-CN"/>
        </w:rPr>
        <w:t>公示本</w:t>
      </w:r>
      <w:r>
        <w:rPr>
          <w:rFonts w:ascii="Times New Roman" w:hAnsi="Times New Roman" w:cs="Times New Roman"/>
          <w:b/>
          <w:color w:val="auto"/>
          <w:sz w:val="44"/>
          <w:szCs w:val="44"/>
          <w:u w:val="none" w:color="auto"/>
        </w:rPr>
        <w:t>）</w:t>
      </w:r>
    </w:p>
    <w:p w14:paraId="1E5A50EA">
      <w:pPr>
        <w:autoSpaceDE w:val="0"/>
        <w:autoSpaceDN w:val="0"/>
        <w:spacing w:line="360" w:lineRule="auto"/>
        <w:jc w:val="center"/>
        <w:rPr>
          <w:rFonts w:ascii="Times New Roman" w:hAnsi="Times New Roman" w:cs="Times New Roman"/>
          <w:color w:val="auto"/>
          <w:u w:val="none" w:color="auto"/>
        </w:rPr>
      </w:pPr>
    </w:p>
    <w:p w14:paraId="4BB9ABEC">
      <w:pPr>
        <w:autoSpaceDE w:val="0"/>
        <w:autoSpaceDN w:val="0"/>
        <w:spacing w:line="360" w:lineRule="auto"/>
        <w:jc w:val="center"/>
        <w:rPr>
          <w:rFonts w:ascii="Times New Roman" w:hAnsi="Times New Roman" w:cs="Times New Roman"/>
          <w:color w:val="auto"/>
          <w:u w:val="none" w:color="auto"/>
        </w:rPr>
      </w:pPr>
    </w:p>
    <w:p w14:paraId="746AA77A">
      <w:pPr>
        <w:autoSpaceDE w:val="0"/>
        <w:autoSpaceDN w:val="0"/>
        <w:spacing w:line="360" w:lineRule="auto"/>
        <w:jc w:val="center"/>
        <w:rPr>
          <w:rFonts w:ascii="Times New Roman" w:hAnsi="Times New Roman" w:cs="Times New Roman"/>
          <w:color w:val="auto"/>
          <w:u w:val="none" w:color="auto"/>
        </w:rPr>
      </w:pPr>
    </w:p>
    <w:p w14:paraId="55DB65B8">
      <w:pPr>
        <w:autoSpaceDE w:val="0"/>
        <w:autoSpaceDN w:val="0"/>
        <w:spacing w:line="360" w:lineRule="auto"/>
        <w:jc w:val="center"/>
        <w:rPr>
          <w:rFonts w:ascii="Times New Roman" w:hAnsi="Times New Roman" w:cs="Times New Roman"/>
          <w:color w:val="auto"/>
          <w:u w:val="none" w:color="auto"/>
        </w:rPr>
      </w:pPr>
    </w:p>
    <w:p w14:paraId="438DE0D4">
      <w:pPr>
        <w:autoSpaceDE w:val="0"/>
        <w:autoSpaceDN w:val="0"/>
        <w:spacing w:line="360" w:lineRule="auto"/>
        <w:jc w:val="center"/>
        <w:rPr>
          <w:rFonts w:ascii="Times New Roman" w:hAnsi="Times New Roman" w:cs="Times New Roman"/>
          <w:color w:val="auto"/>
          <w:u w:val="none" w:color="auto"/>
        </w:rPr>
      </w:pPr>
    </w:p>
    <w:p w14:paraId="6E5E2934">
      <w:pPr>
        <w:autoSpaceDE w:val="0"/>
        <w:autoSpaceDN w:val="0"/>
        <w:spacing w:line="360" w:lineRule="auto"/>
        <w:jc w:val="center"/>
        <w:rPr>
          <w:rFonts w:ascii="Times New Roman" w:hAnsi="Times New Roman" w:cs="Times New Roman"/>
          <w:color w:val="auto"/>
          <w:u w:val="none" w:color="auto"/>
        </w:rPr>
      </w:pPr>
    </w:p>
    <w:p w14:paraId="0EF63BD9">
      <w:pPr>
        <w:autoSpaceDE w:val="0"/>
        <w:autoSpaceDN w:val="0"/>
        <w:spacing w:line="360" w:lineRule="auto"/>
        <w:jc w:val="center"/>
        <w:rPr>
          <w:rFonts w:ascii="Times New Roman" w:hAnsi="Times New Roman" w:cs="Times New Roman"/>
          <w:color w:val="auto"/>
          <w:u w:val="none" w:color="auto"/>
        </w:rPr>
      </w:pPr>
    </w:p>
    <w:p w14:paraId="22CE560D">
      <w:pPr>
        <w:autoSpaceDE w:val="0"/>
        <w:autoSpaceDN w:val="0"/>
        <w:spacing w:line="360" w:lineRule="auto"/>
        <w:jc w:val="center"/>
        <w:rPr>
          <w:rFonts w:ascii="Times New Roman" w:hAnsi="Times New Roman" w:cs="Times New Roman"/>
          <w:color w:val="auto"/>
          <w:u w:val="none" w:color="auto"/>
        </w:rPr>
      </w:pPr>
    </w:p>
    <w:p w14:paraId="35E29A17">
      <w:pPr>
        <w:autoSpaceDE w:val="0"/>
        <w:autoSpaceDN w:val="0"/>
        <w:spacing w:line="360" w:lineRule="auto"/>
        <w:jc w:val="center"/>
        <w:rPr>
          <w:rFonts w:ascii="Times New Roman" w:hAnsi="Times New Roman" w:cs="Times New Roman"/>
          <w:color w:val="auto"/>
          <w:u w:val="none" w:color="auto"/>
        </w:rPr>
      </w:pPr>
    </w:p>
    <w:p w14:paraId="7351F06C">
      <w:pPr>
        <w:pStyle w:val="48"/>
        <w:rPr>
          <w:rFonts w:ascii="Times New Roman" w:hAnsi="Times New Roman" w:cs="Times New Roman"/>
          <w:color w:val="auto"/>
          <w:u w:val="none" w:color="auto"/>
        </w:rPr>
      </w:pPr>
    </w:p>
    <w:p w14:paraId="6AFAD81A">
      <w:pPr>
        <w:pStyle w:val="59"/>
        <w:rPr>
          <w:rFonts w:ascii="Times New Roman" w:hAnsi="Times New Roman" w:cs="Times New Roman"/>
          <w:color w:val="auto"/>
          <w:u w:val="none" w:color="auto"/>
        </w:rPr>
      </w:pPr>
    </w:p>
    <w:p w14:paraId="5247771B">
      <w:pPr>
        <w:rPr>
          <w:rFonts w:ascii="Times New Roman" w:hAnsi="Times New Roman" w:cs="Times New Roman"/>
          <w:color w:val="auto"/>
          <w:u w:val="none" w:color="auto"/>
        </w:rPr>
      </w:pPr>
    </w:p>
    <w:p w14:paraId="4A9BD355">
      <w:pPr>
        <w:pStyle w:val="48"/>
        <w:rPr>
          <w:rFonts w:ascii="Times New Roman" w:hAnsi="Times New Roman" w:cs="Times New Roman"/>
          <w:color w:val="auto"/>
          <w:u w:val="none" w:color="auto"/>
        </w:rPr>
      </w:pPr>
    </w:p>
    <w:p w14:paraId="4C0E44B4">
      <w:pPr>
        <w:pStyle w:val="59"/>
        <w:ind w:left="0" w:leftChars="0" w:firstLine="0" w:firstLineChars="0"/>
        <w:rPr>
          <w:color w:val="auto"/>
          <w:u w:val="none" w:color="auto"/>
        </w:rPr>
      </w:pPr>
    </w:p>
    <w:tbl>
      <w:tblPr>
        <w:tblStyle w:val="37"/>
        <w:tblW w:w="7088" w:type="dxa"/>
        <w:jc w:val="center"/>
        <w:tblLayout w:type="fixed"/>
        <w:tblCellMar>
          <w:top w:w="0" w:type="dxa"/>
          <w:left w:w="108" w:type="dxa"/>
          <w:bottom w:w="0" w:type="dxa"/>
          <w:right w:w="108" w:type="dxa"/>
        </w:tblCellMar>
      </w:tblPr>
      <w:tblGrid>
        <w:gridCol w:w="7088"/>
      </w:tblGrid>
      <w:tr w14:paraId="3F5DF27C">
        <w:tblPrEx>
          <w:tblCellMar>
            <w:top w:w="0" w:type="dxa"/>
            <w:left w:w="108" w:type="dxa"/>
            <w:bottom w:w="0" w:type="dxa"/>
            <w:right w:w="108" w:type="dxa"/>
          </w:tblCellMar>
        </w:tblPrEx>
        <w:trPr>
          <w:jc w:val="center"/>
        </w:trPr>
        <w:tc>
          <w:tcPr>
            <w:tcW w:w="7088" w:type="dxa"/>
          </w:tcPr>
          <w:p w14:paraId="7DD3EED5">
            <w:pPr>
              <w:autoSpaceDE w:val="0"/>
              <w:autoSpaceDN w:val="0"/>
              <w:spacing w:line="360" w:lineRule="auto"/>
              <w:jc w:val="left"/>
              <w:rPr>
                <w:rFonts w:ascii="Times New Roman" w:hAnsi="Times New Roman" w:eastAsia="楷体_GB2312" w:cs="Times New Roman"/>
                <w:color w:val="auto"/>
                <w:u w:val="none" w:color="auto"/>
              </w:rPr>
            </w:pPr>
            <w:r>
              <w:rPr>
                <w:rFonts w:ascii="Times New Roman" w:hAnsi="Times New Roman" w:eastAsia="楷体_GB2312" w:cs="Times New Roman"/>
                <w:b/>
                <w:color w:val="auto"/>
                <w:sz w:val="32"/>
                <w:u w:val="none" w:color="auto"/>
              </w:rPr>
              <w:t>建设单位：</w:t>
            </w:r>
            <w:r>
              <w:rPr>
                <w:rFonts w:hint="eastAsia" w:ascii="Times New Roman" w:hAnsi="Times New Roman" w:eastAsia="楷体_GB2312" w:cs="Times New Roman"/>
                <w:b/>
                <w:color w:val="auto"/>
                <w:sz w:val="32"/>
                <w:u w:val="none" w:color="auto"/>
              </w:rPr>
              <w:t>钦州锦峰海洋重工科技有限公司</w:t>
            </w:r>
          </w:p>
        </w:tc>
      </w:tr>
      <w:tr w14:paraId="79922F23">
        <w:tblPrEx>
          <w:tblCellMar>
            <w:top w:w="0" w:type="dxa"/>
            <w:left w:w="108" w:type="dxa"/>
            <w:bottom w:w="0" w:type="dxa"/>
            <w:right w:w="108" w:type="dxa"/>
          </w:tblCellMar>
        </w:tblPrEx>
        <w:trPr>
          <w:jc w:val="center"/>
        </w:trPr>
        <w:tc>
          <w:tcPr>
            <w:tcW w:w="7088" w:type="dxa"/>
          </w:tcPr>
          <w:p w14:paraId="3160EE0A">
            <w:pPr>
              <w:autoSpaceDE w:val="0"/>
              <w:autoSpaceDN w:val="0"/>
              <w:spacing w:line="360" w:lineRule="auto"/>
              <w:jc w:val="left"/>
              <w:rPr>
                <w:rFonts w:hint="eastAsia" w:ascii="Times New Roman" w:hAnsi="Times New Roman" w:eastAsia="楷体_GB2312" w:cs="Times New Roman"/>
                <w:color w:val="auto"/>
                <w:u w:val="none" w:color="auto"/>
                <w:lang w:eastAsia="zh-CN"/>
              </w:rPr>
            </w:pPr>
            <w:r>
              <w:rPr>
                <w:rFonts w:ascii="Times New Roman" w:hAnsi="Times New Roman" w:eastAsia="楷体_GB2312" w:cs="Times New Roman"/>
                <w:b/>
                <w:color w:val="auto"/>
                <w:sz w:val="32"/>
                <w:u w:val="none" w:color="auto"/>
              </w:rPr>
              <w:t>评价单位：</w:t>
            </w:r>
            <w:r>
              <w:rPr>
                <w:rFonts w:hint="eastAsia" w:ascii="Times New Roman" w:hAnsi="Times New Roman" w:eastAsia="楷体_GB2312" w:cs="Times New Roman"/>
                <w:b/>
                <w:color w:val="auto"/>
                <w:sz w:val="32"/>
                <w:u w:val="none" w:color="auto"/>
                <w:lang w:eastAsia="zh-CN"/>
              </w:rPr>
              <w:t>广东省智行环保工程设计院有限公司</w:t>
            </w:r>
          </w:p>
        </w:tc>
      </w:tr>
      <w:tr w14:paraId="4B3EA84E">
        <w:tblPrEx>
          <w:tblCellMar>
            <w:top w:w="0" w:type="dxa"/>
            <w:left w:w="108" w:type="dxa"/>
            <w:bottom w:w="0" w:type="dxa"/>
            <w:right w:w="108" w:type="dxa"/>
          </w:tblCellMar>
        </w:tblPrEx>
        <w:trPr>
          <w:jc w:val="center"/>
        </w:trPr>
        <w:tc>
          <w:tcPr>
            <w:tcW w:w="7088" w:type="dxa"/>
          </w:tcPr>
          <w:p w14:paraId="076B37CE">
            <w:pPr>
              <w:autoSpaceDE w:val="0"/>
              <w:autoSpaceDN w:val="0"/>
              <w:spacing w:line="360" w:lineRule="auto"/>
              <w:jc w:val="center"/>
              <w:rPr>
                <w:rFonts w:ascii="Times New Roman" w:hAnsi="Times New Roman" w:eastAsia="宋体" w:cs="Times New Roman"/>
                <w:color w:val="auto"/>
                <w:sz w:val="24"/>
                <w:szCs w:val="24"/>
                <w:u w:val="none" w:color="auto"/>
              </w:rPr>
            </w:pPr>
            <w:r>
              <w:rPr>
                <w:rFonts w:ascii="Times New Roman" w:hAnsi="Times New Roman" w:eastAsia="楷体_GB2312" w:cs="Times New Roman"/>
                <w:b/>
                <w:color w:val="auto"/>
                <w:sz w:val="32"/>
                <w:u w:val="single" w:color="auto"/>
              </w:rPr>
              <w:t>二Ｏ二</w:t>
            </w:r>
            <w:r>
              <w:rPr>
                <w:rFonts w:hint="eastAsia" w:ascii="Times New Roman" w:hAnsi="Times New Roman" w:eastAsia="楷体_GB2312" w:cs="Times New Roman"/>
                <w:b/>
                <w:color w:val="auto"/>
                <w:sz w:val="32"/>
                <w:u w:val="single" w:color="auto"/>
                <w:lang w:val="en-US" w:eastAsia="zh-CN"/>
              </w:rPr>
              <w:t>五</w:t>
            </w:r>
            <w:r>
              <w:rPr>
                <w:rFonts w:ascii="Times New Roman" w:hAnsi="Times New Roman" w:eastAsia="楷体_GB2312" w:cs="Times New Roman"/>
                <w:b/>
                <w:color w:val="auto"/>
                <w:sz w:val="32"/>
                <w:u w:val="single" w:color="auto"/>
              </w:rPr>
              <w:t>年</w:t>
            </w:r>
            <w:r>
              <w:rPr>
                <w:rFonts w:hint="eastAsia" w:ascii="Times New Roman" w:hAnsi="Times New Roman" w:eastAsia="楷体_GB2312" w:cs="Times New Roman"/>
                <w:b/>
                <w:color w:val="auto"/>
                <w:sz w:val="32"/>
                <w:u w:val="single" w:color="auto"/>
                <w:lang w:val="en-US" w:eastAsia="zh-CN"/>
              </w:rPr>
              <w:t>九</w:t>
            </w:r>
            <w:r>
              <w:rPr>
                <w:rFonts w:ascii="Times New Roman" w:hAnsi="Times New Roman" w:eastAsia="楷体_GB2312" w:cs="Times New Roman"/>
                <w:b/>
                <w:color w:val="auto"/>
                <w:sz w:val="32"/>
                <w:u w:val="single" w:color="auto"/>
              </w:rPr>
              <w:t>月</w:t>
            </w:r>
          </w:p>
        </w:tc>
      </w:tr>
    </w:tbl>
    <w:p w14:paraId="2187F6E0">
      <w:pPr>
        <w:pStyle w:val="27"/>
        <w:autoSpaceDE w:val="0"/>
        <w:autoSpaceDN w:val="0"/>
        <w:snapToGrid w:val="0"/>
        <w:jc w:val="center"/>
        <w:rPr>
          <w:rFonts w:ascii="Times New Roman" w:hAnsi="Times New Roman" w:cs="Times New Roman"/>
          <w:color w:val="auto"/>
          <w:sz w:val="44"/>
          <w:u w:val="none" w:color="auto"/>
        </w:rPr>
        <w:sectPr>
          <w:footerReference r:id="rId3" w:type="default"/>
          <w:pgSz w:w="11906" w:h="16838"/>
          <w:pgMar w:top="1588" w:right="1418" w:bottom="1418" w:left="1418" w:header="851" w:footer="851" w:gutter="0"/>
          <w:pgBorders>
            <w:top w:val="none" w:sz="0" w:space="0"/>
            <w:left w:val="none" w:sz="0" w:space="0"/>
            <w:bottom w:val="none" w:sz="0" w:space="0"/>
            <w:right w:val="none" w:sz="0" w:space="0"/>
          </w:pgBorders>
          <w:pgNumType w:fmt="decimal" w:start="1"/>
          <w:cols w:space="720" w:num="1"/>
          <w:docGrid w:type="lines" w:linePitch="312" w:charSpace="0"/>
        </w:sectPr>
      </w:pPr>
    </w:p>
    <w:p w14:paraId="5CA4ADFF">
      <w:pPr>
        <w:pStyle w:val="27"/>
        <w:keepNext w:val="0"/>
        <w:keepLines w:val="0"/>
        <w:pageBreakBefore w:val="0"/>
        <w:widowControl w:val="0"/>
        <w:kinsoku/>
        <w:wordWrap/>
        <w:overflowPunct/>
        <w:topLinePunct w:val="0"/>
        <w:autoSpaceDE w:val="0"/>
        <w:autoSpaceDN w:val="0"/>
        <w:bidi w:val="0"/>
        <w:adjustRightInd/>
        <w:snapToGrid w:val="0"/>
        <w:spacing w:before="0" w:after="0" w:line="360" w:lineRule="auto"/>
        <w:jc w:val="center"/>
        <w:textAlignment w:val="auto"/>
        <w:rPr>
          <w:rFonts w:hint="default" w:ascii="Times New Roman" w:hAnsi="Times New Roman" w:eastAsia="宋体" w:cs="Times New Roman"/>
          <w:b w:val="0"/>
          <w:bCs/>
          <w:caps/>
          <w:color w:val="auto"/>
          <w:kern w:val="2"/>
          <w:sz w:val="24"/>
          <w:szCs w:val="24"/>
          <w:u w:val="none" w:color="auto"/>
          <w:lang w:val="en-US" w:eastAsia="zh-CN" w:bidi="ar-SA"/>
        </w:rPr>
      </w:pPr>
      <w:r>
        <w:rPr>
          <w:rFonts w:hint="default" w:ascii="Times New Roman" w:hAnsi="Times New Roman" w:eastAsia="宋体" w:cs="Times New Roman"/>
          <w:color w:val="auto"/>
          <w:sz w:val="40"/>
          <w:szCs w:val="40"/>
          <w:u w:val="none" w:color="auto"/>
        </w:rPr>
        <w:t>目录</w:t>
      </w:r>
      <w:r>
        <w:rPr>
          <w:rFonts w:hint="default" w:ascii="Times New Roman" w:hAnsi="Times New Roman" w:eastAsia="宋体" w:cs="Times New Roman"/>
          <w:b w:val="0"/>
          <w:color w:val="auto"/>
          <w:sz w:val="24"/>
          <w:szCs w:val="24"/>
          <w:u w:val="none" w:color="auto"/>
        </w:rPr>
        <w:fldChar w:fldCharType="begin"/>
      </w:r>
      <w:r>
        <w:rPr>
          <w:rFonts w:hint="default" w:ascii="Times New Roman" w:hAnsi="Times New Roman" w:eastAsia="宋体" w:cs="Times New Roman"/>
          <w:b w:val="0"/>
          <w:color w:val="auto"/>
          <w:sz w:val="24"/>
          <w:szCs w:val="24"/>
          <w:u w:val="none" w:color="auto"/>
        </w:rPr>
        <w:instrText xml:space="preserve"> TOC \o "1-2" \h \z \u </w:instrText>
      </w:r>
      <w:r>
        <w:rPr>
          <w:rFonts w:hint="default" w:ascii="Times New Roman" w:hAnsi="Times New Roman" w:eastAsia="宋体" w:cs="Times New Roman"/>
          <w:b w:val="0"/>
          <w:color w:val="auto"/>
          <w:sz w:val="24"/>
          <w:szCs w:val="24"/>
          <w:u w:val="none" w:color="auto"/>
        </w:rPr>
        <w:fldChar w:fldCharType="separate"/>
      </w:r>
    </w:p>
    <w:p w14:paraId="5C06BFB2">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_Toc4299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 总则</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_Toc4299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30FB0AE">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_Toc17274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 编制依据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_Toc17274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C00B4F7">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_Toc15222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1.2评价目的、原则</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_Toc15222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2100836">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_Toc11226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1.3评价因子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_Toc11226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0B82FC8">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_Toc30800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1.4环境功能区划及执行标准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_Toc30800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8918439">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_Toc1528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1.5评价执行的标准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_Toc1528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352637E">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_Toc24596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1.6评价工作等级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_Toc24596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124139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_Toc29684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1.7评价范围</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_Toc29684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8D1026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_Toc3944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1.8环境保护目标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_Toc3944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CCB5FB2">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_Toc16062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 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_Toc16062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F5635AC">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_Toc22233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 本项目概况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_Toc22233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79DFC8C">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_Toc23200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2.2工艺流程及产污环节</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_Toc23200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BA4F5BE">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_Toc28591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2.3污染物排放量统计</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_Toc28591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FAA5D13">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2.4污染物总量控制分析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3843BE5">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_Toc1121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2.</w:t>
      </w: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交通运输移动源调查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_Toc1121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445B908">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_Toc5343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 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_Toc5343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E02992D">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_Toc4532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3.1 自然环境概况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_Toc4532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9B9FBBF">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_Toc23866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3.2 环境空气质量现状调查与评价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_Toc23866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82429E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_Toc3529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3.3 海水环境质量现状调查与评价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_Toc3529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101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7FA9249">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_Toc30500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3.4 地下水环境质量现状调查与评价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_Toc30500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103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7B045C2">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_Toc27818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3.5 土壤环境质量现状调查与评价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_Toc27818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89AD60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_Toc20297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3.6 生态环境质量现状调查与评价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_Toc20297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71F1483">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_Toc5642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3.7 声环境质量现状监测</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_Toc5642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887AA3B">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_Toc3419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3.8 区域污染源情况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_Toc3419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E6E188C">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_Toc15968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 环境影响预测与评价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_Toc15968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23ABFF3">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_Toc14681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4.1 施工期境影响分析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_Toc14681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AF1EDBB">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_Toc25989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4.2 大气环境影响预测与评价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_Toc25989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6D53818">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_Toc29737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4.3 地表水环境影响分析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_Toc29737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973823B">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_Toc3955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 声环境影响预测与评价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_Toc3955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E67BFFC">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_Toc9699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 固体废物环境影响分析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_Toc9699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AA6AB2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_Toc12255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4.6 地下水环境影响分析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_Toc12255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4ACA335">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_Toc22390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4.7 土壤环境影响分析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_Toc22390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882E5BF">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_Toc18370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4.8 环境风险分析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_Toc18370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573A8BB">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_Toc23194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 污染防治措施及其可行性分析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_Toc23194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0A98494">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_Toc27662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5.1施工期污染防治措施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_Toc27662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0DE852B">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_Toc14889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5.2运行期污染防治措施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_Toc14889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FE5704B">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_Toc26402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 环境影响经济损益分析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_Toc26402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BE9C3D8">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_Toc32334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rPr>
        <w:t>6.1经济效益分析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_Toc32334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F00E548">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_Toc29364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rPr>
        <w:t>6.2环保投资估算</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_Toc29364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3CB34F9">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_Toc27442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rPr>
        <w:t>6.3环境影响经济损益分析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_Toc27442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8A6B4AD">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_Toc13907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rPr>
        <w:t>6.4小结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_Toc13907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ECB4192">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_Toc22032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 环境管理与监测</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_Toc22032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DA058C0">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_Toc22188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7.1 环境管理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_Toc22188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D6E61D1">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_Toc19406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7.2污染物排放管理要求</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_Toc19406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0BF9185">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_Toc1075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7.3环境监测</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_Toc1075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8B7B002">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_Toc23959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7.4“三同时”验收监测</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_Toc23959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028C824">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_Toc11235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7.5排污口规范化</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_Toc11235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5C128A2">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_Toc19206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7.2 排污许可要求</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_Toc19206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8D19F6E">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_Toc17202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7.6小结</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_Toc17202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C681AC2">
      <w:pPr>
        <w:pStyle w:val="27"/>
        <w:keepNext w:val="0"/>
        <w:keepLines w:val="0"/>
        <w:pageBreakBefore w:val="0"/>
        <w:widowControl w:val="0"/>
        <w:tabs>
          <w:tab w:val="right" w:leader="dot" w:pos="9070"/>
        </w:tabs>
        <w:kinsoku/>
        <w:wordWrap/>
        <w:overflowPunct/>
        <w:topLinePunct w:val="0"/>
        <w:bidi w:val="0"/>
        <w:adjustRightIn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_Toc16098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_Toc16098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304F06F">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_Toc12394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8.1项目概况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_Toc12394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9821BEE">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_Toc14969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项目</w:t>
      </w:r>
      <w:r>
        <w:rPr>
          <w:rFonts w:hint="default" w:ascii="Times New Roman" w:hAnsi="Times New Roman" w:eastAsia="宋体" w:cs="Times New Roman"/>
          <w:color w:val="auto"/>
          <w:kern w:val="0"/>
          <w:sz w:val="24"/>
          <w:szCs w:val="24"/>
          <w:lang w:val="en-US" w:eastAsia="zh-CN"/>
        </w:rPr>
        <w:t>主要污染物排放情况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_Toc14969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7B0F16F">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_Toc6918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rPr>
        <w:t>环境质量现状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_Toc6918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D0D9EBC">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_Toc27935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施工期环境影响评价结论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_Toc27935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6272394">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_Toc3017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运行期环境影响评价结论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_Toc3017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0D7C3BB">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_Toc24668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6</w:t>
      </w:r>
      <w:r>
        <w:rPr>
          <w:rFonts w:hint="default" w:ascii="Times New Roman" w:hAnsi="Times New Roman" w:eastAsia="宋体" w:cs="Times New Roman"/>
          <w:color w:val="auto"/>
          <w:kern w:val="0"/>
          <w:sz w:val="24"/>
          <w:szCs w:val="24"/>
        </w:rPr>
        <w:t>风险评价结论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_Toc24668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8F14BF2">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_Toc17056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7</w:t>
      </w:r>
      <w:r>
        <w:rPr>
          <w:rFonts w:hint="default" w:ascii="Times New Roman" w:hAnsi="Times New Roman" w:eastAsia="宋体" w:cs="Times New Roman"/>
          <w:color w:val="auto"/>
          <w:kern w:val="0"/>
          <w:sz w:val="24"/>
          <w:szCs w:val="24"/>
        </w:rPr>
        <w:t>环境保护措施分析结论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_Toc17056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D9AE531">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_Toc26316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8总量控制结论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_Toc26316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F5D90E2">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_Toc6293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9</w:t>
      </w:r>
      <w:r>
        <w:rPr>
          <w:rFonts w:hint="default" w:ascii="Times New Roman" w:hAnsi="Times New Roman" w:eastAsia="宋体" w:cs="Times New Roman"/>
          <w:color w:val="auto"/>
          <w:kern w:val="0"/>
          <w:sz w:val="24"/>
          <w:szCs w:val="24"/>
        </w:rPr>
        <w:t>公众意见采纳情况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_Toc6293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8E1E8BA">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_Toc27327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10</w:t>
      </w:r>
      <w:r>
        <w:rPr>
          <w:rFonts w:hint="default" w:ascii="Times New Roman" w:hAnsi="Times New Roman" w:eastAsia="宋体" w:cs="Times New Roman"/>
          <w:color w:val="auto"/>
          <w:kern w:val="0"/>
          <w:sz w:val="24"/>
          <w:szCs w:val="24"/>
        </w:rPr>
        <w:t>产业政策分析结论及选址合理性结论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_Toc27327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9918F89">
      <w:pPr>
        <w:pStyle w:val="31"/>
        <w:keepNext w:val="0"/>
        <w:keepLines w:val="0"/>
        <w:pageBreakBefore w:val="0"/>
        <w:widowControl w:val="0"/>
        <w:tabs>
          <w:tab w:val="right" w:leader="dot" w:pos="9070"/>
        </w:tabs>
        <w:kinsoku/>
        <w:wordWrap/>
        <w:overflowPunct/>
        <w:topLinePunct w:val="0"/>
        <w:bidi w:val="0"/>
        <w:adjustRightIn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_Toc13918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11</w:t>
      </w:r>
      <w:r>
        <w:rPr>
          <w:rFonts w:hint="default" w:ascii="Times New Roman" w:hAnsi="Times New Roman" w:eastAsia="宋体" w:cs="Times New Roman"/>
          <w:color w:val="auto"/>
          <w:kern w:val="0"/>
          <w:sz w:val="24"/>
          <w:szCs w:val="24"/>
        </w:rPr>
        <w:t>综合结论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_Toc13918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08D4018">
      <w:pPr>
        <w:pStyle w:val="27"/>
        <w:keepNext w:val="0"/>
        <w:keepLines w:val="0"/>
        <w:pageBreakBefore w:val="0"/>
        <w:widowControl w:val="0"/>
        <w:kinsoku/>
        <w:wordWrap/>
        <w:overflowPunct/>
        <w:topLinePunct w:val="0"/>
        <w:autoSpaceDE w:val="0"/>
        <w:autoSpaceDN w:val="0"/>
        <w:bidi w:val="0"/>
        <w:adjustRightInd/>
        <w:snapToGrid w:val="0"/>
        <w:spacing w:before="0" w:after="0" w:line="360" w:lineRule="auto"/>
        <w:jc w:val="left"/>
        <w:textAlignment w:val="auto"/>
        <w:rPr>
          <w:rFonts w:ascii="Times New Roman" w:hAnsi="Times New Roman" w:eastAsia="宋体" w:cs="Times New Roman"/>
          <w:color w:val="auto"/>
          <w:sz w:val="24"/>
          <w:szCs w:val="24"/>
          <w:u w:val="none" w:color="auto"/>
        </w:rPr>
      </w:pPr>
      <w:r>
        <w:rPr>
          <w:rFonts w:hint="default" w:ascii="Times New Roman" w:hAnsi="Times New Roman" w:eastAsia="宋体" w:cs="Times New Roman"/>
          <w:b w:val="0"/>
          <w:color w:val="auto"/>
          <w:sz w:val="24"/>
          <w:szCs w:val="24"/>
          <w:u w:val="none" w:color="auto"/>
        </w:rPr>
        <w:fldChar w:fldCharType="end"/>
      </w:r>
      <w:r>
        <w:rPr>
          <w:rFonts w:ascii="Times New Roman" w:hAnsi="Times New Roman" w:eastAsia="宋体" w:cs="Times New Roman"/>
          <w:color w:val="auto"/>
          <w:sz w:val="24"/>
          <w:szCs w:val="24"/>
          <w:u w:val="none" w:color="auto"/>
        </w:rPr>
        <w:t>附件</w:t>
      </w:r>
      <w:r>
        <w:rPr>
          <w:rFonts w:hint="eastAsia" w:ascii="Times New Roman" w:hAnsi="Times New Roman" w:eastAsia="宋体" w:cs="Times New Roman"/>
          <w:color w:val="auto"/>
          <w:sz w:val="24"/>
          <w:szCs w:val="24"/>
          <w:u w:val="none" w:color="auto"/>
        </w:rPr>
        <w:t>：</w:t>
      </w:r>
    </w:p>
    <w:p w14:paraId="29BDD478">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附件1 委托书</w:t>
      </w:r>
    </w:p>
    <w:p w14:paraId="1562B4FE">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附件2 项目备案</w:t>
      </w:r>
      <w:r>
        <w:rPr>
          <w:rFonts w:hint="eastAsia" w:ascii="Times New Roman" w:hAnsi="Times New Roman" w:eastAsia="宋体" w:cs="Times New Roman"/>
          <w:color w:val="auto"/>
          <w:sz w:val="24"/>
          <w:szCs w:val="24"/>
          <w:u w:val="none" w:color="auto"/>
        </w:rPr>
        <w:t>证明</w:t>
      </w:r>
    </w:p>
    <w:p w14:paraId="7529BC9F">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附件3 </w:t>
      </w:r>
      <w:r>
        <w:rPr>
          <w:rFonts w:hint="eastAsia" w:ascii="Times New Roman" w:hAnsi="Times New Roman" w:eastAsia="宋体" w:cs="Times New Roman"/>
          <w:color w:val="auto"/>
          <w:sz w:val="24"/>
          <w:szCs w:val="24"/>
          <w:u w:val="none" w:color="auto"/>
        </w:rPr>
        <w:t>涂料检测报告</w:t>
      </w:r>
    </w:p>
    <w:p w14:paraId="1D7D5577">
      <w:pPr>
        <w:spacing w:line="360" w:lineRule="auto"/>
        <w:ind w:firstLine="480" w:firstLineChars="200"/>
        <w:rPr>
          <w:rFonts w:eastAsia="宋体"/>
          <w:color w:val="auto"/>
          <w:u w:val="none" w:color="auto"/>
        </w:rPr>
      </w:pPr>
      <w:r>
        <w:rPr>
          <w:rFonts w:hint="eastAsia" w:ascii="Times New Roman" w:hAnsi="Times New Roman" w:eastAsia="宋体" w:cs="Times New Roman"/>
          <w:color w:val="auto"/>
          <w:sz w:val="24"/>
          <w:szCs w:val="24"/>
          <w:u w:val="none" w:color="auto"/>
        </w:rPr>
        <w:t>附件</w:t>
      </w:r>
      <w:r>
        <w:rPr>
          <w:rFonts w:hint="eastAsia" w:ascii="Times New Roman" w:hAnsi="Times New Roman" w:eastAsia="宋体" w:cs="Times New Roman"/>
          <w:color w:val="auto"/>
          <w:sz w:val="24"/>
          <w:szCs w:val="24"/>
          <w:u w:val="none" w:color="auto"/>
          <w:lang w:val="en-US" w:eastAsia="zh-CN"/>
        </w:rPr>
        <w:t>4</w:t>
      </w:r>
      <w:r>
        <w:rPr>
          <w:rFonts w:hint="eastAsia" w:ascii="Times New Roman" w:hAnsi="Times New Roman" w:eastAsia="宋体" w:cs="Times New Roman"/>
          <w:color w:val="auto"/>
          <w:sz w:val="24"/>
          <w:szCs w:val="24"/>
          <w:u w:val="none" w:color="auto"/>
        </w:rPr>
        <w:t xml:space="preserve"> 规划环评审查意见</w:t>
      </w:r>
    </w:p>
    <w:p w14:paraId="342FCD15">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rPr>
        <w:t>附件</w:t>
      </w:r>
      <w:r>
        <w:rPr>
          <w:rFonts w:hint="eastAsia" w:ascii="Times New Roman" w:hAnsi="Times New Roman" w:eastAsia="宋体" w:cs="Times New Roman"/>
          <w:color w:val="auto"/>
          <w:sz w:val="24"/>
          <w:szCs w:val="24"/>
          <w:u w:val="none" w:color="auto"/>
          <w:lang w:val="en-US" w:eastAsia="zh-CN"/>
        </w:rPr>
        <w:t>5</w:t>
      </w:r>
      <w:r>
        <w:rPr>
          <w:rFonts w:hint="eastAsia"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lang w:eastAsia="zh-CN"/>
        </w:rPr>
        <w:t>土地使用权合同及规划设计要点</w:t>
      </w:r>
    </w:p>
    <w:p w14:paraId="23331F23">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rPr>
        <w:t>附件</w:t>
      </w:r>
      <w:r>
        <w:rPr>
          <w:rFonts w:hint="eastAsia" w:ascii="Times New Roman" w:hAnsi="Times New Roman" w:eastAsia="宋体" w:cs="Times New Roman"/>
          <w:color w:val="auto"/>
          <w:sz w:val="24"/>
          <w:szCs w:val="24"/>
          <w:u w:val="none" w:color="auto"/>
          <w:lang w:val="en-US" w:eastAsia="zh-CN"/>
        </w:rPr>
        <w:t>6</w:t>
      </w:r>
      <w:r>
        <w:rPr>
          <w:rFonts w:hint="eastAsia"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lang w:val="en-US" w:eastAsia="zh-CN"/>
        </w:rPr>
        <w:t>监测报告</w:t>
      </w:r>
    </w:p>
    <w:p w14:paraId="4EA3B5CE">
      <w:pPr>
        <w:spacing w:line="360" w:lineRule="auto"/>
        <w:ind w:firstLine="480" w:firstLineChars="20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附件</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lang w:val="en-US" w:eastAsia="zh-CN"/>
        </w:rPr>
        <w:t xml:space="preserve"> 关于钦州锦峰海洋重工科技有限公司项目研判初步结论</w:t>
      </w:r>
    </w:p>
    <w:p w14:paraId="0DC95C0D">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附件8广西壮族自治区交通运输厅关于钦州港大榄坪港区大榄坪作业区12号13号泊位工程初步设计变更的批复</w:t>
      </w:r>
    </w:p>
    <w:p w14:paraId="3B33E115">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附件9中国—马来西亚钦州产业园区项目投资合同</w:t>
      </w:r>
    </w:p>
    <w:p w14:paraId="4C8EC40B">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p>
    <w:p w14:paraId="57A3EF7F">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p>
    <w:p w14:paraId="367D0BC2">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附图</w:t>
      </w:r>
      <w:r>
        <w:rPr>
          <w:rFonts w:hint="eastAsia" w:ascii="Times New Roman" w:hAnsi="Times New Roman" w:eastAsia="宋体" w:cs="Times New Roman"/>
          <w:color w:val="auto"/>
          <w:sz w:val="24"/>
          <w:szCs w:val="24"/>
          <w:u w:val="none" w:color="auto"/>
        </w:rPr>
        <w:t>：</w:t>
      </w:r>
    </w:p>
    <w:p w14:paraId="0FD508D0">
      <w:pPr>
        <w:pStyle w:val="16"/>
        <w:spacing w:line="360" w:lineRule="auto"/>
        <w:ind w:firstLine="480" w:firstLineChars="200"/>
        <w:rPr>
          <w:color w:val="auto"/>
          <w:sz w:val="24"/>
          <w:szCs w:val="24"/>
          <w:u w:val="none" w:color="auto"/>
        </w:rPr>
      </w:pPr>
      <w:r>
        <w:rPr>
          <w:color w:val="auto"/>
          <w:sz w:val="24"/>
          <w:szCs w:val="24"/>
          <w:u w:val="none" w:color="auto"/>
        </w:rPr>
        <w:t>附图1 项目地理位置图</w:t>
      </w:r>
    </w:p>
    <w:p w14:paraId="2B703496">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附图2 </w:t>
      </w:r>
      <w:r>
        <w:rPr>
          <w:rFonts w:hint="eastAsia" w:ascii="Times New Roman" w:hAnsi="Times New Roman" w:eastAsia="宋体" w:cs="Times New Roman"/>
          <w:color w:val="auto"/>
          <w:sz w:val="24"/>
          <w:szCs w:val="24"/>
          <w:u w:val="none" w:color="auto"/>
        </w:rPr>
        <w:t>项目平面布置图</w:t>
      </w:r>
    </w:p>
    <w:p w14:paraId="75D3AA27">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附图</w:t>
      </w:r>
      <w:r>
        <w:rPr>
          <w:rFonts w:hint="eastAsia" w:ascii="Times New Roman" w:hAnsi="Times New Roman" w:eastAsia="宋体" w:cs="Times New Roman"/>
          <w:color w:val="auto"/>
          <w:sz w:val="24"/>
          <w:szCs w:val="24"/>
          <w:u w:val="none" w:color="auto"/>
          <w:lang w:val="en-US" w:eastAsia="zh-CN"/>
        </w:rPr>
        <w:t>3</w:t>
      </w:r>
      <w:r>
        <w:rPr>
          <w:rFonts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rPr>
        <w:t>项目</w:t>
      </w:r>
      <w:r>
        <w:rPr>
          <w:rFonts w:hint="eastAsia" w:ascii="Times New Roman" w:hAnsi="Times New Roman" w:eastAsia="宋体" w:cs="Times New Roman"/>
          <w:color w:val="auto"/>
          <w:sz w:val="24"/>
          <w:szCs w:val="24"/>
          <w:u w:val="none" w:color="auto"/>
          <w:lang w:val="en-US" w:eastAsia="zh-CN"/>
        </w:rPr>
        <w:t>土地规划图</w:t>
      </w:r>
    </w:p>
    <w:p w14:paraId="39F6C5BA">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附图</w:t>
      </w:r>
      <w:r>
        <w:rPr>
          <w:rFonts w:hint="eastAsia" w:ascii="Times New Roman" w:hAnsi="Times New Roman" w:eastAsia="宋体" w:cs="Times New Roman"/>
          <w:color w:val="auto"/>
          <w:sz w:val="24"/>
          <w:szCs w:val="24"/>
          <w:u w:val="none" w:color="auto"/>
          <w:lang w:val="en-US" w:eastAsia="zh-CN"/>
        </w:rPr>
        <w:t>4</w:t>
      </w:r>
      <w:r>
        <w:rPr>
          <w:rFonts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rPr>
        <w:t>项目与广西</w:t>
      </w:r>
      <w:r>
        <w:rPr>
          <w:rFonts w:ascii="Times New Roman" w:hAnsi="Times New Roman" w:eastAsia="宋体" w:cs="Times New Roman"/>
          <w:color w:val="auto"/>
          <w:sz w:val="24"/>
          <w:szCs w:val="24"/>
          <w:u w:val="none" w:color="auto"/>
        </w:rPr>
        <w:t>近岸海域环境功能区划</w:t>
      </w:r>
      <w:r>
        <w:rPr>
          <w:rFonts w:hint="eastAsia" w:ascii="Times New Roman" w:hAnsi="Times New Roman" w:eastAsia="宋体" w:cs="Times New Roman"/>
          <w:color w:val="auto"/>
          <w:sz w:val="24"/>
          <w:szCs w:val="24"/>
          <w:u w:val="none" w:color="auto"/>
        </w:rPr>
        <w:t>调整方案</w:t>
      </w:r>
      <w:r>
        <w:rPr>
          <w:rFonts w:ascii="Times New Roman" w:hAnsi="Times New Roman" w:eastAsia="宋体" w:cs="Times New Roman"/>
          <w:color w:val="auto"/>
          <w:sz w:val="24"/>
          <w:szCs w:val="24"/>
          <w:u w:val="none" w:color="auto"/>
        </w:rPr>
        <w:t>图</w:t>
      </w:r>
      <w:r>
        <w:rPr>
          <w:rFonts w:hint="eastAsia" w:ascii="Times New Roman" w:hAnsi="Times New Roman" w:eastAsia="宋体" w:cs="Times New Roman"/>
          <w:color w:val="auto"/>
          <w:sz w:val="24"/>
          <w:szCs w:val="24"/>
          <w:u w:val="none" w:color="auto"/>
        </w:rPr>
        <w:t>的位置关系图</w:t>
      </w:r>
    </w:p>
    <w:p w14:paraId="5A73A162">
      <w:pPr>
        <w:spacing w:line="360" w:lineRule="auto"/>
        <w:ind w:firstLine="480" w:firstLineChars="200"/>
        <w:rPr>
          <w:rFonts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5</w:t>
      </w:r>
      <w:r>
        <w:rPr>
          <w:rFonts w:hint="eastAsia" w:ascii="Times New Roman" w:hAnsi="Times New Roman" w:eastAsia="宋体" w:cs="Times New Roman"/>
          <w:color w:val="auto"/>
          <w:sz w:val="24"/>
          <w:szCs w:val="24"/>
          <w:u w:val="none"/>
        </w:rPr>
        <w:t xml:space="preserve"> 项目与</w:t>
      </w:r>
      <w:r>
        <w:rPr>
          <w:rFonts w:hint="eastAsia" w:ascii="Times New Roman" w:hAnsi="Times New Roman" w:eastAsia="宋体" w:cs="Times New Roman"/>
          <w:color w:val="auto"/>
          <w:sz w:val="24"/>
          <w:szCs w:val="24"/>
          <w:u w:val="none"/>
          <w:lang w:val="en-US" w:eastAsia="zh-CN"/>
        </w:rPr>
        <w:t>北部湾</w:t>
      </w:r>
      <w:r>
        <w:rPr>
          <w:rFonts w:hint="eastAsia" w:ascii="Times New Roman" w:hAnsi="Times New Roman" w:eastAsia="宋体" w:cs="Times New Roman"/>
          <w:color w:val="auto"/>
          <w:sz w:val="24"/>
          <w:szCs w:val="24"/>
          <w:u w:val="none"/>
        </w:rPr>
        <w:t>总体</w:t>
      </w:r>
      <w:r>
        <w:rPr>
          <w:rFonts w:hint="eastAsia" w:ascii="Times New Roman" w:hAnsi="Times New Roman" w:eastAsia="宋体" w:cs="Times New Roman"/>
          <w:color w:val="auto"/>
          <w:sz w:val="24"/>
          <w:szCs w:val="24"/>
          <w:u w:val="none"/>
          <w:lang w:val="en-US" w:eastAsia="zh-CN"/>
        </w:rPr>
        <w:t>规划（2035年）</w:t>
      </w:r>
      <w:r>
        <w:rPr>
          <w:rFonts w:hint="eastAsia" w:ascii="Times New Roman" w:hAnsi="Times New Roman" w:eastAsia="宋体" w:cs="Times New Roman"/>
          <w:color w:val="auto"/>
          <w:sz w:val="24"/>
          <w:szCs w:val="24"/>
          <w:u w:val="none"/>
        </w:rPr>
        <w:t>位置关系图</w:t>
      </w:r>
    </w:p>
    <w:p w14:paraId="4D506E40">
      <w:pPr>
        <w:spacing w:line="360" w:lineRule="auto"/>
        <w:ind w:firstLine="480" w:firstLineChars="200"/>
        <w:rPr>
          <w:rFonts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6</w:t>
      </w:r>
      <w:r>
        <w:rPr>
          <w:rFonts w:hint="eastAsia" w:ascii="Times New Roman" w:hAnsi="Times New Roman" w:eastAsia="宋体" w:cs="Times New Roman"/>
          <w:color w:val="auto"/>
          <w:sz w:val="24"/>
          <w:szCs w:val="24"/>
          <w:u w:val="none"/>
        </w:rPr>
        <w:t xml:space="preserve"> 项目水文地质图</w:t>
      </w:r>
    </w:p>
    <w:p w14:paraId="4A633D42">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7</w:t>
      </w:r>
      <w:r>
        <w:rPr>
          <w:rFonts w:hint="eastAsia" w:ascii="Times New Roman" w:hAnsi="Times New Roman" w:eastAsia="宋体" w:cs="Times New Roman"/>
          <w:color w:val="auto"/>
          <w:sz w:val="24"/>
          <w:szCs w:val="24"/>
          <w:u w:val="none"/>
        </w:rPr>
        <w:t xml:space="preserve"> 项目雨</w:t>
      </w:r>
      <w:r>
        <w:rPr>
          <w:rFonts w:hint="eastAsia" w:ascii="Times New Roman" w:hAnsi="Times New Roman" w:eastAsia="宋体" w:cs="Times New Roman"/>
          <w:color w:val="auto"/>
          <w:sz w:val="24"/>
          <w:szCs w:val="24"/>
          <w:u w:val="none"/>
          <w:lang w:val="en-US" w:eastAsia="zh-CN"/>
        </w:rPr>
        <w:t>水</w:t>
      </w:r>
      <w:r>
        <w:rPr>
          <w:rFonts w:hint="eastAsia" w:ascii="Times New Roman" w:hAnsi="Times New Roman" w:eastAsia="宋体" w:cs="Times New Roman"/>
          <w:color w:val="auto"/>
          <w:sz w:val="24"/>
          <w:szCs w:val="24"/>
          <w:u w:val="none"/>
        </w:rPr>
        <w:t>排水走向图</w:t>
      </w:r>
    </w:p>
    <w:p w14:paraId="4E59CD35">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8</w:t>
      </w:r>
      <w:r>
        <w:rPr>
          <w:rFonts w:hint="eastAsia" w:ascii="Times New Roman" w:hAnsi="Times New Roman" w:eastAsia="宋体" w:cs="Times New Roman"/>
          <w:color w:val="auto"/>
          <w:sz w:val="24"/>
          <w:szCs w:val="24"/>
          <w:u w:val="none"/>
        </w:rPr>
        <w:t xml:space="preserve"> 项目</w:t>
      </w:r>
      <w:r>
        <w:rPr>
          <w:rFonts w:hint="eastAsia" w:ascii="Times New Roman" w:hAnsi="Times New Roman" w:eastAsia="宋体" w:cs="Times New Roman"/>
          <w:color w:val="auto"/>
          <w:sz w:val="24"/>
          <w:szCs w:val="24"/>
          <w:u w:val="none"/>
          <w:lang w:val="en-US" w:eastAsia="zh-CN"/>
        </w:rPr>
        <w:t>污水</w:t>
      </w:r>
      <w:r>
        <w:rPr>
          <w:rFonts w:hint="eastAsia" w:ascii="Times New Roman" w:hAnsi="Times New Roman" w:eastAsia="宋体" w:cs="Times New Roman"/>
          <w:color w:val="auto"/>
          <w:sz w:val="24"/>
          <w:szCs w:val="24"/>
          <w:u w:val="none"/>
        </w:rPr>
        <w:t>排水走向图</w:t>
      </w:r>
    </w:p>
    <w:p w14:paraId="4E67E531">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9</w:t>
      </w:r>
      <w:r>
        <w:rPr>
          <w:rFonts w:hint="eastAsia" w:ascii="Times New Roman" w:hAnsi="Times New Roman" w:eastAsia="宋体" w:cs="Times New Roman"/>
          <w:color w:val="auto"/>
          <w:sz w:val="24"/>
          <w:szCs w:val="24"/>
          <w:u w:val="none"/>
        </w:rPr>
        <w:t xml:space="preserve"> 钦州市环境管控单元分类图</w:t>
      </w:r>
    </w:p>
    <w:p w14:paraId="043691CD">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w:t>
      </w:r>
      <w:r>
        <w:rPr>
          <w:rFonts w:hint="eastAsia" w:ascii="Times New Roman" w:hAnsi="Times New Roman" w:eastAsia="宋体" w:cs="Times New Roman"/>
          <w:color w:val="auto"/>
          <w:sz w:val="24"/>
          <w:szCs w:val="24"/>
          <w:u w:val="none"/>
          <w:lang w:val="en-US" w:eastAsia="zh-CN"/>
        </w:rPr>
        <w:t>10</w:t>
      </w:r>
      <w:r>
        <w:rPr>
          <w:rFonts w:hint="eastAsia" w:ascii="Times New Roman" w:hAnsi="Times New Roman" w:eastAsia="宋体" w:cs="Times New Roman"/>
          <w:color w:val="auto"/>
          <w:sz w:val="24"/>
          <w:szCs w:val="24"/>
          <w:u w:val="none"/>
        </w:rPr>
        <w:t xml:space="preserve"> 项目分区防渗图</w:t>
      </w:r>
    </w:p>
    <w:p w14:paraId="4D551347">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附图1</w:t>
      </w:r>
      <w:r>
        <w:rPr>
          <w:rFonts w:hint="eastAsia" w:ascii="Times New Roman" w:hAnsi="Times New Roman" w:eastAsia="宋体" w:cs="Times New Roman"/>
          <w:color w:val="auto"/>
          <w:sz w:val="24"/>
          <w:szCs w:val="24"/>
          <w:u w:val="none"/>
          <w:lang w:val="en-US" w:eastAsia="zh-CN"/>
        </w:rPr>
        <w:t>1</w:t>
      </w:r>
      <w:r>
        <w:rPr>
          <w:rFonts w:hint="eastAsia" w:ascii="Times New Roman" w:hAnsi="Times New Roman" w:eastAsia="宋体" w:cs="Times New Roman"/>
          <w:color w:val="auto"/>
          <w:sz w:val="24"/>
          <w:szCs w:val="24"/>
          <w:u w:val="none"/>
        </w:rPr>
        <w:t xml:space="preserve"> 项目评价范围及敏感点分布图</w:t>
      </w:r>
    </w:p>
    <w:p w14:paraId="3A436F4C">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附图1</w:t>
      </w:r>
      <w:r>
        <w:rPr>
          <w:rFonts w:hint="eastAsia" w:ascii="Times New Roman" w:hAnsi="Times New Roman" w:eastAsia="宋体" w:cs="Times New Roman"/>
          <w:color w:val="auto"/>
          <w:sz w:val="24"/>
          <w:szCs w:val="24"/>
          <w:u w:val="none"/>
          <w:lang w:val="en-US" w:eastAsia="zh-CN"/>
        </w:rPr>
        <w:t>2</w:t>
      </w:r>
      <w:r>
        <w:rPr>
          <w:rFonts w:hint="eastAsia" w:ascii="Times New Roman" w:hAnsi="Times New Roman" w:eastAsia="宋体" w:cs="Times New Roman"/>
          <w:color w:val="auto"/>
          <w:sz w:val="24"/>
          <w:szCs w:val="24"/>
          <w:u w:val="none"/>
        </w:rPr>
        <w:t xml:space="preserve"> 项目钻井柱状图</w:t>
      </w:r>
    </w:p>
    <w:p w14:paraId="7E972930">
      <w:pPr>
        <w:spacing w:line="360" w:lineRule="auto"/>
        <w:ind w:firstLine="480" w:firstLineChars="200"/>
        <w:rPr>
          <w:rFonts w:hint="eastAsia"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rPr>
        <w:t>附图1</w:t>
      </w:r>
      <w:r>
        <w:rPr>
          <w:rFonts w:hint="eastAsia" w:ascii="Times New Roman" w:hAnsi="Times New Roman" w:eastAsia="宋体" w:cs="Times New Roman"/>
          <w:color w:val="auto"/>
          <w:sz w:val="24"/>
          <w:szCs w:val="24"/>
          <w:u w:val="none"/>
          <w:lang w:val="en-US" w:eastAsia="zh-CN"/>
        </w:rPr>
        <w:t>3</w:t>
      </w:r>
      <w:r>
        <w:rPr>
          <w:rFonts w:hint="eastAsia" w:ascii="Times New Roman" w:hAnsi="Times New Roman" w:eastAsia="宋体" w:cs="Times New Roman"/>
          <w:color w:val="auto"/>
          <w:sz w:val="24"/>
          <w:szCs w:val="24"/>
          <w:u w:val="none"/>
        </w:rPr>
        <w:t xml:space="preserve"> </w:t>
      </w:r>
      <w:r>
        <w:rPr>
          <w:rFonts w:hint="eastAsia" w:ascii="Times New Roman" w:hAnsi="Times New Roman" w:eastAsia="宋体" w:cs="Times New Roman"/>
          <w:color w:val="auto"/>
          <w:sz w:val="24"/>
          <w:szCs w:val="24"/>
          <w:u w:val="none"/>
          <w:lang w:val="en-US" w:eastAsia="zh-CN"/>
        </w:rPr>
        <w:t>监测布点图</w:t>
      </w:r>
    </w:p>
    <w:p w14:paraId="0551BB90">
      <w:pPr>
        <w:spacing w:line="360" w:lineRule="auto"/>
        <w:ind w:firstLine="480" w:firstLineChars="200"/>
        <w:rPr>
          <w:rFonts w:hint="eastAsia" w:ascii="Times New Roman" w:hAnsi="Times New Roman" w:eastAsia="宋体" w:cs="Times New Roman"/>
          <w:color w:val="auto"/>
          <w:sz w:val="24"/>
          <w:szCs w:val="24"/>
          <w:u w:val="none" w:color="auto"/>
        </w:rPr>
      </w:pPr>
    </w:p>
    <w:p w14:paraId="6C9B2B5E">
      <w:pPr>
        <w:pStyle w:val="16"/>
        <w:spacing w:line="360" w:lineRule="auto"/>
        <w:ind w:firstLine="480" w:firstLineChars="200"/>
        <w:rPr>
          <w:color w:val="auto"/>
          <w:sz w:val="24"/>
          <w:szCs w:val="24"/>
          <w:u w:val="none" w:color="auto"/>
        </w:rPr>
      </w:pPr>
      <w:r>
        <w:rPr>
          <w:color w:val="auto"/>
          <w:sz w:val="24"/>
          <w:szCs w:val="24"/>
          <w:u w:val="none" w:color="auto"/>
        </w:rPr>
        <w:t>附表：</w:t>
      </w:r>
    </w:p>
    <w:p w14:paraId="6CE3BB10">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附表1 建设项目大气环境影响评价自查表</w:t>
      </w:r>
    </w:p>
    <w:p w14:paraId="0BCB0C66">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附表2 地表水环境影响评价自查表</w:t>
      </w:r>
    </w:p>
    <w:p w14:paraId="73A246B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附表3 环境风险评价自查表</w:t>
      </w:r>
    </w:p>
    <w:p w14:paraId="635D7A60">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附表4 土壤环境评价自查表</w:t>
      </w:r>
    </w:p>
    <w:p w14:paraId="0876D547">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lang w:val="en-US" w:eastAsia="zh-CN"/>
        </w:rPr>
        <w:t>生态</w:t>
      </w:r>
      <w:r>
        <w:rPr>
          <w:rFonts w:hint="default" w:ascii="Times New Roman" w:hAnsi="Times New Roman" w:eastAsia="宋体" w:cs="Times New Roman"/>
          <w:color w:val="auto"/>
          <w:sz w:val="24"/>
          <w:szCs w:val="24"/>
          <w:u w:val="none" w:color="auto"/>
        </w:rPr>
        <w:t>环境评价自查表</w:t>
      </w:r>
    </w:p>
    <w:p w14:paraId="0F55B662">
      <w:pPr>
        <w:spacing w:line="360" w:lineRule="auto"/>
        <w:ind w:firstLine="480" w:firstLineChars="200"/>
        <w:rPr>
          <w:rFonts w:hint="eastAsia"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附表</w:t>
      </w:r>
      <w:r>
        <w:rPr>
          <w:rFonts w:hint="eastAsia"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lang w:val="en-US" w:eastAsia="zh-CN"/>
        </w:rPr>
        <w:t>声</w:t>
      </w:r>
      <w:r>
        <w:rPr>
          <w:rFonts w:hint="default" w:ascii="Times New Roman" w:hAnsi="Times New Roman" w:eastAsia="宋体" w:cs="Times New Roman"/>
          <w:color w:val="auto"/>
          <w:sz w:val="24"/>
          <w:szCs w:val="24"/>
          <w:u w:val="none" w:color="auto"/>
        </w:rPr>
        <w:t>环境评价自查表</w:t>
      </w:r>
    </w:p>
    <w:p w14:paraId="46E4ADCD">
      <w:pPr>
        <w:pStyle w:val="35"/>
        <w:spacing w:after="0" w:line="360" w:lineRule="auto"/>
        <w:ind w:firstLine="480" w:firstLineChars="200"/>
        <w:rPr>
          <w:rFonts w:ascii="Times New Roman" w:hAnsi="Times New Roman" w:eastAsia="宋体" w:cs="Times New Roman"/>
          <w:color w:val="auto"/>
          <w:sz w:val="24"/>
          <w:szCs w:val="24"/>
          <w:u w:val="none" w:color="auto"/>
        </w:rPr>
        <w:sectPr>
          <w:pgSz w:w="11906" w:h="16838"/>
          <w:pgMar w:top="1588" w:right="1418" w:bottom="1418" w:left="1418" w:header="851" w:footer="851" w:gutter="0"/>
          <w:pgBorders>
            <w:top w:val="none" w:sz="0" w:space="0"/>
            <w:left w:val="none" w:sz="0" w:space="0"/>
            <w:bottom w:val="none" w:sz="0" w:space="0"/>
            <w:right w:val="none" w:sz="0" w:space="0"/>
          </w:pgBorders>
          <w:pgNumType w:fmt="decimal" w:start="1"/>
          <w:cols w:space="720" w:num="1"/>
          <w:docGrid w:type="lines" w:linePitch="312" w:charSpace="0"/>
        </w:sectPr>
      </w:pPr>
      <w:r>
        <w:rPr>
          <w:rFonts w:ascii="Times New Roman" w:hAnsi="Times New Roman" w:eastAsia="宋体" w:cs="Times New Roman"/>
          <w:color w:val="auto"/>
          <w:sz w:val="24"/>
          <w:szCs w:val="24"/>
          <w:u w:val="none" w:color="auto"/>
        </w:rPr>
        <w:t>附表</w:t>
      </w:r>
      <w:r>
        <w:rPr>
          <w:rFonts w:hint="eastAsia" w:ascii="Times New Roman" w:hAnsi="Times New Roman" w:eastAsia="宋体" w:cs="Times New Roman"/>
          <w:color w:val="auto"/>
          <w:sz w:val="24"/>
          <w:szCs w:val="24"/>
          <w:u w:val="none" w:color="auto"/>
          <w:lang w:val="en-US" w:eastAsia="zh-CN"/>
        </w:rPr>
        <w:t>7</w:t>
      </w:r>
      <w:r>
        <w:rPr>
          <w:rFonts w:ascii="Times New Roman" w:hAnsi="Times New Roman" w:eastAsia="宋体" w:cs="Times New Roman"/>
          <w:color w:val="auto"/>
          <w:sz w:val="24"/>
          <w:szCs w:val="24"/>
          <w:u w:val="none" w:color="auto"/>
        </w:rPr>
        <w:t xml:space="preserve"> 建设项目环境影响报告书审批基础信息表</w:t>
      </w:r>
    </w:p>
    <w:p w14:paraId="72FBD880">
      <w:pPr>
        <w:jc w:val="center"/>
        <w:rPr>
          <w:rFonts w:ascii="宋体" w:hAnsi="宋体" w:eastAsia="宋体" w:cs="宋体"/>
          <w:b/>
          <w:bCs/>
          <w:color w:val="auto"/>
          <w:sz w:val="32"/>
          <w:szCs w:val="32"/>
          <w:u w:val="none" w:color="auto"/>
        </w:rPr>
      </w:pPr>
      <w:bookmarkStart w:id="0" w:name="_Toc3728110"/>
      <w:r>
        <w:rPr>
          <w:rFonts w:hint="eastAsia" w:ascii="宋体" w:hAnsi="宋体" w:eastAsia="宋体" w:cs="宋体"/>
          <w:b/>
          <w:bCs/>
          <w:color w:val="auto"/>
          <w:sz w:val="32"/>
          <w:szCs w:val="32"/>
          <w:u w:val="none" w:color="auto"/>
        </w:rPr>
        <w:t>概述</w:t>
      </w:r>
      <w:bookmarkEnd w:id="0"/>
    </w:p>
    <w:p w14:paraId="2F3FA385">
      <w:pPr>
        <w:autoSpaceDE w:val="0"/>
        <w:autoSpaceDN w:val="0"/>
        <w:spacing w:line="360" w:lineRule="auto"/>
        <w:jc w:val="left"/>
        <w:rPr>
          <w:rFonts w:ascii="Times New Roman" w:hAnsi="Times New Roman" w:eastAsia="宋体" w:cs="Times New Roman"/>
          <w:color w:val="auto"/>
          <w:sz w:val="24"/>
          <w:szCs w:val="24"/>
          <w:u w:val="none" w:color="auto"/>
        </w:rPr>
      </w:pPr>
      <w:bookmarkStart w:id="1" w:name="_Toc3728111"/>
      <w:r>
        <w:rPr>
          <w:rFonts w:hint="eastAsia" w:ascii="Times New Roman" w:hAnsi="Times New Roman" w:eastAsia="宋体" w:cs="Times New Roman"/>
          <w:b/>
          <w:bCs/>
          <w:color w:val="auto"/>
          <w:sz w:val="24"/>
          <w:szCs w:val="24"/>
          <w:u w:val="none" w:color="auto"/>
        </w:rPr>
        <w:t>一、</w:t>
      </w:r>
      <w:r>
        <w:rPr>
          <w:rFonts w:ascii="Times New Roman" w:hAnsi="Times New Roman" w:eastAsia="宋体" w:cs="Times New Roman"/>
          <w:b/>
          <w:bCs/>
          <w:color w:val="auto"/>
          <w:sz w:val="24"/>
          <w:szCs w:val="24"/>
          <w:u w:val="none" w:color="auto"/>
        </w:rPr>
        <w:t>项目由来</w:t>
      </w:r>
      <w:bookmarkEnd w:id="1"/>
      <w:bookmarkStart w:id="2" w:name="_Hlk536362018"/>
    </w:p>
    <w:p w14:paraId="536FB3A8">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结合钦州市“十四五”时期建成投产海上风电产业基地项目，布局建设北部湾海上风电整机产业园、面向东盟的海上风电母港、风电科技园，打造海上风电全产业链基地，建设成为全国重要的面向东盟的海上风电装备产业基地的产业定位，钦州锦峰海洋重工科技有限公司拟在</w:t>
      </w:r>
      <w:r>
        <w:rPr>
          <w:rFonts w:hint="eastAsia" w:ascii="Times New Roman" w:hAnsi="Times New Roman" w:eastAsia="宋体" w:cs="Times New Roman"/>
          <w:color w:val="auto"/>
          <w:sz w:val="24"/>
          <w:szCs w:val="24"/>
          <w:u w:val="none" w:color="auto"/>
          <w:lang w:val="en-US" w:eastAsia="zh-CN"/>
        </w:rPr>
        <w:t>中国(广西)自由贸易试验区钦州港片区大榄坪二号路西面、中船规划支路北侧和南侧</w:t>
      </w:r>
      <w:r>
        <w:rPr>
          <w:rFonts w:hint="eastAsia" w:ascii="Times New Roman" w:hAnsi="Times New Roman" w:eastAsia="宋体" w:cs="Times New Roman"/>
          <w:color w:val="auto"/>
          <w:sz w:val="24"/>
          <w:szCs w:val="24"/>
          <w:u w:val="none" w:color="auto"/>
        </w:rPr>
        <w:t>建设</w:t>
      </w:r>
      <w:r>
        <w:rPr>
          <w:rFonts w:hint="eastAsia" w:ascii="Times New Roman" w:hAnsi="Times New Roman" w:eastAsia="宋体" w:cs="Times New Roman"/>
          <w:color w:val="auto"/>
          <w:sz w:val="24"/>
          <w:szCs w:val="24"/>
          <w:u w:val="none" w:color="auto"/>
          <w:lang w:eastAsia="zh-CN"/>
        </w:rPr>
        <w:t>钦州锦峰海洋重装二期项目</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eastAsia="zh-CN"/>
        </w:rPr>
        <w:t>项目</w:t>
      </w:r>
      <w:r>
        <w:rPr>
          <w:rFonts w:hint="eastAsia" w:ascii="Times New Roman" w:hAnsi="Times New Roman" w:eastAsia="宋体" w:cs="Times New Roman"/>
          <w:color w:val="auto"/>
          <w:sz w:val="24"/>
          <w:szCs w:val="24"/>
          <w:u w:val="none" w:color="auto"/>
        </w:rPr>
        <w:t>总投资</w:t>
      </w:r>
      <w:r>
        <w:rPr>
          <w:rFonts w:hint="eastAsia" w:ascii="Times New Roman" w:hAnsi="Times New Roman" w:eastAsia="宋体" w:cs="Times New Roman"/>
          <w:color w:val="auto"/>
          <w:sz w:val="24"/>
          <w:szCs w:val="24"/>
          <w:u w:val="none" w:color="auto"/>
          <w:lang w:eastAsia="zh-CN"/>
        </w:rPr>
        <w:t>51250</w:t>
      </w:r>
      <w:r>
        <w:rPr>
          <w:rFonts w:hint="eastAsia" w:ascii="Times New Roman" w:hAnsi="Times New Roman" w:eastAsia="宋体" w:cs="Times New Roman"/>
          <w:color w:val="auto"/>
          <w:sz w:val="24"/>
          <w:szCs w:val="24"/>
          <w:u w:val="none" w:color="auto"/>
        </w:rPr>
        <w:t>万元，项目建成后年生产及出运</w:t>
      </w:r>
      <w:r>
        <w:rPr>
          <w:rFonts w:hint="eastAsia" w:ascii="Times New Roman" w:hAnsi="Times New Roman" w:eastAsia="宋体" w:cs="Times New Roman"/>
          <w:color w:val="auto"/>
          <w:sz w:val="24"/>
          <w:szCs w:val="24"/>
          <w:u w:val="none" w:color="auto"/>
          <w:lang w:val="en-US" w:eastAsia="zh-CN"/>
        </w:rPr>
        <w:t>70000t/a海桩</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40000t/a</w:t>
      </w:r>
      <w:r>
        <w:rPr>
          <w:rFonts w:hint="eastAsia" w:ascii="Times New Roman" w:hAnsi="Times New Roman" w:eastAsia="宋体" w:cs="Times New Roman"/>
          <w:color w:val="auto"/>
          <w:sz w:val="24"/>
          <w:szCs w:val="24"/>
          <w:u w:val="none" w:color="auto"/>
        </w:rPr>
        <w:t>导管架</w:t>
      </w:r>
      <w:r>
        <w:rPr>
          <w:rFonts w:hint="eastAsia" w:ascii="Times New Roman" w:hAnsi="Times New Roman" w:eastAsia="宋体" w:cs="Times New Roman"/>
          <w:color w:val="auto"/>
          <w:sz w:val="24"/>
          <w:szCs w:val="24"/>
          <w:u w:val="none" w:color="auto"/>
          <w:lang w:val="en-US" w:eastAsia="zh-CN"/>
        </w:rPr>
        <w:t>、50000t/a</w:t>
      </w:r>
      <w:r>
        <w:rPr>
          <w:rFonts w:hint="eastAsia" w:ascii="Times New Roman" w:hAnsi="Times New Roman" w:eastAsia="宋体" w:cs="Times New Roman"/>
          <w:color w:val="auto"/>
          <w:sz w:val="24"/>
          <w:szCs w:val="24"/>
          <w:u w:val="none" w:color="auto"/>
        </w:rPr>
        <w:t>桥梁。</w:t>
      </w:r>
    </w:p>
    <w:p w14:paraId="46652A7F">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根据《建设项目环境影响评价分类管理名录》（20</w:t>
      </w:r>
      <w:r>
        <w:rPr>
          <w:rFonts w:hint="eastAsia" w:ascii="Times New Roman" w:hAnsi="Times New Roman" w:eastAsia="宋体" w:cs="Times New Roman"/>
          <w:color w:val="auto"/>
          <w:sz w:val="24"/>
          <w:szCs w:val="24"/>
          <w:u w:val="none" w:color="auto"/>
        </w:rPr>
        <w:t>21</w:t>
      </w:r>
      <w:r>
        <w:rPr>
          <w:rFonts w:ascii="Times New Roman" w:hAnsi="Times New Roman" w:eastAsia="宋体" w:cs="Times New Roman"/>
          <w:color w:val="auto"/>
          <w:sz w:val="24"/>
          <w:szCs w:val="24"/>
          <w:u w:val="none" w:color="auto"/>
        </w:rPr>
        <w:t>年本）的规定，该项目属于“</w:t>
      </w:r>
      <w:r>
        <w:rPr>
          <w:rFonts w:hint="eastAsia" w:ascii="Times New Roman" w:hAnsi="Times New Roman" w:eastAsia="宋体" w:cs="Times New Roman"/>
          <w:color w:val="auto"/>
          <w:sz w:val="24"/>
          <w:szCs w:val="24"/>
          <w:u w:val="none" w:color="auto"/>
        </w:rPr>
        <w:t>三十、金属制品业33</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类中的</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rPr>
        <w:t>结构性金属制品制造331</w:t>
      </w:r>
      <w:r>
        <w:rPr>
          <w:rFonts w:hint="eastAsia" w:ascii="Times New Roman" w:hAnsi="Times New Roman" w:eastAsia="宋体" w:cs="Times New Roman"/>
          <w:color w:val="auto"/>
          <w:sz w:val="24"/>
          <w:szCs w:val="24"/>
          <w:u w:val="none" w:color="auto"/>
          <w:lang w:eastAsia="zh-CN"/>
        </w:rPr>
        <w:t>”</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年用溶剂型涂料（含稀释剂）</w:t>
      </w:r>
      <w:r>
        <w:rPr>
          <w:rFonts w:ascii="Times New Roman" w:hAnsi="Times New Roman" w:eastAsia="宋体" w:cs="Times New Roman"/>
          <w:color w:val="auto"/>
          <w:sz w:val="24"/>
          <w:szCs w:val="24"/>
          <w:u w:val="none" w:color="auto"/>
        </w:rPr>
        <w:t>10吨及以上的，需编制环境影响报告书。</w:t>
      </w:r>
      <w:r>
        <w:rPr>
          <w:rFonts w:hint="eastAsia" w:ascii="Times New Roman" w:hAnsi="Times New Roman" w:eastAsia="宋体" w:cs="Times New Roman"/>
          <w:color w:val="auto"/>
          <w:sz w:val="24"/>
          <w:szCs w:val="24"/>
          <w:u w:val="none" w:color="auto"/>
        </w:rPr>
        <w:t>钦州锦峰海洋重工科技有限公司</w:t>
      </w:r>
      <w:r>
        <w:rPr>
          <w:rFonts w:ascii="Times New Roman" w:hAnsi="Times New Roman" w:eastAsia="宋体" w:cs="Times New Roman"/>
          <w:color w:val="auto"/>
          <w:sz w:val="24"/>
          <w:szCs w:val="24"/>
          <w:u w:val="none" w:color="auto"/>
        </w:rPr>
        <w:t>委托</w:t>
      </w:r>
      <w:r>
        <w:rPr>
          <w:rFonts w:hint="eastAsia" w:ascii="Times New Roman" w:hAnsi="Times New Roman" w:eastAsia="宋体" w:cs="Times New Roman"/>
          <w:color w:val="auto"/>
          <w:sz w:val="24"/>
          <w:szCs w:val="24"/>
          <w:u w:val="none" w:color="auto"/>
        </w:rPr>
        <w:t>我司</w:t>
      </w:r>
      <w:r>
        <w:rPr>
          <w:rFonts w:ascii="Times New Roman" w:hAnsi="Times New Roman" w:eastAsia="宋体" w:cs="Times New Roman"/>
          <w:color w:val="auto"/>
          <w:sz w:val="24"/>
          <w:szCs w:val="24"/>
          <w:u w:val="none" w:color="auto"/>
        </w:rPr>
        <w:t>承担该项目的环境影响评价的编制工作。接受委托后，我公司立即成立课题小组，组织相关技术人员到现场进行踏勘和调查，收集相关资料并进行统计分析，按照有关环境影响评价工作的技术规范，经监测、调查、类比、收集资料计算后，编制本环境影响评价报告书。</w:t>
      </w:r>
      <w:bookmarkEnd w:id="2"/>
    </w:p>
    <w:p w14:paraId="302B80E3">
      <w:pPr>
        <w:autoSpaceDE w:val="0"/>
        <w:autoSpaceDN w:val="0"/>
        <w:spacing w:line="360" w:lineRule="auto"/>
        <w:ind w:firstLine="480" w:firstLineChars="200"/>
        <w:jc w:val="left"/>
        <w:rPr>
          <w:rFonts w:hint="default"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rPr>
        <w:t>钦州锦峰海洋重工科技有限公司</w:t>
      </w:r>
      <w:r>
        <w:rPr>
          <w:rFonts w:hint="eastAsia" w:ascii="Times New Roman" w:hAnsi="Times New Roman" w:eastAsia="宋体" w:cs="Times New Roman"/>
          <w:color w:val="auto"/>
          <w:sz w:val="24"/>
          <w:szCs w:val="24"/>
          <w:u w:val="single" w:color="auto"/>
          <w:lang w:val="en-US" w:eastAsia="zh-CN"/>
        </w:rPr>
        <w:t>在钦州港大榄坪港区大榄坪作业区内建设有钦州锦峰海洋重工年产20万吨海洋重装项目，钦州市生态环境局于2021年10月25日以《钦州市生态环境局关于钦州锦峰海洋重工年产20万吨海洋重装项目环境影响报告书的批复》（自贸钦港审批函〔2021〕7号）同意项目建设。钦州锦峰海洋重工年产20万吨海洋重装项目已于2024年9月建成，2024年11月取得排污许可证，2025年5月30日取得《企业事业单位突发环境应急预案备案表》，目前正在进行项目的竣工环境保护验收工作。</w:t>
      </w:r>
    </w:p>
    <w:p w14:paraId="1E5E5C1C">
      <w:pPr>
        <w:autoSpaceDE w:val="0"/>
        <w:autoSpaceDN w:val="0"/>
        <w:spacing w:line="360" w:lineRule="auto"/>
        <w:ind w:firstLine="480" w:firstLineChars="200"/>
        <w:jc w:val="left"/>
        <w:rPr>
          <w:rFonts w:hint="eastAsia"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lang w:val="en-US" w:eastAsia="zh-CN"/>
        </w:rPr>
        <w:t>钦州锦峰海洋重装二期项目为钦州锦峰海洋重工科技有限公司新建项目，项目用地为独立用地，与钦州锦峰海洋重工年产20万吨海洋重装项目用地不存在重叠关系；钦州锦峰海洋重装二期项目生产场所、公辅设施和各类环境保护设施均独立设置，与钦州锦峰海洋重工年产20万吨海洋重装项目不存在依托关系。</w:t>
      </w:r>
    </w:p>
    <w:p w14:paraId="0CE57C98">
      <w:pPr>
        <w:autoSpaceDE w:val="0"/>
        <w:autoSpaceDN w:val="0"/>
        <w:spacing w:line="360" w:lineRule="auto"/>
        <w:ind w:firstLine="480" w:firstLineChars="200"/>
        <w:jc w:val="left"/>
        <w:rPr>
          <w:rFonts w:hint="eastAsia"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lang w:val="en-US" w:eastAsia="zh-CN"/>
        </w:rPr>
        <w:t>根据《广西壮族自治区交通运输厅关于钦州港大榄坪作业区12号13号泊位工程初步设计变更的批复》（桂交行审[2024]107号）（详见附件8），明确将钦州港大榄坪港区大榄坪作业区12号13号泊位工程项目东侧部分陆域调出总平面布置，本项目位于</w:t>
      </w:r>
      <w:r>
        <w:rPr>
          <w:rFonts w:hint="default" w:ascii="Times New Roman" w:hAnsi="Times New Roman" w:eastAsia="宋体" w:cs="Times New Roman"/>
          <w:color w:val="auto"/>
          <w:sz w:val="24"/>
          <w:szCs w:val="24"/>
          <w:u w:val="single" w:color="auto"/>
          <w:lang w:val="en-US" w:eastAsia="zh-CN"/>
        </w:rPr>
        <w:t>中国(广西)自由贸易试验区钦州港片区大榄坪二号路西面、中船规划支路北侧和南侧</w:t>
      </w:r>
      <w:r>
        <w:rPr>
          <w:rFonts w:hint="eastAsia" w:ascii="Times New Roman" w:hAnsi="Times New Roman" w:eastAsia="宋体" w:cs="Times New Roman"/>
          <w:color w:val="auto"/>
          <w:sz w:val="24"/>
          <w:szCs w:val="24"/>
          <w:u w:val="single" w:color="auto"/>
          <w:lang w:val="en-US" w:eastAsia="zh-CN"/>
        </w:rPr>
        <w:t>，亦</w:t>
      </w:r>
      <w:r>
        <w:rPr>
          <w:rFonts w:hint="eastAsia" w:ascii="Times New Roman" w:hAnsi="Times New Roman" w:eastAsia="宋体" w:cs="Times New Roman"/>
          <w:color w:val="auto"/>
          <w:sz w:val="24"/>
          <w:szCs w:val="24"/>
          <w:highlight w:val="none"/>
          <w:u w:val="single" w:color="auto"/>
          <w:lang w:val="en-US" w:eastAsia="zh-CN"/>
        </w:rPr>
        <w:t>位于钦州港大榄坪作业区12号13号泊位工程项目的东侧</w:t>
      </w:r>
      <w:r>
        <w:rPr>
          <w:rFonts w:hint="eastAsia" w:ascii="Times New Roman" w:hAnsi="Times New Roman" w:eastAsia="宋体" w:cs="Times New Roman"/>
          <w:color w:val="auto"/>
          <w:sz w:val="24"/>
          <w:szCs w:val="24"/>
          <w:u w:val="single" w:color="auto"/>
          <w:lang w:val="en-US" w:eastAsia="zh-CN"/>
        </w:rPr>
        <w:t>陆域</w:t>
      </w:r>
      <w:r>
        <w:rPr>
          <w:rFonts w:hint="eastAsia" w:ascii="Times New Roman" w:hAnsi="Times New Roman" w:eastAsia="宋体" w:cs="Times New Roman"/>
          <w:color w:val="auto"/>
          <w:sz w:val="24"/>
          <w:szCs w:val="24"/>
          <w:highlight w:val="none"/>
          <w:u w:val="single" w:color="auto"/>
          <w:lang w:val="en-US" w:eastAsia="zh-CN"/>
        </w:rPr>
        <w:t>，项目所在地不属于</w:t>
      </w:r>
      <w:r>
        <w:rPr>
          <w:rFonts w:hint="eastAsia" w:ascii="Times New Roman" w:hAnsi="Times New Roman" w:eastAsia="宋体" w:cs="Times New Roman"/>
          <w:color w:val="auto"/>
          <w:sz w:val="24"/>
          <w:szCs w:val="24"/>
          <w:u w:val="single" w:color="auto"/>
          <w:lang w:val="en-US" w:eastAsia="zh-CN"/>
        </w:rPr>
        <w:t>钦州港大榄坪港区大榄坪作业区范围内；同时根据项目与《北部湾港总体规划（2035）》的位置关系图，详见附图5，项目所在地不属于北部湾港总体规划范围内。</w:t>
      </w:r>
    </w:p>
    <w:p w14:paraId="56E8E2E6">
      <w:pPr>
        <w:autoSpaceDE w:val="0"/>
        <w:autoSpaceDN w:val="0"/>
        <w:spacing w:line="360" w:lineRule="auto"/>
        <w:jc w:val="left"/>
        <w:rPr>
          <w:rFonts w:ascii="Times New Roman" w:hAnsi="Times New Roman" w:eastAsia="宋体" w:cs="Times New Roman"/>
          <w:b/>
          <w:bCs/>
          <w:color w:val="auto"/>
          <w:sz w:val="24"/>
          <w:szCs w:val="24"/>
          <w:u w:val="none" w:color="auto"/>
        </w:rPr>
      </w:pPr>
      <w:bookmarkStart w:id="3" w:name="_Toc3728113"/>
      <w:r>
        <w:rPr>
          <w:rFonts w:hint="eastAsia" w:ascii="Times New Roman" w:hAnsi="Times New Roman" w:eastAsia="宋体" w:cs="Times New Roman"/>
          <w:b/>
          <w:bCs/>
          <w:color w:val="auto"/>
          <w:sz w:val="24"/>
          <w:szCs w:val="24"/>
          <w:u w:val="none" w:color="auto"/>
          <w:lang w:val="en-US" w:eastAsia="zh-CN"/>
        </w:rPr>
        <w:t xml:space="preserve">二、建设项目特点 </w:t>
      </w:r>
    </w:p>
    <w:p w14:paraId="0AA872C5">
      <w:pPr>
        <w:autoSpaceDE w:val="0"/>
        <w:autoSpaceDN w:val="0"/>
        <w:spacing w:line="360" w:lineRule="auto"/>
        <w:ind w:firstLine="480" w:firstLineChars="200"/>
        <w:jc w:val="left"/>
        <w:rPr>
          <w:rFonts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lang w:val="en-US" w:eastAsia="zh-CN"/>
        </w:rPr>
        <w:t>（1）本项目为新建项目，拟建于中国(广西)自由贸易试验区钦州港片区大榄坪二号路西面、中船规划支路北侧和南侧，</w:t>
      </w:r>
      <w:r>
        <w:rPr>
          <w:rFonts w:hint="eastAsia" w:ascii="Times New Roman" w:hAnsi="Times New Roman" w:eastAsia="宋体" w:cs="Times New Roman"/>
          <w:color w:val="auto"/>
          <w:sz w:val="24"/>
          <w:szCs w:val="24"/>
          <w:u w:val="single" w:color="auto"/>
          <w:lang w:val="en-US" w:eastAsia="zh-CN"/>
        </w:rPr>
        <w:t>根据《</w:t>
      </w:r>
      <w:r>
        <w:rPr>
          <w:rFonts w:hint="eastAsia" w:ascii="Times New Roman" w:hAnsi="Times New Roman" w:eastAsia="宋体" w:cs="Times New Roman"/>
          <w:color w:val="auto"/>
          <w:sz w:val="24"/>
          <w:u w:val="single" w:color="auto"/>
        </w:rPr>
        <w:t>中国（广西）自由贸易试验区钦州港片区国土空间分区规划（2023-2035年）</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项目用地为</w:t>
      </w:r>
      <w:r>
        <w:rPr>
          <w:rFonts w:hint="eastAsia" w:ascii="Times New Roman" w:hAnsi="Times New Roman" w:eastAsia="宋体" w:cs="Times New Roman"/>
          <w:color w:val="auto"/>
          <w:sz w:val="24"/>
          <w:szCs w:val="24"/>
          <w:u w:val="single" w:color="auto"/>
          <w:lang w:val="en-US" w:eastAsia="zh-CN"/>
        </w:rPr>
        <w:t>工业用地</w:t>
      </w:r>
      <w:r>
        <w:rPr>
          <w:rFonts w:hint="default" w:ascii="Times New Roman" w:hAnsi="Times New Roman" w:eastAsia="宋体" w:cs="Times New Roman"/>
          <w:color w:val="auto"/>
          <w:sz w:val="24"/>
          <w:szCs w:val="24"/>
          <w:u w:val="single" w:color="auto"/>
          <w:lang w:val="en-US" w:eastAsia="zh-CN"/>
        </w:rPr>
        <w:t>，符合国家和地方产业政策和土地利用规划</w:t>
      </w:r>
      <w:r>
        <w:rPr>
          <w:rFonts w:hint="eastAsia" w:ascii="Times New Roman" w:hAnsi="Times New Roman" w:eastAsia="宋体" w:cs="Times New Roman"/>
          <w:color w:val="auto"/>
          <w:sz w:val="24"/>
          <w:szCs w:val="24"/>
          <w:u w:val="single" w:color="auto"/>
          <w:lang w:val="en-US" w:eastAsia="zh-CN"/>
        </w:rPr>
        <w:t xml:space="preserve">；区域内基础设施较为完善。 </w:t>
      </w:r>
    </w:p>
    <w:p w14:paraId="534CE7D6">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lang w:val="en-US" w:eastAsia="zh-CN"/>
        </w:rPr>
        <w:t>2</w:t>
      </w:r>
      <w:r>
        <w:rPr>
          <w:rFonts w:hint="eastAsia" w:ascii="Times New Roman" w:hAnsi="Times New Roman" w:eastAsia="宋体" w:cs="Times New Roman"/>
          <w:color w:val="auto"/>
          <w:sz w:val="24"/>
          <w:szCs w:val="24"/>
          <w:u w:val="none" w:color="auto"/>
          <w:lang w:val="en-US" w:eastAsia="zh-CN"/>
        </w:rPr>
        <w:t>）生产过程中油漆、稀释剂、</w:t>
      </w:r>
      <w:r>
        <w:rPr>
          <w:rFonts w:hint="eastAsia" w:ascii="Times New Roman" w:hAnsi="Times New Roman" w:eastAsia="宋体" w:cs="Times New Roman"/>
          <w:color w:val="auto"/>
          <w:sz w:val="24"/>
          <w:szCs w:val="24"/>
          <w:u w:val="single" w:color="auto"/>
          <w:lang w:val="en-US" w:eastAsia="zh-CN"/>
        </w:rPr>
        <w:t>固化剂的</w:t>
      </w:r>
      <w:r>
        <w:rPr>
          <w:rFonts w:hint="eastAsia" w:ascii="Times New Roman" w:hAnsi="Times New Roman" w:eastAsia="宋体" w:cs="Times New Roman"/>
          <w:color w:val="auto"/>
          <w:sz w:val="24"/>
          <w:szCs w:val="24"/>
          <w:u w:val="none" w:color="auto"/>
          <w:lang w:val="en-US" w:eastAsia="zh-CN"/>
        </w:rPr>
        <w:t>使用量较大，废气主要污染因子为挥发性有机物。废气分质分类进行收集，排放均可满足相应标准要求。</w:t>
      </w:r>
    </w:p>
    <w:p w14:paraId="598A99E4">
      <w:pPr>
        <w:autoSpaceDE w:val="0"/>
        <w:autoSpaceDN w:val="0"/>
        <w:spacing w:line="360" w:lineRule="auto"/>
        <w:jc w:val="left"/>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eastAsia="zh-CN"/>
        </w:rPr>
        <w:t>三</w:t>
      </w:r>
      <w:r>
        <w:rPr>
          <w:rFonts w:hint="eastAsia" w:ascii="Times New Roman" w:hAnsi="Times New Roman" w:eastAsia="宋体" w:cs="Times New Roman"/>
          <w:b/>
          <w:bCs/>
          <w:color w:val="auto"/>
          <w:sz w:val="24"/>
          <w:szCs w:val="24"/>
          <w:u w:val="none" w:color="auto"/>
        </w:rPr>
        <w:t>、</w:t>
      </w:r>
      <w:r>
        <w:rPr>
          <w:rFonts w:ascii="Times New Roman" w:hAnsi="Times New Roman" w:eastAsia="宋体" w:cs="Times New Roman"/>
          <w:b/>
          <w:bCs/>
          <w:color w:val="auto"/>
          <w:sz w:val="24"/>
          <w:szCs w:val="24"/>
          <w:u w:val="none" w:color="auto"/>
        </w:rPr>
        <w:t>环境影响评价的工作过程</w:t>
      </w:r>
      <w:bookmarkEnd w:id="3"/>
    </w:p>
    <w:p w14:paraId="224ED788">
      <w:pPr>
        <w:autoSpaceDE w:val="0"/>
        <w:autoSpaceDN w:val="0"/>
        <w:spacing w:line="360" w:lineRule="auto"/>
        <w:ind w:firstLine="480"/>
        <w:rPr>
          <w:rFonts w:hint="default" w:ascii="Times New Roman" w:hAnsi="Times New Roman" w:eastAsia="宋体" w:cs="Times New Roman"/>
          <w:color w:val="auto"/>
          <w:kern w:val="0"/>
          <w:sz w:val="24"/>
          <w:szCs w:val="20"/>
          <w:u w:val="single" w:color="auto"/>
        </w:rPr>
      </w:pPr>
      <w:r>
        <w:rPr>
          <w:rFonts w:hint="default" w:ascii="Times New Roman" w:hAnsi="Times New Roman" w:eastAsia="宋体" w:cs="Times New Roman"/>
          <w:color w:val="auto"/>
          <w:sz w:val="24"/>
          <w:szCs w:val="22"/>
          <w:highlight w:val="none"/>
          <w:u w:val="single" w:color="auto"/>
        </w:rPr>
        <w:t>20</w:t>
      </w:r>
      <w:r>
        <w:rPr>
          <w:rFonts w:hint="default" w:ascii="Times New Roman" w:hAnsi="Times New Roman" w:eastAsia="宋体" w:cs="Times New Roman"/>
          <w:color w:val="auto"/>
          <w:sz w:val="24"/>
          <w:szCs w:val="22"/>
          <w:highlight w:val="none"/>
          <w:u w:val="single" w:color="auto"/>
          <w:lang w:val="en-US" w:eastAsia="zh-CN"/>
        </w:rPr>
        <w:t>24</w:t>
      </w:r>
      <w:r>
        <w:rPr>
          <w:rFonts w:hint="default" w:ascii="Times New Roman" w:hAnsi="Times New Roman" w:eastAsia="宋体" w:cs="Times New Roman"/>
          <w:color w:val="auto"/>
          <w:sz w:val="24"/>
          <w:szCs w:val="22"/>
          <w:highlight w:val="none"/>
          <w:u w:val="single" w:color="auto"/>
        </w:rPr>
        <w:t>年</w:t>
      </w:r>
      <w:r>
        <w:rPr>
          <w:rFonts w:hint="default" w:ascii="Times New Roman" w:hAnsi="Times New Roman" w:eastAsia="宋体" w:cs="Times New Roman"/>
          <w:color w:val="auto"/>
          <w:sz w:val="24"/>
          <w:szCs w:val="22"/>
          <w:highlight w:val="none"/>
          <w:u w:val="single" w:color="auto"/>
          <w:lang w:val="en-US" w:eastAsia="zh-CN"/>
        </w:rPr>
        <w:t>9</w:t>
      </w:r>
      <w:r>
        <w:rPr>
          <w:rFonts w:hint="default" w:ascii="Times New Roman" w:hAnsi="Times New Roman" w:eastAsia="宋体" w:cs="Times New Roman"/>
          <w:color w:val="auto"/>
          <w:sz w:val="24"/>
          <w:szCs w:val="22"/>
          <w:highlight w:val="none"/>
          <w:u w:val="single" w:color="auto"/>
        </w:rPr>
        <w:t>月</w:t>
      </w:r>
      <w:r>
        <w:rPr>
          <w:rFonts w:hint="default" w:ascii="Times New Roman" w:hAnsi="Times New Roman" w:eastAsia="宋体" w:cs="Times New Roman"/>
          <w:color w:val="auto"/>
          <w:sz w:val="24"/>
          <w:szCs w:val="22"/>
          <w:highlight w:val="none"/>
          <w:u w:val="single" w:color="auto"/>
          <w:lang w:val="en-US" w:eastAsia="zh-CN"/>
        </w:rPr>
        <w:t>23</w:t>
      </w:r>
      <w:r>
        <w:rPr>
          <w:rFonts w:hint="default" w:ascii="Times New Roman" w:hAnsi="Times New Roman" w:eastAsia="宋体" w:cs="Times New Roman"/>
          <w:color w:val="auto"/>
          <w:sz w:val="24"/>
          <w:szCs w:val="22"/>
          <w:highlight w:val="none"/>
          <w:u w:val="single" w:color="auto"/>
        </w:rPr>
        <w:t>日</w:t>
      </w:r>
      <w:r>
        <w:rPr>
          <w:rFonts w:hint="default" w:ascii="Times New Roman" w:hAnsi="Times New Roman" w:eastAsia="宋体" w:cs="Times New Roman"/>
          <w:color w:val="auto"/>
          <w:sz w:val="24"/>
          <w:szCs w:val="22"/>
          <w:highlight w:val="none"/>
          <w:u w:val="single" w:color="auto"/>
          <w:lang w:eastAsia="zh-CN"/>
        </w:rPr>
        <w:t>，</w:t>
      </w:r>
      <w:r>
        <w:rPr>
          <w:rFonts w:hint="default" w:ascii="Times New Roman" w:hAnsi="Times New Roman" w:eastAsia="宋体" w:cs="Times New Roman"/>
          <w:color w:val="auto"/>
          <w:kern w:val="0"/>
          <w:sz w:val="24"/>
          <w:szCs w:val="20"/>
          <w:u w:val="single" w:color="auto"/>
        </w:rPr>
        <w:t>我司接受建设单位编制环评的委托后，评价单位及时组织评价人员进行了现场踏勘和资料收集工作；同时建设单位</w:t>
      </w:r>
      <w:r>
        <w:rPr>
          <w:rFonts w:hint="default" w:ascii="Times New Roman" w:hAnsi="Times New Roman" w:eastAsia="宋体" w:cs="Times New Roman"/>
          <w:color w:val="auto"/>
          <w:kern w:val="0"/>
          <w:sz w:val="24"/>
          <w:szCs w:val="20"/>
          <w:u w:val="single" w:color="auto"/>
          <w:lang w:val="en-US" w:eastAsia="zh-CN"/>
        </w:rPr>
        <w:t>于</w:t>
      </w:r>
      <w:r>
        <w:rPr>
          <w:rFonts w:hint="default" w:ascii="Times New Roman" w:hAnsi="Times New Roman" w:eastAsia="宋体" w:cs="Times New Roman"/>
          <w:color w:val="auto"/>
          <w:sz w:val="24"/>
          <w:szCs w:val="22"/>
          <w:highlight w:val="none"/>
          <w:u w:val="single" w:color="auto"/>
        </w:rPr>
        <w:t>20</w:t>
      </w:r>
      <w:r>
        <w:rPr>
          <w:rFonts w:hint="default" w:ascii="Times New Roman" w:hAnsi="Times New Roman" w:eastAsia="宋体" w:cs="Times New Roman"/>
          <w:color w:val="auto"/>
          <w:sz w:val="24"/>
          <w:szCs w:val="22"/>
          <w:highlight w:val="none"/>
          <w:u w:val="single" w:color="auto"/>
          <w:lang w:val="en-US" w:eastAsia="zh-CN"/>
        </w:rPr>
        <w:t>24</w:t>
      </w:r>
      <w:r>
        <w:rPr>
          <w:rFonts w:hint="default" w:ascii="Times New Roman" w:hAnsi="Times New Roman" w:eastAsia="宋体" w:cs="Times New Roman"/>
          <w:color w:val="auto"/>
          <w:sz w:val="24"/>
          <w:szCs w:val="22"/>
          <w:highlight w:val="none"/>
          <w:u w:val="single" w:color="auto"/>
        </w:rPr>
        <w:t>年</w:t>
      </w:r>
      <w:r>
        <w:rPr>
          <w:rFonts w:hint="default" w:ascii="Times New Roman" w:hAnsi="Times New Roman" w:eastAsia="宋体" w:cs="Times New Roman"/>
          <w:color w:val="auto"/>
          <w:sz w:val="24"/>
          <w:szCs w:val="22"/>
          <w:highlight w:val="none"/>
          <w:u w:val="single" w:color="auto"/>
          <w:lang w:val="en-US" w:eastAsia="zh-CN"/>
        </w:rPr>
        <w:t>9</w:t>
      </w:r>
      <w:r>
        <w:rPr>
          <w:rFonts w:hint="default" w:ascii="Times New Roman" w:hAnsi="Times New Roman" w:eastAsia="宋体" w:cs="Times New Roman"/>
          <w:color w:val="auto"/>
          <w:sz w:val="24"/>
          <w:szCs w:val="22"/>
          <w:highlight w:val="none"/>
          <w:u w:val="single" w:color="auto"/>
        </w:rPr>
        <w:t>月</w:t>
      </w:r>
      <w:r>
        <w:rPr>
          <w:rFonts w:hint="default" w:ascii="Times New Roman" w:hAnsi="Times New Roman" w:eastAsia="宋体" w:cs="Times New Roman"/>
          <w:color w:val="auto"/>
          <w:sz w:val="24"/>
          <w:szCs w:val="22"/>
          <w:highlight w:val="none"/>
          <w:u w:val="single" w:color="auto"/>
          <w:lang w:val="en-US" w:eastAsia="zh-CN"/>
        </w:rPr>
        <w:t>26</w:t>
      </w:r>
      <w:r>
        <w:rPr>
          <w:rFonts w:hint="default" w:ascii="Times New Roman" w:hAnsi="Times New Roman" w:eastAsia="宋体" w:cs="Times New Roman"/>
          <w:color w:val="auto"/>
          <w:sz w:val="24"/>
          <w:szCs w:val="22"/>
          <w:highlight w:val="none"/>
          <w:u w:val="single" w:color="auto"/>
        </w:rPr>
        <w:t>日</w:t>
      </w:r>
      <w:r>
        <w:rPr>
          <w:rFonts w:hint="default" w:ascii="Times New Roman" w:hAnsi="Times New Roman" w:eastAsia="宋体" w:cs="Times New Roman"/>
          <w:color w:val="auto"/>
          <w:kern w:val="0"/>
          <w:sz w:val="24"/>
          <w:szCs w:val="20"/>
          <w:u w:val="single" w:color="auto"/>
        </w:rPr>
        <w:t>进行第一次公示（网站公示）。评价单位进一步对项目所在区域的自然环境进行了全面调查，收集环境质量现状监测资料，对项目进行全面分析，识别和筛选了环境影响因子和评价因子，同时确定了评价专题和内容，在此基础上进行了资料收集、类比调查、污染源监测资料收集、分析计算、模拟预测等工作，根据我国建设项目环境影响评价的有关技术规范，形成环境影响报告书初稿；建设单位</w:t>
      </w:r>
      <w:r>
        <w:rPr>
          <w:rFonts w:hint="default" w:ascii="Times New Roman" w:hAnsi="Times New Roman" w:eastAsia="宋体" w:cs="Times New Roman"/>
          <w:color w:val="auto"/>
          <w:kern w:val="0"/>
          <w:sz w:val="24"/>
          <w:szCs w:val="20"/>
          <w:u w:val="single" w:color="auto"/>
          <w:lang w:val="en-US" w:eastAsia="zh-CN"/>
        </w:rPr>
        <w:t>于</w:t>
      </w:r>
      <w:r>
        <w:rPr>
          <w:rFonts w:hint="default" w:ascii="Times New Roman" w:hAnsi="Times New Roman" w:eastAsia="宋体" w:cs="Times New Roman"/>
          <w:color w:val="auto"/>
          <w:sz w:val="24"/>
          <w:szCs w:val="22"/>
          <w:highlight w:val="none"/>
          <w:u w:val="single" w:color="auto"/>
        </w:rPr>
        <w:t>20</w:t>
      </w:r>
      <w:r>
        <w:rPr>
          <w:rFonts w:hint="default" w:ascii="Times New Roman" w:hAnsi="Times New Roman" w:eastAsia="宋体" w:cs="Times New Roman"/>
          <w:color w:val="auto"/>
          <w:sz w:val="24"/>
          <w:szCs w:val="22"/>
          <w:highlight w:val="none"/>
          <w:u w:val="single" w:color="auto"/>
          <w:lang w:val="en-US" w:eastAsia="zh-CN"/>
        </w:rPr>
        <w:t>24</w:t>
      </w:r>
      <w:r>
        <w:rPr>
          <w:rFonts w:hint="default" w:ascii="Times New Roman" w:hAnsi="Times New Roman" w:eastAsia="宋体" w:cs="Times New Roman"/>
          <w:color w:val="auto"/>
          <w:sz w:val="24"/>
          <w:szCs w:val="22"/>
          <w:highlight w:val="none"/>
          <w:u w:val="single" w:color="auto"/>
        </w:rPr>
        <w:t>年</w:t>
      </w:r>
      <w:r>
        <w:rPr>
          <w:rFonts w:hint="default" w:ascii="Times New Roman" w:hAnsi="Times New Roman" w:eastAsia="宋体" w:cs="Times New Roman"/>
          <w:color w:val="auto"/>
          <w:sz w:val="24"/>
          <w:szCs w:val="22"/>
          <w:highlight w:val="none"/>
          <w:u w:val="single" w:color="auto"/>
          <w:lang w:val="en-US" w:eastAsia="zh-CN"/>
        </w:rPr>
        <w:t>10</w:t>
      </w:r>
      <w:r>
        <w:rPr>
          <w:rFonts w:hint="default" w:ascii="Times New Roman" w:hAnsi="Times New Roman" w:eastAsia="宋体" w:cs="Times New Roman"/>
          <w:color w:val="auto"/>
          <w:sz w:val="24"/>
          <w:szCs w:val="22"/>
          <w:highlight w:val="none"/>
          <w:u w:val="single" w:color="auto"/>
        </w:rPr>
        <w:t>月</w:t>
      </w:r>
      <w:r>
        <w:rPr>
          <w:rFonts w:hint="default" w:ascii="Times New Roman" w:hAnsi="Times New Roman" w:eastAsia="宋体" w:cs="Times New Roman"/>
          <w:color w:val="auto"/>
          <w:sz w:val="24"/>
          <w:szCs w:val="22"/>
          <w:highlight w:val="none"/>
          <w:u w:val="single" w:color="auto"/>
          <w:lang w:val="en-US" w:eastAsia="zh-CN"/>
        </w:rPr>
        <w:t>30</w:t>
      </w:r>
      <w:r>
        <w:rPr>
          <w:rFonts w:hint="default" w:ascii="Times New Roman" w:hAnsi="Times New Roman" w:eastAsia="宋体" w:cs="Times New Roman"/>
          <w:color w:val="auto"/>
          <w:sz w:val="24"/>
          <w:szCs w:val="22"/>
          <w:highlight w:val="none"/>
          <w:u w:val="single" w:color="auto"/>
        </w:rPr>
        <w:t>日</w:t>
      </w:r>
      <w:r>
        <w:rPr>
          <w:rFonts w:hint="default" w:ascii="Times New Roman" w:hAnsi="Times New Roman" w:eastAsia="宋体" w:cs="Times New Roman"/>
          <w:color w:val="auto"/>
          <w:kern w:val="0"/>
          <w:sz w:val="24"/>
          <w:szCs w:val="20"/>
          <w:u w:val="single" w:color="auto"/>
          <w:lang w:val="en-US" w:eastAsia="zh-CN"/>
        </w:rPr>
        <w:t>进行了</w:t>
      </w:r>
      <w:r>
        <w:rPr>
          <w:rFonts w:hint="default" w:ascii="Times New Roman" w:hAnsi="Times New Roman" w:eastAsia="宋体" w:cs="Times New Roman"/>
          <w:color w:val="auto"/>
          <w:kern w:val="0"/>
          <w:sz w:val="24"/>
          <w:szCs w:val="20"/>
          <w:u w:val="single" w:color="auto"/>
        </w:rPr>
        <w:t>环评第二次公示（网站公示和现场张贴、报纸公示）</w:t>
      </w:r>
      <w:r>
        <w:rPr>
          <w:rFonts w:hint="default" w:ascii="Times New Roman" w:hAnsi="Times New Roman" w:eastAsia="宋体" w:cs="Times New Roman"/>
          <w:color w:val="auto"/>
          <w:kern w:val="0"/>
          <w:sz w:val="24"/>
          <w:szCs w:val="20"/>
          <w:u w:val="single" w:color="auto"/>
          <w:lang w:eastAsia="zh-CN"/>
        </w:rPr>
        <w:t>，</w:t>
      </w:r>
      <w:r>
        <w:rPr>
          <w:rFonts w:hint="default" w:ascii="Times New Roman" w:hAnsi="Times New Roman" w:eastAsia="宋体" w:cs="Times New Roman"/>
          <w:color w:val="auto"/>
          <w:kern w:val="0"/>
          <w:sz w:val="24"/>
          <w:szCs w:val="20"/>
          <w:u w:val="single" w:color="auto"/>
          <w:lang w:val="en-US" w:eastAsia="zh-CN"/>
        </w:rPr>
        <w:t>其中</w:t>
      </w:r>
      <w:r>
        <w:rPr>
          <w:rFonts w:hint="default" w:ascii="Times New Roman" w:hAnsi="Times New Roman" w:eastAsia="宋体" w:cs="Times New Roman"/>
          <w:color w:val="auto"/>
          <w:sz w:val="24"/>
          <w:szCs w:val="22"/>
          <w:u w:val="single" w:color="auto"/>
        </w:rPr>
        <w:t>于20</w:t>
      </w:r>
      <w:r>
        <w:rPr>
          <w:rFonts w:hint="default" w:ascii="Times New Roman" w:hAnsi="Times New Roman" w:eastAsia="宋体" w:cs="Times New Roman"/>
          <w:color w:val="auto"/>
          <w:sz w:val="24"/>
          <w:szCs w:val="22"/>
          <w:u w:val="single" w:color="auto"/>
          <w:lang w:val="en-US" w:eastAsia="zh-CN"/>
        </w:rPr>
        <w:t>24</w:t>
      </w:r>
      <w:r>
        <w:rPr>
          <w:rFonts w:hint="default" w:ascii="Times New Roman" w:hAnsi="Times New Roman" w:eastAsia="宋体" w:cs="Times New Roman"/>
          <w:color w:val="auto"/>
          <w:sz w:val="24"/>
          <w:szCs w:val="22"/>
          <w:u w:val="single" w:color="auto"/>
        </w:rPr>
        <w:t>年</w:t>
      </w:r>
      <w:r>
        <w:rPr>
          <w:rFonts w:hint="default" w:ascii="Times New Roman" w:hAnsi="Times New Roman" w:eastAsia="宋体" w:cs="Times New Roman"/>
          <w:color w:val="auto"/>
          <w:sz w:val="24"/>
          <w:szCs w:val="22"/>
          <w:u w:val="single" w:color="auto"/>
          <w:lang w:val="en-US" w:eastAsia="zh-CN"/>
        </w:rPr>
        <w:t>11</w:t>
      </w:r>
      <w:r>
        <w:rPr>
          <w:rFonts w:hint="default" w:ascii="Times New Roman" w:hAnsi="Times New Roman" w:eastAsia="宋体" w:cs="Times New Roman"/>
          <w:color w:val="auto"/>
          <w:sz w:val="24"/>
          <w:szCs w:val="22"/>
          <w:u w:val="single" w:color="auto"/>
        </w:rPr>
        <w:t>月</w:t>
      </w:r>
      <w:r>
        <w:rPr>
          <w:rFonts w:hint="default" w:ascii="Times New Roman" w:hAnsi="Times New Roman" w:eastAsia="宋体" w:cs="Times New Roman"/>
          <w:color w:val="auto"/>
          <w:sz w:val="24"/>
          <w:szCs w:val="22"/>
          <w:u w:val="single" w:color="auto"/>
          <w:lang w:val="en-US" w:eastAsia="zh-CN"/>
        </w:rPr>
        <w:t>12</w:t>
      </w:r>
      <w:r>
        <w:rPr>
          <w:rFonts w:hint="default" w:ascii="Times New Roman" w:hAnsi="Times New Roman" w:eastAsia="宋体" w:cs="Times New Roman"/>
          <w:color w:val="auto"/>
          <w:sz w:val="24"/>
          <w:szCs w:val="22"/>
          <w:u w:val="single" w:color="auto"/>
        </w:rPr>
        <w:t>日、</w:t>
      </w:r>
      <w:r>
        <w:rPr>
          <w:rFonts w:hint="default" w:ascii="Times New Roman" w:hAnsi="Times New Roman" w:eastAsia="宋体" w:cs="Times New Roman"/>
          <w:color w:val="auto"/>
          <w:sz w:val="24"/>
          <w:szCs w:val="22"/>
          <w:u w:val="single" w:color="auto"/>
          <w:lang w:val="en-US" w:eastAsia="zh-CN"/>
        </w:rPr>
        <w:t>11</w:t>
      </w:r>
      <w:r>
        <w:rPr>
          <w:rFonts w:hint="default" w:ascii="Times New Roman" w:hAnsi="Times New Roman" w:eastAsia="宋体" w:cs="Times New Roman"/>
          <w:color w:val="auto"/>
          <w:sz w:val="24"/>
          <w:szCs w:val="22"/>
          <w:u w:val="single" w:color="auto"/>
        </w:rPr>
        <w:t>月</w:t>
      </w:r>
      <w:r>
        <w:rPr>
          <w:rFonts w:hint="default" w:ascii="Times New Roman" w:hAnsi="Times New Roman" w:eastAsia="宋体" w:cs="Times New Roman"/>
          <w:color w:val="auto"/>
          <w:sz w:val="24"/>
          <w:szCs w:val="22"/>
          <w:u w:val="single" w:color="auto"/>
          <w:lang w:val="en-US" w:eastAsia="zh-CN"/>
        </w:rPr>
        <w:t>13</w:t>
      </w:r>
      <w:r>
        <w:rPr>
          <w:rFonts w:hint="default" w:ascii="Times New Roman" w:hAnsi="Times New Roman" w:eastAsia="宋体" w:cs="Times New Roman"/>
          <w:color w:val="auto"/>
          <w:sz w:val="24"/>
          <w:szCs w:val="22"/>
          <w:u w:val="single" w:color="auto"/>
        </w:rPr>
        <w:t>日通过广西日报对项目进行了两次公示</w:t>
      </w:r>
      <w:r>
        <w:rPr>
          <w:rFonts w:hint="default" w:ascii="Times New Roman" w:hAnsi="Times New Roman" w:eastAsia="宋体" w:cs="Times New Roman"/>
          <w:color w:val="auto"/>
          <w:kern w:val="0"/>
          <w:sz w:val="24"/>
          <w:szCs w:val="20"/>
          <w:u w:val="single" w:color="auto"/>
        </w:rPr>
        <w:t>，征求公众意见。在进一步落实工程和评价内容、综合公众参与结果的基础上，形成本项目环境影响报告书。</w:t>
      </w:r>
      <w:r>
        <w:rPr>
          <w:rFonts w:hint="default" w:ascii="Times New Roman" w:hAnsi="Times New Roman" w:eastAsia="宋体" w:cs="Times New Roman"/>
          <w:color w:val="auto"/>
          <w:sz w:val="24"/>
          <w:szCs w:val="22"/>
          <w:u w:val="single" w:color="auto"/>
        </w:rPr>
        <w:t>在环境影响报告书报批稿完成后于</w:t>
      </w:r>
      <w:r>
        <w:rPr>
          <w:rFonts w:hint="default" w:ascii="Times New Roman" w:hAnsi="Times New Roman" w:eastAsia="宋体" w:cs="Times New Roman"/>
          <w:color w:val="auto"/>
          <w:sz w:val="24"/>
          <w:szCs w:val="22"/>
          <w:highlight w:val="none"/>
          <w:u w:val="single" w:color="auto"/>
        </w:rPr>
        <w:t>20</w:t>
      </w:r>
      <w:r>
        <w:rPr>
          <w:rFonts w:hint="default" w:ascii="Times New Roman" w:hAnsi="Times New Roman" w:eastAsia="宋体" w:cs="Times New Roman"/>
          <w:color w:val="auto"/>
          <w:sz w:val="24"/>
          <w:szCs w:val="22"/>
          <w:highlight w:val="none"/>
          <w:u w:val="single" w:color="auto"/>
          <w:lang w:val="en-US" w:eastAsia="zh-CN"/>
        </w:rPr>
        <w:t>25</w:t>
      </w:r>
      <w:r>
        <w:rPr>
          <w:rFonts w:hint="default" w:ascii="Times New Roman" w:hAnsi="Times New Roman" w:eastAsia="宋体" w:cs="Times New Roman"/>
          <w:color w:val="auto"/>
          <w:sz w:val="24"/>
          <w:szCs w:val="22"/>
          <w:highlight w:val="none"/>
          <w:u w:val="single" w:color="auto"/>
        </w:rPr>
        <w:t>年</w:t>
      </w:r>
      <w:r>
        <w:rPr>
          <w:rFonts w:hint="default" w:ascii="Times New Roman" w:hAnsi="Times New Roman" w:eastAsia="宋体" w:cs="Times New Roman"/>
          <w:color w:val="auto"/>
          <w:sz w:val="24"/>
          <w:szCs w:val="22"/>
          <w:highlight w:val="none"/>
          <w:u w:val="single" w:color="auto"/>
          <w:lang w:val="en-US" w:eastAsia="zh-CN"/>
        </w:rPr>
        <w:t>8</w:t>
      </w:r>
      <w:r>
        <w:rPr>
          <w:rFonts w:hint="default" w:ascii="Times New Roman" w:hAnsi="Times New Roman" w:eastAsia="宋体" w:cs="Times New Roman"/>
          <w:color w:val="auto"/>
          <w:sz w:val="24"/>
          <w:szCs w:val="22"/>
          <w:highlight w:val="none"/>
          <w:u w:val="single" w:color="auto"/>
        </w:rPr>
        <w:t>月</w:t>
      </w:r>
      <w:r>
        <w:rPr>
          <w:rFonts w:hint="default" w:ascii="Times New Roman" w:hAnsi="Times New Roman" w:eastAsia="宋体" w:cs="Times New Roman"/>
          <w:color w:val="auto"/>
          <w:sz w:val="24"/>
          <w:szCs w:val="22"/>
          <w:highlight w:val="none"/>
          <w:u w:val="single" w:color="auto"/>
          <w:lang w:val="en-US" w:eastAsia="zh-CN"/>
        </w:rPr>
        <w:t>12</w:t>
      </w:r>
      <w:r>
        <w:rPr>
          <w:rFonts w:hint="default" w:ascii="Times New Roman" w:hAnsi="Times New Roman" w:eastAsia="宋体" w:cs="Times New Roman"/>
          <w:color w:val="auto"/>
          <w:sz w:val="24"/>
          <w:szCs w:val="22"/>
          <w:highlight w:val="none"/>
          <w:u w:val="single" w:color="auto"/>
        </w:rPr>
        <w:t>日</w:t>
      </w:r>
      <w:r>
        <w:rPr>
          <w:rFonts w:hint="default" w:ascii="Times New Roman" w:hAnsi="Times New Roman" w:eastAsia="宋体" w:cs="Times New Roman"/>
          <w:color w:val="auto"/>
          <w:sz w:val="24"/>
          <w:szCs w:val="22"/>
          <w:u w:val="single" w:color="auto"/>
        </w:rPr>
        <w:t>在</w:t>
      </w:r>
      <w:r>
        <w:rPr>
          <w:rFonts w:hint="default" w:ascii="Times New Roman" w:hAnsi="Times New Roman" w:eastAsia="宋体" w:cs="Times New Roman"/>
          <w:color w:val="auto"/>
          <w:sz w:val="24"/>
          <w:szCs w:val="22"/>
          <w:u w:val="single" w:color="auto"/>
          <w:lang w:val="en-US" w:eastAsia="zh-CN"/>
        </w:rPr>
        <w:t>生态环境公示网</w:t>
      </w:r>
      <w:r>
        <w:rPr>
          <w:rFonts w:hint="default" w:ascii="Times New Roman" w:hAnsi="Times New Roman" w:eastAsia="宋体" w:cs="Times New Roman"/>
          <w:color w:val="auto"/>
          <w:sz w:val="24"/>
          <w:szCs w:val="22"/>
          <w:u w:val="single" w:color="auto"/>
        </w:rPr>
        <w:t>上进行了本项目环境影响评价的报批前网络公示</w:t>
      </w:r>
    </w:p>
    <w:p w14:paraId="1637425F">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本项目环境影响评价工作程序见图1.2-1。</w:t>
      </w:r>
    </w:p>
    <w:p w14:paraId="6D07F4C6">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drawing>
          <wp:inline distT="0" distB="0" distL="0" distR="0">
            <wp:extent cx="4971415" cy="4771390"/>
            <wp:effectExtent l="0" t="0" r="6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4971415" cy="4771390"/>
                    </a:xfrm>
                    <a:prstGeom prst="rect">
                      <a:avLst/>
                    </a:prstGeom>
                    <a:noFill/>
                  </pic:spPr>
                </pic:pic>
              </a:graphicData>
            </a:graphic>
          </wp:inline>
        </w:drawing>
      </w:r>
    </w:p>
    <w:p w14:paraId="6FF0AA62">
      <w:pPr>
        <w:autoSpaceDE w:val="0"/>
        <w:autoSpaceDN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图1.2-1项目评价工作程序</w:t>
      </w:r>
    </w:p>
    <w:p w14:paraId="3F353D47">
      <w:pPr>
        <w:autoSpaceDE w:val="0"/>
        <w:autoSpaceDN w:val="0"/>
        <w:spacing w:line="360" w:lineRule="auto"/>
        <w:jc w:val="left"/>
        <w:rPr>
          <w:rFonts w:hint="default" w:ascii="Times New Roman" w:hAnsi="Times New Roman" w:eastAsia="宋体" w:cs="Times New Roman"/>
          <w:b/>
          <w:bCs/>
          <w:color w:val="auto"/>
          <w:sz w:val="24"/>
          <w:szCs w:val="24"/>
          <w:u w:val="none" w:color="auto"/>
          <w:lang w:val="en-US" w:eastAsia="zh-CN"/>
        </w:rPr>
      </w:pPr>
      <w:bookmarkStart w:id="4" w:name="_Toc3728115"/>
      <w:bookmarkStart w:id="5" w:name="_Toc3728114"/>
      <w:r>
        <w:rPr>
          <w:rFonts w:hint="eastAsia" w:ascii="Times New Roman" w:hAnsi="Times New Roman" w:eastAsia="宋体" w:cs="Times New Roman"/>
          <w:b/>
          <w:bCs/>
          <w:color w:val="auto"/>
          <w:sz w:val="24"/>
          <w:szCs w:val="24"/>
          <w:u w:val="none" w:color="auto"/>
          <w:lang w:eastAsia="zh-CN"/>
        </w:rPr>
        <w:t>三</w:t>
      </w:r>
      <w:r>
        <w:rPr>
          <w:rFonts w:hint="eastAsia" w:ascii="Times New Roman" w:hAnsi="Times New Roman" w:eastAsia="宋体" w:cs="Times New Roman"/>
          <w:b/>
          <w:bCs/>
          <w:color w:val="auto"/>
          <w:sz w:val="24"/>
          <w:szCs w:val="24"/>
          <w:u w:val="none" w:color="auto"/>
        </w:rPr>
        <w:t>、</w:t>
      </w:r>
      <w:bookmarkEnd w:id="4"/>
      <w:r>
        <w:rPr>
          <w:rFonts w:hint="eastAsia" w:ascii="Times New Roman" w:hAnsi="Times New Roman" w:eastAsia="宋体" w:cs="Times New Roman"/>
          <w:b/>
          <w:bCs/>
          <w:color w:val="auto"/>
          <w:sz w:val="24"/>
          <w:szCs w:val="24"/>
          <w:u w:val="none" w:color="auto"/>
          <w:lang w:eastAsia="zh-CN"/>
        </w:rPr>
        <w:t>分析判定</w:t>
      </w:r>
      <w:r>
        <w:rPr>
          <w:rFonts w:hint="eastAsia" w:ascii="Times New Roman" w:hAnsi="Times New Roman" w:eastAsia="宋体" w:cs="Times New Roman"/>
          <w:b/>
          <w:bCs/>
          <w:color w:val="auto"/>
          <w:sz w:val="24"/>
          <w:szCs w:val="24"/>
          <w:u w:val="none" w:color="auto"/>
          <w:lang w:val="en-US" w:eastAsia="zh-CN"/>
        </w:rPr>
        <w:t>相关情况</w:t>
      </w:r>
    </w:p>
    <w:p w14:paraId="09F4228D">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（1）产业政策符合性</w:t>
      </w:r>
      <w:r>
        <w:rPr>
          <w:rFonts w:hint="eastAsia" w:ascii="Times New Roman" w:hAnsi="Times New Roman" w:eastAsia="宋体" w:cs="Times New Roman"/>
          <w:color w:val="auto"/>
          <w:sz w:val="24"/>
          <w:u w:val="single" w:color="auto"/>
        </w:rPr>
        <w:t xml:space="preserve">分析 </w:t>
      </w:r>
    </w:p>
    <w:p w14:paraId="6C70E0A3">
      <w:pPr>
        <w:autoSpaceDE w:val="0"/>
        <w:autoSpaceDN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①</w:t>
      </w:r>
      <w:r>
        <w:rPr>
          <w:rFonts w:hint="eastAsia" w:ascii="Times New Roman" w:hAnsi="Times New Roman" w:eastAsia="宋体" w:cs="Times New Roman"/>
          <w:color w:val="auto"/>
          <w:sz w:val="24"/>
          <w:u w:val="single" w:color="auto"/>
        </w:rPr>
        <w:t>根据</w:t>
      </w:r>
      <w:r>
        <w:rPr>
          <w:rFonts w:ascii="Times New Roman" w:hAnsi="Times New Roman" w:eastAsia="宋体" w:cs="Times New Roman"/>
          <w:color w:val="auto"/>
          <w:sz w:val="24"/>
          <w:u w:val="single" w:color="auto"/>
        </w:rPr>
        <w:t>《产业结构调整指导目录（20</w:t>
      </w:r>
      <w:r>
        <w:rPr>
          <w:rFonts w:hint="eastAsia" w:ascii="Times New Roman" w:hAnsi="Times New Roman" w:eastAsia="宋体" w:cs="Times New Roman"/>
          <w:color w:val="auto"/>
          <w:sz w:val="24"/>
          <w:u w:val="single" w:color="auto"/>
          <w:lang w:val="en-US" w:eastAsia="zh-CN"/>
        </w:rPr>
        <w:t>24</w:t>
      </w:r>
      <w:r>
        <w:rPr>
          <w:rFonts w:ascii="Times New Roman" w:hAnsi="Times New Roman" w:eastAsia="宋体" w:cs="Times New Roman"/>
          <w:color w:val="auto"/>
          <w:sz w:val="24"/>
          <w:u w:val="single" w:color="auto"/>
        </w:rPr>
        <w:t>年本）》</w:t>
      </w:r>
      <w:r>
        <w:rPr>
          <w:rFonts w:hint="eastAsia" w:ascii="Times New Roman" w:hAnsi="Times New Roman" w:eastAsia="宋体" w:cs="Times New Roman"/>
          <w:color w:val="auto"/>
          <w:sz w:val="24"/>
          <w:u w:val="single" w:color="auto"/>
        </w:rPr>
        <w:t>，项目不属于</w:t>
      </w:r>
      <w:r>
        <w:rPr>
          <w:rFonts w:ascii="Times New Roman" w:hAnsi="Times New Roman" w:eastAsia="宋体" w:cs="Times New Roman"/>
          <w:color w:val="auto"/>
          <w:sz w:val="24"/>
          <w:u w:val="single" w:color="auto"/>
        </w:rPr>
        <w:t>的</w:t>
      </w:r>
      <w:r>
        <w:rPr>
          <w:rFonts w:ascii="Times New Roman" w:hAnsi="Times New Roman" w:eastAsia="宋体" w:cs="Times New Roman"/>
          <w:color w:val="auto"/>
          <w:sz w:val="24"/>
          <w:szCs w:val="24"/>
          <w:u w:val="single" w:color="auto"/>
        </w:rPr>
        <w:t>鼓励、限制及淘汰类，属于国家允许的建设项目，符合国家产业政策要求。</w:t>
      </w:r>
    </w:p>
    <w:p w14:paraId="66FA0065">
      <w:pPr>
        <w:autoSpaceDE w:val="0"/>
        <w:autoSpaceDN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②根据《北钦防一体化产业协同发展限制布局清单（工业类2021年版）》中钦州港经济技术开发区的限制布局产业：（1）水泥制造；（2）建筑陶瓷制品制造；（3）制革及毛皮加工。项目属于其他通用设备制造业，不属于《北钦防一体化产业协同发展限制布局清单（工业类2021年版）》中钦州港经济技术开发区的限制布局产业。</w:t>
      </w:r>
    </w:p>
    <w:p w14:paraId="43E1A3AB">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szCs w:val="24"/>
          <w:u w:val="single" w:color="auto"/>
        </w:rPr>
        <w:t>③根据</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钦州市国民经济和社会发展第十四个五年规划和2035年远景目标纲要</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引进海上风电核心整机生产企业，配套发展电机制造、叶片制造、机械部件等制造企业，建设完善海上风电装备设计制造及整机出运能力设施，发展技术研发、整机及主要零部件制造、检测认证、工程安装、运行维护、大数据等海上风电装备制造业、服务业集群。“十四五”时期，建成投产海上风电产业基地项目，布局建设北部湾海上风电整机产业园、面向东盟的海上风电母港、风电科技园，打造海上风电全产业链基地，建设成为全国重要的面向东盟的海上风电装备产业基地。项目选址于</w:t>
      </w:r>
      <w:r>
        <w:rPr>
          <w:rFonts w:hint="eastAsia" w:ascii="Times New Roman" w:hAnsi="Times New Roman" w:eastAsia="宋体" w:cs="Times New Roman"/>
          <w:color w:val="auto"/>
          <w:sz w:val="24"/>
          <w:szCs w:val="24"/>
          <w:u w:val="single" w:color="auto"/>
          <w:lang w:val="en-US" w:eastAsia="zh-CN"/>
        </w:rPr>
        <w:t>中国(广西)自由贸易试验区钦州港片区大榄坪二号路西面、中船规划支路北侧和南侧</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u w:val="single" w:color="auto"/>
        </w:rPr>
        <w:t>生产的</w:t>
      </w:r>
      <w:r>
        <w:rPr>
          <w:rFonts w:hint="eastAsia" w:ascii="Times New Roman" w:hAnsi="Times New Roman" w:eastAsia="宋体" w:cs="Times New Roman"/>
          <w:color w:val="auto"/>
          <w:sz w:val="24"/>
          <w:u w:val="single" w:color="auto"/>
          <w:lang w:eastAsia="zh-CN"/>
        </w:rPr>
        <w:t>桥梁</w:t>
      </w:r>
      <w:r>
        <w:rPr>
          <w:rFonts w:hint="eastAsia"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eastAsia="zh-CN"/>
        </w:rPr>
        <w:t>海桩</w:t>
      </w:r>
      <w:r>
        <w:rPr>
          <w:rFonts w:hint="eastAsia" w:ascii="Times New Roman" w:hAnsi="Times New Roman" w:eastAsia="宋体" w:cs="Times New Roman"/>
          <w:color w:val="auto"/>
          <w:sz w:val="24"/>
          <w:u w:val="single" w:color="auto"/>
        </w:rPr>
        <w:t>和导管架属于海上风电的</w:t>
      </w:r>
      <w:r>
        <w:rPr>
          <w:rFonts w:hint="eastAsia" w:ascii="Times New Roman" w:hAnsi="Times New Roman" w:eastAsia="宋体" w:cs="Times New Roman"/>
          <w:color w:val="auto"/>
          <w:sz w:val="24"/>
          <w:szCs w:val="24"/>
          <w:u w:val="single" w:color="auto"/>
        </w:rPr>
        <w:t>机械部件</w:t>
      </w:r>
      <w:r>
        <w:rPr>
          <w:rFonts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rPr>
        <w:t>因此符合</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钦州市国民经济和社会发展第十四个五年规划和2035年远景目标纲要</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规划</w:t>
      </w:r>
      <w:r>
        <w:rPr>
          <w:rFonts w:hint="eastAsia" w:ascii="Times New Roman" w:hAnsi="Times New Roman" w:eastAsia="宋体" w:cs="Times New Roman"/>
          <w:color w:val="auto"/>
          <w:sz w:val="24"/>
          <w:u w:val="single" w:color="auto"/>
        </w:rPr>
        <w:t>要求。</w:t>
      </w:r>
    </w:p>
    <w:p w14:paraId="64C87CA9">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szCs w:val="24"/>
          <w:u w:val="single" w:color="auto"/>
        </w:rPr>
        <w:t>④</w:t>
      </w:r>
      <w:r>
        <w:rPr>
          <w:rFonts w:ascii="Times New Roman" w:hAnsi="Times New Roman" w:eastAsia="宋体" w:cs="Times New Roman"/>
          <w:color w:val="auto"/>
          <w:sz w:val="24"/>
          <w:u w:val="single" w:color="auto"/>
        </w:rPr>
        <w:t>项目已在广西自贸区钦州港片区行政审批局备案，项目代码</w:t>
      </w:r>
      <w:r>
        <w:rPr>
          <w:rFonts w:hint="eastAsia" w:ascii="Times New Roman" w:hAnsi="Times New Roman" w:eastAsia="宋体" w:cs="Times New Roman"/>
          <w:color w:val="auto"/>
          <w:sz w:val="24"/>
          <w:u w:val="single" w:color="auto"/>
          <w:lang w:eastAsia="zh-CN"/>
        </w:rPr>
        <w:t>2403-450704-04-01-607658</w:t>
      </w:r>
      <w:r>
        <w:rPr>
          <w:rFonts w:ascii="Times New Roman" w:hAnsi="Times New Roman" w:eastAsia="宋体" w:cs="Times New Roman"/>
          <w:color w:val="auto"/>
          <w:sz w:val="24"/>
          <w:u w:val="single" w:color="auto"/>
        </w:rPr>
        <w:t>。</w:t>
      </w:r>
    </w:p>
    <w:p w14:paraId="46F5E90D">
      <w:pPr>
        <w:pStyle w:val="48"/>
        <w:spacing w:line="360" w:lineRule="auto"/>
        <w:ind w:firstLine="480" w:firstLineChars="200"/>
        <w:jc w:val="left"/>
        <w:rPr>
          <w:rFonts w:hint="default" w:eastAsia="宋体"/>
          <w:color w:val="auto"/>
          <w:u w:val="single" w:color="auto"/>
        </w:rPr>
      </w:pPr>
      <w:r>
        <w:rPr>
          <w:rFonts w:ascii="Times New Roman" w:hAnsi="Times New Roman" w:eastAsia="宋体"/>
          <w:color w:val="auto"/>
          <w:u w:val="single" w:color="auto"/>
        </w:rPr>
        <w:t>综上，项目符合国家和地方产业政策。</w:t>
      </w:r>
    </w:p>
    <w:p w14:paraId="743EAC62">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（2）</w:t>
      </w:r>
      <w:r>
        <w:rPr>
          <w:rFonts w:hint="eastAsia" w:ascii="Times New Roman" w:hAnsi="Times New Roman" w:eastAsia="宋体" w:cs="Times New Roman"/>
          <w:color w:val="auto"/>
          <w:sz w:val="24"/>
          <w:szCs w:val="24"/>
          <w:u w:val="single" w:color="auto"/>
        </w:rPr>
        <w:t>用地</w:t>
      </w:r>
      <w:r>
        <w:rPr>
          <w:rFonts w:hint="eastAsia" w:ascii="Times New Roman" w:hAnsi="Times New Roman" w:eastAsia="宋体" w:cs="Times New Roman"/>
          <w:color w:val="auto"/>
          <w:sz w:val="24"/>
          <w:u w:val="single" w:color="auto"/>
        </w:rPr>
        <w:t>规划符合性分析</w:t>
      </w:r>
    </w:p>
    <w:p w14:paraId="4764C150">
      <w:pPr>
        <w:spacing w:line="360" w:lineRule="auto"/>
        <w:ind w:firstLine="480" w:firstLineChars="200"/>
        <w:rPr>
          <w:color w:val="auto"/>
          <w:u w:val="single" w:color="auto"/>
        </w:rPr>
      </w:pPr>
      <w:r>
        <w:rPr>
          <w:rFonts w:hint="eastAsia" w:ascii="Times New Roman" w:hAnsi="Times New Roman" w:eastAsia="宋体" w:cs="Times New Roman"/>
          <w:color w:val="auto"/>
          <w:sz w:val="24"/>
          <w:u w:val="single" w:color="auto"/>
        </w:rPr>
        <w:t>根据</w:t>
      </w:r>
      <w:r>
        <w:rPr>
          <w:rFonts w:hint="eastAsia" w:ascii="Times New Roman" w:hAnsi="Times New Roman" w:eastAsia="宋体" w:cs="Times New Roman"/>
          <w:color w:val="auto"/>
          <w:sz w:val="24"/>
          <w:u w:val="single" w:color="auto"/>
          <w:lang w:eastAsia="zh-CN"/>
        </w:rPr>
        <w:t>项目</w:t>
      </w:r>
      <w:r>
        <w:rPr>
          <w:rFonts w:hint="eastAsia" w:ascii="Times New Roman" w:hAnsi="Times New Roman" w:eastAsia="宋体" w:cs="Times New Roman"/>
          <w:color w:val="auto"/>
          <w:sz w:val="24"/>
          <w:szCs w:val="24"/>
          <w:u w:val="single" w:color="auto"/>
          <w:lang w:eastAsia="zh-CN"/>
        </w:rPr>
        <w:t>土地使用权合同及规划设计要点</w:t>
      </w:r>
      <w:r>
        <w:rPr>
          <w:rFonts w:hint="eastAsia" w:ascii="Times New Roman" w:hAnsi="Times New Roman" w:eastAsia="宋体" w:cs="Times New Roman"/>
          <w:color w:val="auto"/>
          <w:sz w:val="24"/>
          <w:u w:val="single" w:color="auto"/>
        </w:rPr>
        <w:t>（详见附件</w:t>
      </w:r>
      <w:r>
        <w:rPr>
          <w:rFonts w:hint="eastAsia" w:ascii="Times New Roman" w:hAnsi="Times New Roman" w:eastAsia="宋体" w:cs="Times New Roman"/>
          <w:color w:val="auto"/>
          <w:sz w:val="24"/>
          <w:u w:val="single" w:color="auto"/>
          <w:lang w:val="en-US" w:eastAsia="zh-CN"/>
        </w:rPr>
        <w:t>5</w:t>
      </w:r>
      <w:r>
        <w:rPr>
          <w:rFonts w:hint="eastAsia" w:ascii="Times New Roman" w:hAnsi="Times New Roman" w:eastAsia="宋体" w:cs="Times New Roman"/>
          <w:color w:val="auto"/>
          <w:sz w:val="24"/>
          <w:u w:val="single" w:color="auto"/>
        </w:rPr>
        <w:t>），用地性质为</w:t>
      </w:r>
      <w:r>
        <w:rPr>
          <w:rFonts w:hint="eastAsia" w:ascii="Times New Roman" w:hAnsi="Times New Roman" w:eastAsia="宋体" w:cs="Times New Roman"/>
          <w:color w:val="auto"/>
          <w:sz w:val="24"/>
          <w:u w:val="single" w:color="auto"/>
          <w:lang w:eastAsia="zh-CN"/>
        </w:rPr>
        <w:t>工业用地</w:t>
      </w:r>
      <w:r>
        <w:rPr>
          <w:rFonts w:hint="eastAsia" w:ascii="Times New Roman" w:hAnsi="Times New Roman" w:eastAsia="宋体" w:cs="Times New Roman"/>
          <w:color w:val="auto"/>
          <w:sz w:val="24"/>
          <w:u w:val="single" w:color="auto"/>
        </w:rPr>
        <w:t>，因此，项目用地规划符合</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rPr>
        <w:t>中国（广西）自由贸易试验区钦州港片区国土空间分区规划（2023-2035年）</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rPr>
        <w:t>要求。</w:t>
      </w:r>
    </w:p>
    <w:p w14:paraId="571AC73A">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3</w:t>
      </w:r>
      <w:r>
        <w:rPr>
          <w:rFonts w:hint="eastAsia" w:ascii="Times New Roman" w:hAnsi="Times New Roman" w:eastAsia="宋体" w:cs="Times New Roman"/>
          <w:color w:val="auto"/>
          <w:sz w:val="24"/>
          <w:u w:val="single" w:color="auto"/>
        </w:rPr>
        <w:t>）</w:t>
      </w:r>
      <w:r>
        <w:rPr>
          <w:rFonts w:ascii="Times New Roman" w:hAnsi="Times New Roman" w:eastAsia="宋体" w:cs="Times New Roman"/>
          <w:color w:val="auto"/>
          <w:sz w:val="24"/>
          <w:u w:val="single" w:color="auto"/>
        </w:rPr>
        <w:t>与</w:t>
      </w:r>
      <w:r>
        <w:rPr>
          <w:rFonts w:hint="eastAsia" w:ascii="Times New Roman" w:hAnsi="Times New Roman" w:eastAsia="宋体" w:cs="Times New Roman"/>
          <w:color w:val="auto"/>
          <w:sz w:val="24"/>
          <w:u w:val="single" w:color="auto"/>
        </w:rPr>
        <w:t>关于印发《重点行业挥发性有机物综合治理方案》的通知（环大气〔2019〕53号）</w:t>
      </w:r>
      <w:r>
        <w:rPr>
          <w:rFonts w:ascii="Times New Roman" w:hAnsi="Times New Roman" w:eastAsia="宋体" w:cs="Times New Roman"/>
          <w:color w:val="auto"/>
          <w:sz w:val="24"/>
          <w:u w:val="single" w:color="auto"/>
        </w:rPr>
        <w:t xml:space="preserve">符合性分析 </w:t>
      </w:r>
    </w:p>
    <w:p w14:paraId="10F6502A">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项目与《重点行业挥发性有机物综合治理方案》（环大气〔2019〕53号）相符性分析见表</w:t>
      </w:r>
      <w:r>
        <w:rPr>
          <w:rFonts w:hint="eastAsia" w:ascii="Times New Roman" w:hAnsi="Times New Roman" w:eastAsia="宋体" w:cs="Times New Roman"/>
          <w:color w:val="auto"/>
          <w:sz w:val="24"/>
          <w:u w:val="single" w:color="auto"/>
          <w:lang w:val="en-US" w:eastAsia="zh-CN"/>
        </w:rPr>
        <w:t>1</w:t>
      </w:r>
      <w:r>
        <w:rPr>
          <w:rFonts w:hint="eastAsia" w:ascii="Times New Roman" w:hAnsi="Times New Roman" w:eastAsia="宋体" w:cs="Times New Roman"/>
          <w:color w:val="auto"/>
          <w:sz w:val="24"/>
          <w:u w:val="single" w:color="auto"/>
        </w:rPr>
        <w:t>。</w:t>
      </w:r>
    </w:p>
    <w:p w14:paraId="4DA15949">
      <w:pPr>
        <w:autoSpaceDE w:val="0"/>
        <w:autoSpaceDN w:val="0"/>
        <w:ind w:firstLine="422" w:firstLineChars="200"/>
        <w:jc w:val="center"/>
        <w:rPr>
          <w:rFonts w:ascii="Times New Roman" w:hAnsi="Times New Roman" w:eastAsia="宋体" w:cs="Times New Roman"/>
          <w:b/>
          <w:color w:val="auto"/>
          <w:u w:val="single" w:color="auto"/>
        </w:rPr>
      </w:pPr>
      <w:bookmarkStart w:id="6" w:name="_Ref112139728"/>
      <w:r>
        <w:rPr>
          <w:rFonts w:hint="eastAsia" w:ascii="Times New Roman" w:hAnsi="Times New Roman" w:eastAsia="宋体" w:cs="Times New Roman"/>
          <w:b/>
          <w:color w:val="auto"/>
          <w:u w:val="single" w:color="auto"/>
          <w:lang w:val="en-US" w:eastAsia="zh-CN"/>
        </w:rPr>
        <w:t xml:space="preserve">表1  </w:t>
      </w:r>
      <w:r>
        <w:rPr>
          <w:rFonts w:hint="eastAsia" w:ascii="Times New Roman" w:hAnsi="Times New Roman" w:eastAsia="宋体" w:cs="Times New Roman"/>
          <w:b/>
          <w:color w:val="auto"/>
          <w:u w:val="single" w:color="auto"/>
        </w:rPr>
        <w:t>项目与《重点行业挥发性有机物综合治理方案》相符性分析</w:t>
      </w:r>
      <w:bookmarkEnd w:id="6"/>
    </w:p>
    <w:tbl>
      <w:tblPr>
        <w:tblStyle w:val="37"/>
        <w:tblW w:w="102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3840"/>
        <w:gridCol w:w="4274"/>
        <w:gridCol w:w="997"/>
      </w:tblGrid>
      <w:tr w14:paraId="3CDD8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1130" w:type="dxa"/>
            <w:vAlign w:val="center"/>
          </w:tcPr>
          <w:p w14:paraId="1F3422C9">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文件名称</w:t>
            </w:r>
          </w:p>
        </w:tc>
        <w:tc>
          <w:tcPr>
            <w:tcW w:w="3840" w:type="dxa"/>
            <w:vAlign w:val="center"/>
          </w:tcPr>
          <w:p w14:paraId="56048F02">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相关要求</w:t>
            </w:r>
          </w:p>
        </w:tc>
        <w:tc>
          <w:tcPr>
            <w:tcW w:w="4274" w:type="dxa"/>
            <w:vAlign w:val="center"/>
          </w:tcPr>
          <w:p w14:paraId="61088856">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本项目情况</w:t>
            </w:r>
          </w:p>
        </w:tc>
        <w:tc>
          <w:tcPr>
            <w:tcW w:w="997" w:type="dxa"/>
            <w:vAlign w:val="center"/>
          </w:tcPr>
          <w:p w14:paraId="21C5C540">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判断结果</w:t>
            </w:r>
          </w:p>
        </w:tc>
      </w:tr>
      <w:tr w14:paraId="34F6D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3" w:hRule="atLeast"/>
          <w:jc w:val="center"/>
        </w:trPr>
        <w:tc>
          <w:tcPr>
            <w:tcW w:w="1130" w:type="dxa"/>
            <w:vMerge w:val="restart"/>
            <w:vAlign w:val="center"/>
          </w:tcPr>
          <w:p w14:paraId="70306C03">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关于印发《重点行业挥发性有机物综合治理方案》的通知（环大气〔2019〕53号）</w:t>
            </w:r>
          </w:p>
        </w:tc>
        <w:tc>
          <w:tcPr>
            <w:tcW w:w="3840" w:type="dxa"/>
            <w:vAlign w:val="center"/>
          </w:tcPr>
          <w:p w14:paraId="17BF667C">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全面加强无组织排放控制。重点对含VOCs物料（包括含VOCs原辅材料、含VOCs产品、含VOCs废料以及有机聚合物材料等）储存、转移和输送、设备与管线组件泄漏、敞开液面散逸以及工艺过程等五类排放源实施管控，通过采取设备与场所密闭、工艺改进、废气有效收集等措施，削减VOCs无组织排放。加强设备与密闭场所管理。含VOCs物料应储存于密闭容器、包装袋、高效密封储罐、封闭式储库、料仓等。含VOCs物料转移和输送，应采用密闭管道或密闭容器、罐车等。含VOCs物料生产和使用过程，应采取有效收集措施或在密闭空间中操作。</w:t>
            </w:r>
          </w:p>
        </w:tc>
        <w:tc>
          <w:tcPr>
            <w:tcW w:w="4274" w:type="dxa"/>
            <w:vAlign w:val="center"/>
          </w:tcPr>
          <w:p w14:paraId="0251C049">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项目对</w:t>
            </w:r>
            <w:r>
              <w:rPr>
                <w:rFonts w:hint="eastAsia" w:ascii="Times New Roman" w:hAnsi="Times New Roman" w:eastAsia="宋体" w:cs="Times New Roman"/>
                <w:b w:val="0"/>
                <w:bCs w:val="0"/>
                <w:color w:val="auto"/>
                <w:sz w:val="21"/>
                <w:szCs w:val="21"/>
                <w:u w:val="single" w:color="auto"/>
                <w:lang w:val="en-US" w:eastAsia="zh-CN"/>
              </w:rPr>
              <w:t>喷漆</w:t>
            </w:r>
            <w:r>
              <w:rPr>
                <w:rFonts w:hint="default" w:ascii="Times New Roman" w:hAnsi="Times New Roman" w:eastAsia="宋体" w:cs="Times New Roman"/>
                <w:b w:val="0"/>
                <w:bCs w:val="0"/>
                <w:color w:val="auto"/>
                <w:sz w:val="21"/>
                <w:szCs w:val="21"/>
                <w:u w:val="single" w:color="auto"/>
              </w:rPr>
              <w:t>过程中产生VOCs收集至废气处理系统处理达标后排放。项目VOCs物料均采用</w:t>
            </w:r>
            <w:r>
              <w:rPr>
                <w:rFonts w:hint="eastAsia" w:ascii="Times New Roman" w:hAnsi="Times New Roman" w:eastAsia="宋体" w:cs="Times New Roman"/>
                <w:b w:val="0"/>
                <w:bCs w:val="0"/>
                <w:color w:val="auto"/>
                <w:sz w:val="21"/>
                <w:szCs w:val="21"/>
                <w:u w:val="single" w:color="auto"/>
                <w:lang w:val="en-US" w:eastAsia="zh-CN"/>
              </w:rPr>
              <w:t>密闭容器</w:t>
            </w:r>
            <w:r>
              <w:rPr>
                <w:rFonts w:hint="default" w:ascii="Times New Roman" w:hAnsi="Times New Roman" w:eastAsia="宋体" w:cs="Times New Roman"/>
                <w:b w:val="0"/>
                <w:bCs w:val="0"/>
                <w:color w:val="auto"/>
                <w:sz w:val="21"/>
                <w:szCs w:val="21"/>
                <w:u w:val="single" w:color="auto"/>
              </w:rPr>
              <w:t>储存。项目</w:t>
            </w:r>
            <w:r>
              <w:rPr>
                <w:rFonts w:hint="eastAsia" w:ascii="Times New Roman" w:hAnsi="Times New Roman" w:eastAsia="宋体" w:cs="Times New Roman"/>
                <w:b w:val="0"/>
                <w:bCs w:val="0"/>
                <w:color w:val="auto"/>
                <w:sz w:val="21"/>
                <w:szCs w:val="21"/>
                <w:u w:val="single" w:color="auto"/>
                <w:lang w:val="en-US" w:eastAsia="zh-CN"/>
              </w:rPr>
              <w:t>无生产废水产生</w:t>
            </w:r>
            <w:r>
              <w:rPr>
                <w:rFonts w:hint="default" w:ascii="Times New Roman" w:hAnsi="Times New Roman" w:eastAsia="宋体" w:cs="Times New Roman"/>
                <w:b w:val="0"/>
                <w:bCs w:val="0"/>
                <w:color w:val="auto"/>
                <w:sz w:val="21"/>
                <w:szCs w:val="21"/>
                <w:u w:val="single" w:color="auto"/>
              </w:rPr>
              <w:t>。</w:t>
            </w:r>
          </w:p>
        </w:tc>
        <w:tc>
          <w:tcPr>
            <w:tcW w:w="997" w:type="dxa"/>
            <w:vAlign w:val="center"/>
          </w:tcPr>
          <w:p w14:paraId="4763AA6C">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3183A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9" w:hRule="atLeast"/>
          <w:jc w:val="center"/>
        </w:trPr>
        <w:tc>
          <w:tcPr>
            <w:tcW w:w="1130" w:type="dxa"/>
            <w:vMerge w:val="continue"/>
            <w:vAlign w:val="center"/>
          </w:tcPr>
          <w:p w14:paraId="0775457F">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54D4A12F">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w:t>
            </w:r>
          </w:p>
        </w:tc>
        <w:tc>
          <w:tcPr>
            <w:tcW w:w="4274" w:type="dxa"/>
            <w:vAlign w:val="center"/>
          </w:tcPr>
          <w:p w14:paraId="68FD59FD">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项目</w:t>
            </w:r>
            <w:r>
              <w:rPr>
                <w:rFonts w:hint="eastAsia" w:ascii="Times New Roman" w:hAnsi="Times New Roman" w:eastAsia="宋体" w:cs="Times New Roman"/>
                <w:b w:val="0"/>
                <w:bCs w:val="0"/>
                <w:color w:val="auto"/>
                <w:sz w:val="21"/>
                <w:szCs w:val="21"/>
                <w:u w:val="single" w:color="auto"/>
                <w:lang w:val="en-US" w:eastAsia="zh-CN"/>
              </w:rPr>
              <w:t>喷漆废气</w:t>
            </w:r>
            <w:r>
              <w:rPr>
                <w:rFonts w:hint="default" w:ascii="Times New Roman" w:hAnsi="Times New Roman" w:eastAsia="宋体" w:cs="Times New Roman"/>
                <w:b w:val="0"/>
                <w:bCs w:val="0"/>
                <w:color w:val="auto"/>
                <w:sz w:val="21"/>
                <w:szCs w:val="21"/>
                <w:u w:val="single" w:color="auto"/>
              </w:rPr>
              <w:t>中产生VOCs</w:t>
            </w:r>
            <w:r>
              <w:rPr>
                <w:rFonts w:hint="eastAsia" w:ascii="Times New Roman" w:hAnsi="Times New Roman" w:eastAsia="宋体" w:cs="Times New Roman"/>
                <w:b w:val="0"/>
                <w:bCs w:val="0"/>
                <w:color w:val="auto"/>
                <w:sz w:val="21"/>
                <w:szCs w:val="21"/>
                <w:u w:val="single" w:color="auto"/>
                <w:lang w:val="en-US" w:eastAsia="zh-CN"/>
              </w:rPr>
              <w:t>经“干式过滤+活性炭吸附+解吸脱附+催化燃烧”工艺</w:t>
            </w:r>
            <w:r>
              <w:rPr>
                <w:rFonts w:hint="default" w:ascii="Times New Roman" w:hAnsi="Times New Roman" w:eastAsia="宋体" w:cs="Times New Roman"/>
                <w:b w:val="0"/>
                <w:bCs w:val="0"/>
                <w:color w:val="auto"/>
                <w:sz w:val="21"/>
                <w:szCs w:val="21"/>
                <w:u w:val="single" w:color="auto"/>
              </w:rPr>
              <w:t>处理</w:t>
            </w:r>
            <w:r>
              <w:rPr>
                <w:rFonts w:hint="eastAsia" w:ascii="Times New Roman" w:hAnsi="Times New Roman" w:eastAsia="宋体" w:cs="Times New Roman"/>
                <w:b w:val="0"/>
                <w:bCs w:val="0"/>
                <w:color w:val="auto"/>
                <w:sz w:val="21"/>
                <w:szCs w:val="21"/>
                <w:u w:val="single" w:color="auto"/>
                <w:lang w:val="en-US" w:eastAsia="zh-CN"/>
              </w:rPr>
              <w:t>后</w:t>
            </w:r>
            <w:r>
              <w:rPr>
                <w:rFonts w:hint="default" w:ascii="Times New Roman" w:hAnsi="Times New Roman" w:eastAsia="宋体" w:cs="Times New Roman"/>
                <w:b w:val="0"/>
                <w:bCs w:val="0"/>
                <w:color w:val="auto"/>
                <w:sz w:val="21"/>
                <w:szCs w:val="21"/>
                <w:u w:val="single" w:color="auto"/>
              </w:rPr>
              <w:t>达标排</w:t>
            </w:r>
            <w:r>
              <w:rPr>
                <w:rFonts w:hint="eastAsia" w:ascii="Times New Roman" w:hAnsi="Times New Roman" w:eastAsia="宋体" w:cs="Times New Roman"/>
                <w:b w:val="0"/>
                <w:bCs w:val="0"/>
                <w:color w:val="auto"/>
                <w:sz w:val="21"/>
                <w:szCs w:val="21"/>
                <w:u w:val="single" w:color="auto"/>
                <w:lang w:val="en-US" w:eastAsia="zh-CN"/>
              </w:rPr>
              <w:t>放</w:t>
            </w:r>
            <w:r>
              <w:rPr>
                <w:rFonts w:hint="default" w:ascii="Times New Roman" w:hAnsi="Times New Roman" w:eastAsia="宋体" w:cs="Times New Roman"/>
                <w:b w:val="0"/>
                <w:bCs w:val="0"/>
                <w:color w:val="auto"/>
                <w:sz w:val="21"/>
                <w:szCs w:val="21"/>
                <w:u w:val="single" w:color="auto"/>
              </w:rPr>
              <w:t>。</w:t>
            </w:r>
          </w:p>
        </w:tc>
        <w:tc>
          <w:tcPr>
            <w:tcW w:w="997" w:type="dxa"/>
            <w:vAlign w:val="center"/>
          </w:tcPr>
          <w:p w14:paraId="3BACE8A1">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660D0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2" w:hRule="atLeast"/>
          <w:jc w:val="center"/>
        </w:trPr>
        <w:tc>
          <w:tcPr>
            <w:tcW w:w="1130" w:type="dxa"/>
            <w:vMerge w:val="continue"/>
            <w:vAlign w:val="center"/>
          </w:tcPr>
          <w:p w14:paraId="2B63BA92">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150399BB">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加强企业运行管理。企业应系统梳理VOCs排放主要环节和工序，包括停机、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w:t>
            </w:r>
          </w:p>
        </w:tc>
        <w:tc>
          <w:tcPr>
            <w:tcW w:w="4274" w:type="dxa"/>
            <w:vAlign w:val="center"/>
          </w:tcPr>
          <w:p w14:paraId="04955DA4">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项目运营期间按相关要求加强废气处理措施的运行管理，包括设立专职部门、专职技术人员等，建立考核制度，按要求记录和保存台账，定期对技术人员和其他相关人员进行培训。</w:t>
            </w:r>
          </w:p>
        </w:tc>
        <w:tc>
          <w:tcPr>
            <w:tcW w:w="997" w:type="dxa"/>
            <w:vAlign w:val="center"/>
          </w:tcPr>
          <w:p w14:paraId="7820E6CB">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bl>
    <w:p w14:paraId="27F7923F">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综上，项目建设符合</w:t>
      </w:r>
      <w:r>
        <w:rPr>
          <w:rFonts w:hint="eastAsia" w:ascii="Times New Roman" w:hAnsi="Times New Roman" w:eastAsia="宋体" w:cs="Times New Roman"/>
          <w:color w:val="auto"/>
          <w:sz w:val="24"/>
          <w:u w:val="single" w:color="auto"/>
        </w:rPr>
        <w:t>《重点行业挥发性有机物综合治理方案》（环大气〔2019〕53号）</w:t>
      </w:r>
      <w:r>
        <w:rPr>
          <w:rFonts w:ascii="Times New Roman" w:hAnsi="Times New Roman" w:eastAsia="宋体" w:cs="Times New Roman"/>
          <w:color w:val="auto"/>
          <w:sz w:val="24"/>
          <w:u w:val="single" w:color="auto"/>
        </w:rPr>
        <w:t>的要求。</w:t>
      </w:r>
    </w:p>
    <w:p w14:paraId="5B2850AA">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4</w:t>
      </w:r>
      <w:r>
        <w:rPr>
          <w:rFonts w:hint="eastAsia" w:ascii="Times New Roman" w:hAnsi="Times New Roman" w:eastAsia="宋体" w:cs="Times New Roman"/>
          <w:color w:val="auto"/>
          <w:sz w:val="24"/>
          <w:u w:val="single" w:color="auto"/>
        </w:rPr>
        <w:t>）</w:t>
      </w:r>
      <w:r>
        <w:rPr>
          <w:rFonts w:ascii="Times New Roman" w:hAnsi="Times New Roman" w:eastAsia="宋体" w:cs="Times New Roman"/>
          <w:color w:val="auto"/>
          <w:sz w:val="24"/>
          <w:u w:val="single" w:color="auto"/>
        </w:rPr>
        <w:t>与《挥发性有机物（VOCs）污染防治技术政策》</w:t>
      </w:r>
      <w:r>
        <w:rPr>
          <w:rFonts w:hint="eastAsia" w:ascii="Times New Roman" w:hAnsi="Times New Roman" w:eastAsia="宋体" w:cs="Times New Roman"/>
          <w:color w:val="auto"/>
          <w:sz w:val="24"/>
          <w:u w:val="single" w:color="auto"/>
        </w:rPr>
        <w:t>（部公告2013年第31号）</w:t>
      </w:r>
      <w:r>
        <w:rPr>
          <w:rFonts w:ascii="Times New Roman" w:hAnsi="Times New Roman" w:eastAsia="宋体" w:cs="Times New Roman"/>
          <w:color w:val="auto"/>
          <w:sz w:val="24"/>
          <w:u w:val="single" w:color="auto"/>
        </w:rPr>
        <w:t xml:space="preserve">符合性分析 </w:t>
      </w:r>
    </w:p>
    <w:p w14:paraId="790EB9B2">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项目与</w:t>
      </w:r>
      <w:r>
        <w:rPr>
          <w:rFonts w:ascii="Times New Roman" w:hAnsi="Times New Roman" w:eastAsia="宋体" w:cs="Times New Roman"/>
          <w:color w:val="auto"/>
          <w:sz w:val="24"/>
          <w:u w:val="single" w:color="auto"/>
        </w:rPr>
        <w:t>《挥发性有机物（VOCs）污染防治技术政策》</w:t>
      </w:r>
      <w:r>
        <w:rPr>
          <w:rFonts w:hint="eastAsia" w:ascii="Times New Roman" w:hAnsi="Times New Roman" w:eastAsia="宋体" w:cs="Times New Roman"/>
          <w:color w:val="auto"/>
          <w:sz w:val="24"/>
          <w:u w:val="single" w:color="auto"/>
        </w:rPr>
        <w:t>（部公告2013年第31号）相符性分析见表</w:t>
      </w:r>
      <w:r>
        <w:rPr>
          <w:rFonts w:hint="eastAsia" w:ascii="Times New Roman" w:hAnsi="Times New Roman" w:eastAsia="宋体" w:cs="Times New Roman"/>
          <w:color w:val="auto"/>
          <w:sz w:val="24"/>
          <w:u w:val="single" w:color="auto"/>
          <w:lang w:val="en-US" w:eastAsia="zh-CN"/>
        </w:rPr>
        <w:t>2</w:t>
      </w:r>
      <w:r>
        <w:rPr>
          <w:rFonts w:hint="eastAsia" w:ascii="Times New Roman" w:hAnsi="Times New Roman" w:eastAsia="宋体" w:cs="Times New Roman"/>
          <w:color w:val="auto"/>
          <w:sz w:val="24"/>
          <w:u w:val="single" w:color="auto"/>
        </w:rPr>
        <w:t>。</w:t>
      </w:r>
    </w:p>
    <w:p w14:paraId="3FF131D0">
      <w:pPr>
        <w:autoSpaceDE w:val="0"/>
        <w:autoSpaceDN w:val="0"/>
        <w:ind w:firstLine="422" w:firstLineChars="200"/>
        <w:jc w:val="center"/>
        <w:rPr>
          <w:rFonts w:ascii="Times New Roman" w:hAnsi="Times New Roman" w:eastAsia="宋体" w:cs="Times New Roman"/>
          <w:b/>
          <w:color w:val="auto"/>
          <w:u w:val="single" w:color="auto"/>
        </w:rPr>
      </w:pPr>
      <w:r>
        <w:rPr>
          <w:rFonts w:hint="eastAsia" w:ascii="Times New Roman" w:hAnsi="Times New Roman" w:eastAsia="宋体" w:cs="Times New Roman"/>
          <w:b/>
          <w:color w:val="auto"/>
          <w:u w:val="single" w:color="auto"/>
          <w:lang w:val="en-US" w:eastAsia="zh-CN"/>
        </w:rPr>
        <w:t xml:space="preserve">表2  </w:t>
      </w:r>
      <w:r>
        <w:rPr>
          <w:rFonts w:hint="eastAsia" w:ascii="Times New Roman" w:hAnsi="Times New Roman" w:eastAsia="宋体" w:cs="Times New Roman"/>
          <w:b/>
          <w:color w:val="auto"/>
          <w:u w:val="single" w:color="auto"/>
        </w:rPr>
        <w:t>项目与《挥发性有机物（VOCs）污染防治技术政策》相符性分析</w:t>
      </w:r>
    </w:p>
    <w:tbl>
      <w:tblPr>
        <w:tblStyle w:val="37"/>
        <w:tblW w:w="101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3840"/>
        <w:gridCol w:w="4405"/>
        <w:gridCol w:w="808"/>
      </w:tblGrid>
      <w:tr w14:paraId="0ADA2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1130" w:type="dxa"/>
            <w:vAlign w:val="center"/>
          </w:tcPr>
          <w:p w14:paraId="17460C8E">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文件名称</w:t>
            </w:r>
          </w:p>
        </w:tc>
        <w:tc>
          <w:tcPr>
            <w:tcW w:w="3840" w:type="dxa"/>
            <w:vAlign w:val="center"/>
          </w:tcPr>
          <w:p w14:paraId="0C47BFCF">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相关要求</w:t>
            </w:r>
          </w:p>
        </w:tc>
        <w:tc>
          <w:tcPr>
            <w:tcW w:w="4405" w:type="dxa"/>
            <w:vAlign w:val="center"/>
          </w:tcPr>
          <w:p w14:paraId="2AAE509F">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本项目情况</w:t>
            </w:r>
          </w:p>
        </w:tc>
        <w:tc>
          <w:tcPr>
            <w:tcW w:w="808" w:type="dxa"/>
            <w:vAlign w:val="center"/>
          </w:tcPr>
          <w:p w14:paraId="454CAEC9">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判断结果</w:t>
            </w:r>
          </w:p>
        </w:tc>
      </w:tr>
      <w:tr w14:paraId="03E59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3" w:hRule="atLeast"/>
          <w:jc w:val="center"/>
        </w:trPr>
        <w:tc>
          <w:tcPr>
            <w:tcW w:w="1130" w:type="dxa"/>
            <w:vMerge w:val="restart"/>
            <w:vAlign w:val="center"/>
          </w:tcPr>
          <w:p w14:paraId="54D43A14">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《挥发性有机物（VOCs）污染防治技术政策》（部公告2013年第31号）</w:t>
            </w:r>
          </w:p>
        </w:tc>
        <w:tc>
          <w:tcPr>
            <w:tcW w:w="3840" w:type="dxa"/>
            <w:vAlign w:val="center"/>
          </w:tcPr>
          <w:p w14:paraId="3383F425">
            <w:pPr>
              <w:pStyle w:val="102"/>
              <w:adjustRightInd/>
              <w:spacing w:before="0" w:after="0" w:line="240" w:lineRule="auto"/>
              <w:jc w:val="left"/>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鼓励使用通过环境标志产品认证的环保型涂料、油墨、胶粘剂和清洗剂。</w:t>
            </w:r>
          </w:p>
          <w:p w14:paraId="31B309B5">
            <w:pPr>
              <w:pStyle w:val="102"/>
              <w:adjustRightInd/>
              <w:spacing w:before="0" w:after="0" w:line="240" w:lineRule="auto"/>
              <w:jc w:val="left"/>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根据涂装工艺的不同，鼓励使用水性涂料、高固份涂料、粉末涂料、紫外光固化（UV）涂料等环保型涂料；推广采用静电喷涂、淋涂、辊涂、浸涂等效率较高的涂装工艺；应尽量避免无VOCs净化、回收措施的露天喷涂作业；</w:t>
            </w:r>
          </w:p>
        </w:tc>
        <w:tc>
          <w:tcPr>
            <w:tcW w:w="4405" w:type="dxa"/>
            <w:vAlign w:val="center"/>
          </w:tcPr>
          <w:p w14:paraId="30590125">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eastAsia" w:ascii="Times New Roman" w:hAnsi="Times New Roman" w:eastAsia="宋体" w:cs="Times New Roman"/>
                <w:b w:val="0"/>
                <w:bCs w:val="0"/>
                <w:color w:val="auto"/>
                <w:sz w:val="21"/>
                <w:szCs w:val="21"/>
                <w:u w:val="single" w:color="auto"/>
                <w:lang w:val="en-US" w:eastAsia="zh-CN"/>
              </w:rPr>
              <w:t>项目使用低挥发性有机物含量的涂料。项目在密闭的涂装车间内使用高压无气喷涂机喷漆，可有效减少原料的损失</w:t>
            </w:r>
            <w:r>
              <w:rPr>
                <w:rFonts w:hint="default" w:ascii="Times New Roman" w:hAnsi="Times New Roman" w:eastAsia="宋体" w:cs="Times New Roman"/>
                <w:b w:val="0"/>
                <w:bCs w:val="0"/>
                <w:color w:val="auto"/>
                <w:sz w:val="21"/>
                <w:szCs w:val="21"/>
                <w:u w:val="single" w:color="auto"/>
              </w:rPr>
              <w:t>。</w:t>
            </w:r>
          </w:p>
        </w:tc>
        <w:tc>
          <w:tcPr>
            <w:tcW w:w="808" w:type="dxa"/>
            <w:vAlign w:val="center"/>
          </w:tcPr>
          <w:p w14:paraId="4876D798">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02A1F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9" w:hRule="atLeast"/>
          <w:jc w:val="center"/>
        </w:trPr>
        <w:tc>
          <w:tcPr>
            <w:tcW w:w="1130" w:type="dxa"/>
            <w:vMerge w:val="continue"/>
            <w:vAlign w:val="center"/>
          </w:tcPr>
          <w:p w14:paraId="0D0CF762">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3DE19C9F">
            <w:pPr>
              <w:pStyle w:val="102"/>
              <w:adjustRightInd/>
              <w:spacing w:before="0" w:after="0" w:line="240" w:lineRule="auto"/>
              <w:jc w:val="left"/>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4405" w:type="dxa"/>
            <w:vAlign w:val="center"/>
          </w:tcPr>
          <w:p w14:paraId="1E949B70">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项目喷漆废气中产生VOCs经“干式过滤+活性炭吸附+解吸脱附+催化燃烧”工艺处理</w:t>
            </w:r>
            <w:r>
              <w:rPr>
                <w:rFonts w:hint="eastAsia" w:ascii="Times New Roman" w:hAnsi="Times New Roman" w:eastAsia="宋体" w:cs="Times New Roman"/>
                <w:b w:val="0"/>
                <w:bCs w:val="0"/>
                <w:color w:val="auto"/>
                <w:sz w:val="21"/>
                <w:szCs w:val="21"/>
                <w:u w:val="single" w:color="auto"/>
                <w:lang w:val="en-US" w:eastAsia="zh-CN"/>
              </w:rPr>
              <w:t>后</w:t>
            </w:r>
            <w:r>
              <w:rPr>
                <w:rFonts w:hint="default" w:ascii="Times New Roman" w:hAnsi="Times New Roman" w:eastAsia="宋体" w:cs="Times New Roman"/>
                <w:b w:val="0"/>
                <w:bCs w:val="0"/>
                <w:color w:val="auto"/>
                <w:sz w:val="21"/>
                <w:szCs w:val="21"/>
                <w:u w:val="single" w:color="auto"/>
              </w:rPr>
              <w:t>达标排放。</w:t>
            </w:r>
          </w:p>
        </w:tc>
        <w:tc>
          <w:tcPr>
            <w:tcW w:w="808" w:type="dxa"/>
            <w:vAlign w:val="center"/>
          </w:tcPr>
          <w:p w14:paraId="3A14198E">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2744E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2" w:hRule="atLeast"/>
          <w:jc w:val="center"/>
        </w:trPr>
        <w:tc>
          <w:tcPr>
            <w:tcW w:w="1130" w:type="dxa"/>
            <w:vMerge w:val="continue"/>
            <w:vAlign w:val="center"/>
          </w:tcPr>
          <w:p w14:paraId="456B5749">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38C12211">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鼓励企业自行开展VOCs监测，并及时主动向当地环保行政主管部门报送监测结果。企业应建立健全VOCs治理设施的运行维护规程和台账等日常管理制度，并根据工艺要求定期对各类设备、电气、自控仪表等进行检修维护，确保设施的稳定运行。</w:t>
            </w:r>
          </w:p>
        </w:tc>
        <w:tc>
          <w:tcPr>
            <w:tcW w:w="4405" w:type="dxa"/>
            <w:vAlign w:val="center"/>
          </w:tcPr>
          <w:p w14:paraId="634F6FC6">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本项目运营期间按照环保要求落实污染源监测、环境质量监测计划，并记录台账和报备给当地主管部门。</w:t>
            </w:r>
          </w:p>
        </w:tc>
        <w:tc>
          <w:tcPr>
            <w:tcW w:w="808" w:type="dxa"/>
            <w:vAlign w:val="center"/>
          </w:tcPr>
          <w:p w14:paraId="32DB415D">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bl>
    <w:p w14:paraId="3B2FB8C4">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综上，项目建设符合《挥发性有机物（VOCs）污染防治技术政策》</w:t>
      </w:r>
      <w:r>
        <w:rPr>
          <w:rFonts w:hint="eastAsia" w:ascii="Times New Roman" w:hAnsi="Times New Roman" w:eastAsia="宋体" w:cs="Times New Roman"/>
          <w:color w:val="auto"/>
          <w:sz w:val="24"/>
          <w:u w:val="single" w:color="auto"/>
        </w:rPr>
        <w:t>（部公告2013年第31号）</w:t>
      </w:r>
      <w:r>
        <w:rPr>
          <w:rFonts w:ascii="Times New Roman" w:hAnsi="Times New Roman" w:eastAsia="宋体" w:cs="Times New Roman"/>
          <w:color w:val="auto"/>
          <w:sz w:val="24"/>
          <w:u w:val="single" w:color="auto"/>
        </w:rPr>
        <w:t>的要求。</w:t>
      </w:r>
    </w:p>
    <w:p w14:paraId="1F89028E">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5</w:t>
      </w:r>
      <w:r>
        <w:rPr>
          <w:rFonts w:hint="eastAsia" w:ascii="Times New Roman" w:hAnsi="Times New Roman" w:eastAsia="宋体" w:cs="Times New Roman"/>
          <w:color w:val="auto"/>
          <w:sz w:val="24"/>
          <w:u w:val="single" w:color="auto"/>
        </w:rPr>
        <w:t>）</w:t>
      </w:r>
      <w:r>
        <w:rPr>
          <w:rFonts w:ascii="Times New Roman" w:hAnsi="Times New Roman" w:eastAsia="宋体" w:cs="Times New Roman"/>
          <w:color w:val="auto"/>
          <w:sz w:val="24"/>
          <w:u w:val="single" w:color="auto"/>
        </w:rPr>
        <w:t>与</w:t>
      </w:r>
      <w:r>
        <w:rPr>
          <w:rFonts w:hint="eastAsia" w:ascii="Times New Roman" w:hAnsi="Times New Roman" w:eastAsia="宋体" w:cs="Times New Roman"/>
          <w:color w:val="auto"/>
          <w:sz w:val="24"/>
          <w:u w:val="single" w:color="auto"/>
        </w:rPr>
        <w:t>《关于加快解决当前挥发性有机物治理突出问题的通知》（环大气〔2021〕65号）</w:t>
      </w:r>
      <w:r>
        <w:rPr>
          <w:rFonts w:ascii="Times New Roman" w:hAnsi="Times New Roman" w:eastAsia="宋体" w:cs="Times New Roman"/>
          <w:color w:val="auto"/>
          <w:sz w:val="24"/>
          <w:u w:val="single" w:color="auto"/>
        </w:rPr>
        <w:t>的符合性分析</w:t>
      </w:r>
    </w:p>
    <w:p w14:paraId="101B4FA4">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项目与《关于加快解决当前挥发性有机物治理突出问题的通知》（环大气〔2021〕65号）相符性分析见表</w:t>
      </w:r>
      <w:r>
        <w:rPr>
          <w:rFonts w:hint="eastAsia" w:ascii="Times New Roman" w:hAnsi="Times New Roman" w:eastAsia="宋体" w:cs="Times New Roman"/>
          <w:color w:val="auto"/>
          <w:sz w:val="24"/>
          <w:u w:val="single" w:color="auto"/>
          <w:lang w:val="en-US" w:eastAsia="zh-CN"/>
        </w:rPr>
        <w:t>3</w:t>
      </w:r>
      <w:r>
        <w:rPr>
          <w:rFonts w:hint="eastAsia" w:ascii="Times New Roman" w:hAnsi="Times New Roman" w:eastAsia="宋体" w:cs="Times New Roman"/>
          <w:color w:val="auto"/>
          <w:sz w:val="24"/>
          <w:u w:val="single" w:color="auto"/>
        </w:rPr>
        <w:t>。</w:t>
      </w:r>
    </w:p>
    <w:p w14:paraId="3828081C">
      <w:pPr>
        <w:autoSpaceDE w:val="0"/>
        <w:autoSpaceDN w:val="0"/>
        <w:ind w:firstLine="422" w:firstLineChars="200"/>
        <w:jc w:val="center"/>
        <w:rPr>
          <w:rFonts w:ascii="Times New Roman" w:hAnsi="Times New Roman" w:eastAsia="宋体" w:cs="Times New Roman"/>
          <w:b/>
          <w:color w:val="auto"/>
          <w:u w:val="single" w:color="auto"/>
        </w:rPr>
      </w:pPr>
      <w:r>
        <w:rPr>
          <w:rFonts w:hint="eastAsia" w:ascii="Times New Roman" w:hAnsi="Times New Roman" w:eastAsia="宋体" w:cs="Times New Roman"/>
          <w:b/>
          <w:color w:val="auto"/>
          <w:u w:val="single" w:color="auto"/>
          <w:lang w:val="en-US" w:eastAsia="zh-CN"/>
        </w:rPr>
        <w:t xml:space="preserve">表3 </w:t>
      </w:r>
      <w:r>
        <w:rPr>
          <w:rFonts w:hint="eastAsia" w:ascii="Times New Roman" w:hAnsi="Times New Roman" w:eastAsia="宋体" w:cs="Times New Roman"/>
          <w:b/>
          <w:color w:val="auto"/>
          <w:u w:val="single" w:color="auto"/>
        </w:rPr>
        <w:t>项目与《关于加快解决当前挥发性有机物治理突出问题的通知》相符性分析</w:t>
      </w:r>
    </w:p>
    <w:tbl>
      <w:tblPr>
        <w:tblStyle w:val="37"/>
        <w:tblW w:w="10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3840"/>
        <w:gridCol w:w="4347"/>
        <w:gridCol w:w="800"/>
      </w:tblGrid>
      <w:tr w14:paraId="5A028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1130" w:type="dxa"/>
            <w:vAlign w:val="center"/>
          </w:tcPr>
          <w:p w14:paraId="7B277D95">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文件名称</w:t>
            </w:r>
          </w:p>
        </w:tc>
        <w:tc>
          <w:tcPr>
            <w:tcW w:w="3840" w:type="dxa"/>
            <w:vAlign w:val="center"/>
          </w:tcPr>
          <w:p w14:paraId="339F1114">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相关要求</w:t>
            </w:r>
          </w:p>
        </w:tc>
        <w:tc>
          <w:tcPr>
            <w:tcW w:w="4347" w:type="dxa"/>
            <w:vAlign w:val="center"/>
          </w:tcPr>
          <w:p w14:paraId="60F62D10">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本项目情况</w:t>
            </w:r>
          </w:p>
        </w:tc>
        <w:tc>
          <w:tcPr>
            <w:tcW w:w="800" w:type="dxa"/>
            <w:vAlign w:val="center"/>
          </w:tcPr>
          <w:p w14:paraId="66B9BAF4">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判断结果</w:t>
            </w:r>
          </w:p>
        </w:tc>
      </w:tr>
      <w:tr w14:paraId="41A13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3" w:hRule="atLeast"/>
          <w:jc w:val="center"/>
        </w:trPr>
        <w:tc>
          <w:tcPr>
            <w:tcW w:w="1130" w:type="dxa"/>
            <w:vMerge w:val="restart"/>
            <w:vAlign w:val="center"/>
          </w:tcPr>
          <w:p w14:paraId="7F9C04FC">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《关于加快解决当前挥发性有机物治理突出问题的通知》（环大气〔2021〕65号）</w:t>
            </w:r>
          </w:p>
        </w:tc>
        <w:tc>
          <w:tcPr>
            <w:tcW w:w="3840" w:type="dxa"/>
            <w:vAlign w:val="center"/>
          </w:tcPr>
          <w:p w14:paraId="607D5740">
            <w:pPr>
              <w:pStyle w:val="102"/>
              <w:adjustRightInd/>
              <w:spacing w:before="0" w:after="0" w:line="240" w:lineRule="auto"/>
              <w:jc w:val="left"/>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产生VOCs的生产环节优先采用密闭设备、在密闭空间中操作或采用全密闭集气罩收集方式，并保持负压运行。推广以生产线或设备为单位设置隔间，收集风量应确保隔间保持微负压。当废气产生点较多、彼此距离较远时，在满足设计规范、风压平衡的基础上，适当分设多套收集系统或中继风机。工业涂装行业建设密闭</w:t>
            </w:r>
            <w:r>
              <w:rPr>
                <w:rFonts w:hint="eastAsia" w:ascii="Times New Roman" w:hAnsi="Times New Roman" w:eastAsia="宋体" w:cs="Times New Roman"/>
                <w:b w:val="0"/>
                <w:bCs w:val="0"/>
                <w:color w:val="auto"/>
                <w:sz w:val="21"/>
                <w:szCs w:val="21"/>
                <w:u w:val="single" w:color="auto"/>
                <w:lang w:eastAsia="zh-CN"/>
              </w:rPr>
              <w:t>涂装车间</w:t>
            </w:r>
            <w:r>
              <w:rPr>
                <w:rFonts w:hint="default" w:ascii="Times New Roman" w:hAnsi="Times New Roman" w:eastAsia="宋体" w:cs="Times New Roman"/>
                <w:b w:val="0"/>
                <w:bCs w:val="0"/>
                <w:color w:val="auto"/>
                <w:sz w:val="21"/>
                <w:szCs w:val="21"/>
                <w:u w:val="single" w:color="auto"/>
              </w:rPr>
              <w:t>，对于大型构件（船舶、钢结构）实施分段涂装，废气进行收集治理；对于确需露天涂装的，应采用符合国家或地方标准要求的低（无）VOCs 含量涂料，或使用移动式废气收集治理设施。</w:t>
            </w:r>
          </w:p>
        </w:tc>
        <w:tc>
          <w:tcPr>
            <w:tcW w:w="4347" w:type="dxa"/>
            <w:vAlign w:val="center"/>
          </w:tcPr>
          <w:p w14:paraId="508C2386">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eastAsia" w:ascii="Times New Roman" w:hAnsi="Times New Roman" w:eastAsia="宋体" w:cs="Times New Roman"/>
                <w:b w:val="0"/>
                <w:bCs w:val="0"/>
                <w:color w:val="auto"/>
                <w:sz w:val="21"/>
                <w:szCs w:val="21"/>
                <w:u w:val="single" w:color="auto"/>
                <w:lang w:val="en-US" w:eastAsia="zh-CN"/>
              </w:rPr>
              <w:t>项目建设有密闭涂装车间，大型构件在密闭的涂装车间内使用高压无气喷涂机喷漆，并保持负压运行</w:t>
            </w:r>
            <w:r>
              <w:rPr>
                <w:rFonts w:hint="default" w:ascii="Times New Roman" w:hAnsi="Times New Roman" w:eastAsia="宋体" w:cs="Times New Roman"/>
                <w:b w:val="0"/>
                <w:bCs w:val="0"/>
                <w:color w:val="auto"/>
                <w:sz w:val="21"/>
                <w:szCs w:val="21"/>
                <w:u w:val="single" w:color="auto"/>
              </w:rPr>
              <w:t>。</w:t>
            </w:r>
          </w:p>
        </w:tc>
        <w:tc>
          <w:tcPr>
            <w:tcW w:w="800" w:type="dxa"/>
            <w:vAlign w:val="center"/>
          </w:tcPr>
          <w:p w14:paraId="1353AD3D">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755DF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9" w:hRule="atLeast"/>
          <w:jc w:val="center"/>
        </w:trPr>
        <w:tc>
          <w:tcPr>
            <w:tcW w:w="1130" w:type="dxa"/>
            <w:vMerge w:val="continue"/>
            <w:vAlign w:val="center"/>
          </w:tcPr>
          <w:p w14:paraId="0EF631B6">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03738E57">
            <w:pPr>
              <w:pStyle w:val="102"/>
              <w:adjustRightInd/>
              <w:spacing w:before="0" w:after="0" w:line="240" w:lineRule="auto"/>
              <w:jc w:val="left"/>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新建治理设施或对现有治理设施实施改造，应依据排放废气特征、VOCs 组分及浓度、生产工况等，合理选择治理技术；对治理难度大、单一治理工艺难以稳定达标的，宜采用多种技术的组合工艺；除恶臭异味治理外，一般不使用低温等离子、光催化、光氧化等技术。对于VOCs治理设施产生的废过滤棉、废催化剂、废吸附剂、废吸收剂、废有机溶剂等，应及时清运，属于危险废物的应交有资质的单位处理处置。</w:t>
            </w:r>
          </w:p>
        </w:tc>
        <w:tc>
          <w:tcPr>
            <w:tcW w:w="4347" w:type="dxa"/>
            <w:vAlign w:val="center"/>
          </w:tcPr>
          <w:p w14:paraId="5405BFBC">
            <w:pPr>
              <w:pStyle w:val="102"/>
              <w:adjustRightInd/>
              <w:spacing w:before="0" w:after="0" w:line="240" w:lineRule="auto"/>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sz w:val="21"/>
                <w:szCs w:val="21"/>
                <w:u w:val="single" w:color="auto"/>
              </w:rPr>
              <w:t>项目喷漆废气中产生VOCs经“干式过滤+活性炭吸附+解吸脱附+催化燃烧”工艺处理</w:t>
            </w:r>
            <w:r>
              <w:rPr>
                <w:rFonts w:hint="eastAsia" w:ascii="Times New Roman" w:hAnsi="Times New Roman" w:eastAsia="宋体" w:cs="Times New Roman"/>
                <w:b w:val="0"/>
                <w:bCs w:val="0"/>
                <w:color w:val="auto"/>
                <w:sz w:val="21"/>
                <w:szCs w:val="21"/>
                <w:u w:val="single" w:color="auto"/>
                <w:lang w:val="en-US" w:eastAsia="zh-CN"/>
              </w:rPr>
              <w:t>后</w:t>
            </w:r>
            <w:r>
              <w:rPr>
                <w:rFonts w:hint="default" w:ascii="Times New Roman" w:hAnsi="Times New Roman" w:eastAsia="宋体" w:cs="Times New Roman"/>
                <w:b w:val="0"/>
                <w:bCs w:val="0"/>
                <w:color w:val="auto"/>
                <w:sz w:val="21"/>
                <w:szCs w:val="21"/>
                <w:u w:val="single" w:color="auto"/>
              </w:rPr>
              <w:t>达标排放。</w:t>
            </w:r>
            <w:r>
              <w:rPr>
                <w:rFonts w:hint="eastAsia" w:ascii="Times New Roman" w:hAnsi="Times New Roman" w:eastAsia="宋体" w:cs="Times New Roman"/>
                <w:b w:val="0"/>
                <w:bCs w:val="0"/>
                <w:color w:val="auto"/>
                <w:sz w:val="21"/>
                <w:szCs w:val="21"/>
                <w:u w:val="single" w:color="auto"/>
                <w:lang w:val="en-US" w:eastAsia="zh-CN"/>
              </w:rPr>
              <w:t>项目</w:t>
            </w:r>
            <w:r>
              <w:rPr>
                <w:rFonts w:hint="default" w:ascii="Times New Roman" w:hAnsi="Times New Roman" w:eastAsia="宋体" w:cs="Times New Roman"/>
                <w:b w:val="0"/>
                <w:bCs w:val="0"/>
                <w:color w:val="auto"/>
                <w:sz w:val="21"/>
                <w:szCs w:val="21"/>
                <w:u w:val="single" w:color="auto"/>
              </w:rPr>
              <w:t>VOCs治理设施产生的废过滤棉</w:t>
            </w:r>
            <w:r>
              <w:rPr>
                <w:rFonts w:hint="eastAsia" w:ascii="Times New Roman" w:hAnsi="Times New Roman" w:eastAsia="宋体" w:cs="Times New Roman"/>
                <w:b w:val="0"/>
                <w:bCs w:val="0"/>
                <w:color w:val="auto"/>
                <w:sz w:val="21"/>
                <w:szCs w:val="21"/>
                <w:u w:val="single" w:color="auto"/>
                <w:lang w:eastAsia="zh-CN"/>
              </w:rPr>
              <w:t>、</w:t>
            </w:r>
            <w:r>
              <w:rPr>
                <w:rFonts w:hint="eastAsia" w:ascii="Times New Roman" w:hAnsi="Times New Roman" w:eastAsia="宋体" w:cs="Times New Roman"/>
                <w:b w:val="0"/>
                <w:bCs w:val="0"/>
                <w:color w:val="auto"/>
                <w:sz w:val="21"/>
                <w:szCs w:val="21"/>
                <w:u w:val="single" w:color="auto"/>
                <w:lang w:val="en-US" w:eastAsia="zh-CN"/>
              </w:rPr>
              <w:t>废活性炭、废催化剂等危险废物暂存于厂内危废暂存间，定期交有资质单位处置。</w:t>
            </w:r>
          </w:p>
        </w:tc>
        <w:tc>
          <w:tcPr>
            <w:tcW w:w="800" w:type="dxa"/>
            <w:vAlign w:val="center"/>
          </w:tcPr>
          <w:p w14:paraId="19B3FFAD">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r w14:paraId="1D10C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2" w:hRule="atLeast"/>
          <w:jc w:val="center"/>
        </w:trPr>
        <w:tc>
          <w:tcPr>
            <w:tcW w:w="1130" w:type="dxa"/>
            <w:vMerge w:val="continue"/>
            <w:vAlign w:val="center"/>
          </w:tcPr>
          <w:p w14:paraId="0DD3EC6D">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p>
        </w:tc>
        <w:tc>
          <w:tcPr>
            <w:tcW w:w="3840" w:type="dxa"/>
            <w:vAlign w:val="center"/>
          </w:tcPr>
          <w:p w14:paraId="2B7F5CE0">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工业涂装、包装印刷、鞋革箱包制造、竹木制品、电子等重点行业要加大低（无）VOCs含量原辅材料的源头替代力度，加强成熟技术替代品的应用。</w:t>
            </w:r>
          </w:p>
        </w:tc>
        <w:tc>
          <w:tcPr>
            <w:tcW w:w="4347" w:type="dxa"/>
            <w:vAlign w:val="center"/>
          </w:tcPr>
          <w:p w14:paraId="72DE4CD8">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eastAsia" w:ascii="Times New Roman" w:hAnsi="Times New Roman" w:eastAsia="宋体" w:cs="Times New Roman"/>
                <w:b w:val="0"/>
                <w:bCs w:val="0"/>
                <w:color w:val="auto"/>
                <w:sz w:val="21"/>
                <w:szCs w:val="21"/>
                <w:u w:val="single" w:color="auto"/>
                <w:lang w:val="en-US" w:eastAsia="zh-CN"/>
              </w:rPr>
              <w:t>项目使用低挥发性有机物含量的涂料。</w:t>
            </w:r>
          </w:p>
        </w:tc>
        <w:tc>
          <w:tcPr>
            <w:tcW w:w="800" w:type="dxa"/>
            <w:vAlign w:val="center"/>
          </w:tcPr>
          <w:p w14:paraId="33166060">
            <w:pPr>
              <w:pStyle w:val="102"/>
              <w:adjustRightInd/>
              <w:spacing w:before="0" w:after="0" w:line="240" w:lineRule="auto"/>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相符</w:t>
            </w:r>
          </w:p>
        </w:tc>
      </w:tr>
    </w:tbl>
    <w:p w14:paraId="2D6B2E26">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综上，项目建设符合</w:t>
      </w:r>
      <w:r>
        <w:rPr>
          <w:rFonts w:hint="eastAsia" w:ascii="Times New Roman" w:hAnsi="Times New Roman" w:eastAsia="宋体" w:cs="Times New Roman"/>
          <w:color w:val="auto"/>
          <w:sz w:val="24"/>
          <w:u w:val="single" w:color="auto"/>
        </w:rPr>
        <w:t>《关于加快解决当前挥发性有机物治理突出问题的通知》（环大气〔2021〕65号）</w:t>
      </w:r>
      <w:r>
        <w:rPr>
          <w:rFonts w:ascii="Times New Roman" w:hAnsi="Times New Roman" w:eastAsia="宋体" w:cs="Times New Roman"/>
          <w:color w:val="auto"/>
          <w:sz w:val="24"/>
          <w:u w:val="single" w:color="auto"/>
        </w:rPr>
        <w:t>的要求。</w:t>
      </w:r>
    </w:p>
    <w:p w14:paraId="06432A66">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6</w:t>
      </w:r>
      <w:r>
        <w:rPr>
          <w:rFonts w:ascii="Times New Roman" w:hAnsi="Times New Roman" w:eastAsia="宋体" w:cs="Times New Roman"/>
          <w:color w:val="auto"/>
          <w:sz w:val="24"/>
          <w:u w:val="single" w:color="auto"/>
        </w:rPr>
        <w:t>）三线一单符合性分析</w:t>
      </w:r>
    </w:p>
    <w:p w14:paraId="2EC506EA">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① 生态保护红线</w:t>
      </w:r>
    </w:p>
    <w:p w14:paraId="6ABA3598">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位于中国(广西)自由贸易试验区钦州港片区大榄坪二号路西面、中船规划支路北侧和南侧，占地不涉及自然保护区、水源保护区、风景名胜区、文物古迹等敏感区范围，符合钦州市生态功能区相关要求；项目所在区域不属于生态保护红线管控区域，项目的建设符合生态保护红线管理办法的规定。</w:t>
      </w:r>
    </w:p>
    <w:p w14:paraId="0E8D6306">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② 环境质量底线</w:t>
      </w:r>
    </w:p>
    <w:p w14:paraId="5E68BAC5">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项目区域海水、大气环境、声环境、土壤环境质量能够满足相应的标准要求；项目所在区域属填海区，受海水盐度影响，地下水出现Na</w:t>
      </w:r>
      <w:r>
        <w:rPr>
          <w:rFonts w:hint="eastAsia" w:ascii="Times New Roman" w:hAnsi="Times New Roman" w:eastAsia="宋体" w:cs="Times New Roman"/>
          <w:color w:val="auto"/>
          <w:sz w:val="24"/>
          <w:u w:val="single" w:color="auto"/>
          <w:vertAlign w:val="superscript"/>
        </w:rPr>
        <w:t>+</w:t>
      </w:r>
      <w:r>
        <w:rPr>
          <w:rFonts w:hint="eastAsia" w:ascii="Times New Roman" w:hAnsi="Times New Roman" w:eastAsia="宋体" w:cs="Times New Roman"/>
          <w:color w:val="auto"/>
          <w:sz w:val="24"/>
          <w:u w:val="single" w:color="auto"/>
        </w:rPr>
        <w:t>、Cl</w:t>
      </w:r>
      <w:r>
        <w:rPr>
          <w:rFonts w:hint="eastAsia" w:ascii="Times New Roman" w:hAnsi="Times New Roman" w:eastAsia="宋体" w:cs="Times New Roman"/>
          <w:color w:val="auto"/>
          <w:sz w:val="24"/>
          <w:u w:val="single" w:color="auto"/>
          <w:vertAlign w:val="superscript"/>
        </w:rPr>
        <w:t>-</w:t>
      </w:r>
      <w:r>
        <w:rPr>
          <w:rFonts w:hint="eastAsia" w:ascii="Times New Roman" w:hAnsi="Times New Roman" w:eastAsia="宋体" w:cs="Times New Roman"/>
          <w:color w:val="auto"/>
          <w:sz w:val="24"/>
          <w:u w:val="single" w:color="auto"/>
        </w:rPr>
        <w:t>、SO</w:t>
      </w:r>
      <w:r>
        <w:rPr>
          <w:rFonts w:hint="eastAsia" w:ascii="Times New Roman" w:hAnsi="Times New Roman" w:eastAsia="宋体" w:cs="Times New Roman"/>
          <w:color w:val="auto"/>
          <w:sz w:val="24"/>
          <w:u w:val="single" w:color="auto"/>
          <w:vertAlign w:val="subscript"/>
        </w:rPr>
        <w:t>4</w:t>
      </w:r>
      <w:r>
        <w:rPr>
          <w:rFonts w:hint="eastAsia" w:ascii="Times New Roman" w:hAnsi="Times New Roman" w:eastAsia="宋体" w:cs="Times New Roman"/>
          <w:color w:val="auto"/>
          <w:sz w:val="24"/>
          <w:u w:val="single" w:color="auto"/>
          <w:vertAlign w:val="superscript"/>
        </w:rPr>
        <w:t>2-</w:t>
      </w:r>
      <w:r>
        <w:rPr>
          <w:rFonts w:hint="eastAsia" w:ascii="Times New Roman" w:hAnsi="Times New Roman" w:eastAsia="宋体" w:cs="Times New Roman"/>
          <w:color w:val="auto"/>
          <w:sz w:val="24"/>
          <w:u w:val="single" w:color="auto"/>
        </w:rPr>
        <w:t>、总硬度、溶解性总固体出现不同程度超标现象。项目废水、废气、噪声经采取环境保护措施后均能够达标排放，固废均得到有效处置，因此，项目的建设不会突破当地环境质量底线。</w:t>
      </w:r>
    </w:p>
    <w:p w14:paraId="03912CE7">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③资源利用上限</w:t>
      </w:r>
    </w:p>
    <w:p w14:paraId="3905E4DB">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资源利用上线是促进资源能源节约，保障能源、水、土地等资源高效利用，不应突破的最高限值。项目位于钦州港大榄坪港区大榄坪作业区内，用水、用电等可满足项目要求。本项目用地不侵占基本农田或生态林地等，项目资源消耗量相对于区域资源利用总量较少，符合资源利用上限要求。</w:t>
      </w:r>
    </w:p>
    <w:p w14:paraId="0C59B788">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④环境准入负面清单</w:t>
      </w:r>
    </w:p>
    <w:p w14:paraId="5B87231A">
      <w:pPr>
        <w:autoSpaceDE w:val="0"/>
        <w:autoSpaceDN w:val="0"/>
        <w:spacing w:line="360" w:lineRule="auto"/>
        <w:ind w:firstLine="480" w:firstLineChars="200"/>
        <w:rPr>
          <w:rFonts w:hint="eastAsia"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w:t>
      </w:r>
      <w:r>
        <w:rPr>
          <w:rFonts w:hint="eastAsia" w:ascii="Times New Roman" w:hAnsi="Times New Roman" w:eastAsia="宋体" w:cs="Times New Roman"/>
          <w:color w:val="auto"/>
          <w:sz w:val="24"/>
          <w:u w:val="single" w:color="auto"/>
          <w:lang w:val="en-US" w:eastAsia="zh-CN"/>
        </w:rPr>
        <w:t>不属于</w:t>
      </w:r>
      <w:r>
        <w:rPr>
          <w:rFonts w:hint="eastAsia" w:ascii="Times New Roman" w:hAnsi="Times New Roman" w:eastAsia="宋体" w:cs="Times New Roman"/>
          <w:color w:val="auto"/>
          <w:sz w:val="24"/>
          <w:u w:val="single" w:color="auto"/>
        </w:rPr>
        <w:t>《北钦防一体化产业协同发展限制布局清单（工业类2021年版）》中</w:t>
      </w:r>
      <w:r>
        <w:rPr>
          <w:rFonts w:hint="eastAsia" w:ascii="Times New Roman" w:hAnsi="Times New Roman" w:eastAsia="宋体" w:cs="Times New Roman"/>
          <w:color w:val="auto"/>
          <w:sz w:val="24"/>
          <w:u w:val="single" w:color="auto"/>
          <w:lang w:val="en-US" w:eastAsia="zh-CN"/>
        </w:rPr>
        <w:t>的清单</w:t>
      </w:r>
      <w:r>
        <w:rPr>
          <w:rFonts w:hint="eastAsia" w:ascii="Times New Roman" w:hAnsi="Times New Roman" w:eastAsia="宋体" w:cs="Times New Roman"/>
          <w:color w:val="auto"/>
          <w:sz w:val="24"/>
          <w:u w:val="single" w:color="auto"/>
        </w:rPr>
        <w:t>，项目建设符合国家产业政策，为环境准入允许类别。</w:t>
      </w:r>
    </w:p>
    <w:p w14:paraId="3E176A7E">
      <w:pPr>
        <w:autoSpaceDE w:val="0"/>
        <w:autoSpaceDN w:val="0"/>
        <w:spacing w:line="360" w:lineRule="auto"/>
        <w:ind w:firstLine="480" w:firstLineChars="200"/>
        <w:rPr>
          <w:rFonts w:hint="eastAsia"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⑤与《钦州市生态环境分区管控动态更新成果（2023版）》相符性分析</w:t>
      </w:r>
    </w:p>
    <w:p w14:paraId="1DEDFF23">
      <w:pPr>
        <w:autoSpaceDE w:val="0"/>
        <w:autoSpaceDN w:val="0"/>
        <w:spacing w:line="360" w:lineRule="auto"/>
        <w:ind w:firstLine="480" w:firstLineChars="200"/>
        <w:rPr>
          <w:rFonts w:hint="default" w:ascii="Times New Roman" w:hAnsi="Times New Roman" w:eastAsia="宋体"/>
          <w:color w:val="auto"/>
          <w:u w:val="single" w:color="auto"/>
          <w:lang w:val="en-US"/>
        </w:rPr>
      </w:pPr>
      <w:r>
        <w:rPr>
          <w:rFonts w:hint="eastAsia" w:ascii="Times New Roman" w:hAnsi="Times New Roman" w:eastAsia="宋体" w:cs="Times New Roman"/>
          <w:color w:val="auto"/>
          <w:sz w:val="24"/>
          <w:u w:val="single" w:color="auto"/>
        </w:rPr>
        <w:t>根据钦州市生态环境局关于印发《钦州市生态环境分区管控动态更新成果（2023版）》的通知，本项目属于钦州港经济技术开发区重点管控单元内</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环境管控单元编号</w:t>
      </w:r>
      <w:r>
        <w:rPr>
          <w:rFonts w:hint="eastAsia" w:ascii="Times New Roman" w:hAnsi="Times New Roman" w:eastAsia="宋体" w:cs="Times New Roman"/>
          <w:color w:val="auto"/>
          <w:sz w:val="24"/>
          <w:u w:val="single" w:color="auto"/>
        </w:rPr>
        <w:t>ZH45070220005</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和</w:t>
      </w:r>
      <w:r>
        <w:rPr>
          <w:rFonts w:ascii="宋体" w:hAnsi="宋体" w:eastAsia="宋体" w:cs="宋体"/>
          <w:color w:val="auto"/>
          <w:sz w:val="24"/>
          <w:szCs w:val="24"/>
          <w:u w:val="single" w:color="auto"/>
        </w:rPr>
        <w:t>钦州市大榄坪工业与城镇用海区（大榄坪工矿通信用海区）</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环境管控单元编号</w:t>
      </w:r>
      <w:r>
        <w:rPr>
          <w:rFonts w:hint="eastAsia" w:ascii="宋体" w:hAnsi="宋体" w:eastAsia="宋体" w:cs="宋体"/>
          <w:color w:val="auto"/>
          <w:kern w:val="0"/>
          <w:sz w:val="24"/>
          <w:szCs w:val="24"/>
          <w:u w:val="single" w:color="auto"/>
          <w:lang w:val="en-US" w:eastAsia="zh-CN" w:bidi="ar"/>
        </w:rPr>
        <w:t>HY45070020007</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rPr>
        <w:t>，管控单元类别</w:t>
      </w:r>
      <w:r>
        <w:rPr>
          <w:rFonts w:hint="eastAsia" w:ascii="Times New Roman" w:hAnsi="Times New Roman" w:eastAsia="宋体" w:cs="Times New Roman"/>
          <w:color w:val="auto"/>
          <w:sz w:val="24"/>
          <w:u w:val="single" w:color="auto"/>
          <w:lang w:val="en-US" w:eastAsia="zh-CN"/>
        </w:rPr>
        <w:t>均</w:t>
      </w:r>
      <w:r>
        <w:rPr>
          <w:rFonts w:hint="eastAsia" w:ascii="Times New Roman" w:hAnsi="Times New Roman" w:eastAsia="宋体" w:cs="Times New Roman"/>
          <w:color w:val="auto"/>
          <w:sz w:val="24"/>
          <w:u w:val="single" w:color="auto"/>
        </w:rPr>
        <w:t>为重点管控单元</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rPr>
        <w:t>符合性分析见表</w:t>
      </w:r>
      <w:r>
        <w:rPr>
          <w:rFonts w:hint="eastAsia" w:ascii="Times New Roman" w:hAnsi="Times New Roman" w:eastAsia="宋体" w:cs="Times New Roman"/>
          <w:color w:val="auto"/>
          <w:sz w:val="24"/>
          <w:u w:val="single" w:color="auto"/>
          <w:lang w:val="en-US" w:eastAsia="zh-CN"/>
        </w:rPr>
        <w:t>4和表5。</w:t>
      </w:r>
    </w:p>
    <w:p w14:paraId="7266C3E8">
      <w:pPr>
        <w:keepNext/>
        <w:keepLines/>
        <w:numPr>
          <w:ilvl w:val="0"/>
          <w:numId w:val="0"/>
        </w:numPr>
        <w:tabs>
          <w:tab w:val="left" w:pos="0"/>
        </w:tabs>
        <w:spacing w:line="500" w:lineRule="exact"/>
        <w:ind w:leftChars="0"/>
        <w:jc w:val="center"/>
        <w:outlineLvl w:val="4"/>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lang w:val="en-US" w:eastAsia="zh-CN"/>
        </w:rPr>
        <w:t>表</w:t>
      </w:r>
      <w:r>
        <w:rPr>
          <w:rFonts w:hint="eastAsia" w:ascii="Times New Roman" w:hAnsi="Times New Roman" w:eastAsia="宋体" w:cs="Times New Roman"/>
          <w:b/>
          <w:color w:val="auto"/>
          <w:sz w:val="21"/>
          <w:szCs w:val="21"/>
          <w:u w:val="single" w:color="auto"/>
          <w:lang w:val="en-US" w:eastAsia="zh-CN"/>
        </w:rPr>
        <w:t>4</w:t>
      </w:r>
      <w:r>
        <w:rPr>
          <w:rFonts w:hint="default" w:ascii="Times New Roman" w:hAnsi="Times New Roman" w:eastAsia="宋体" w:cs="Times New Roman"/>
          <w:b/>
          <w:color w:val="auto"/>
          <w:sz w:val="21"/>
          <w:szCs w:val="21"/>
          <w:u w:val="single" w:color="auto"/>
          <w:lang w:val="en-US" w:eastAsia="zh-CN"/>
        </w:rPr>
        <w:t xml:space="preserve"> </w:t>
      </w:r>
      <w:r>
        <w:rPr>
          <w:rFonts w:hint="default" w:ascii="Times New Roman" w:hAnsi="Times New Roman" w:eastAsia="宋体" w:cs="Times New Roman"/>
          <w:b/>
          <w:color w:val="auto"/>
          <w:sz w:val="21"/>
          <w:szCs w:val="21"/>
          <w:u w:val="single" w:color="auto"/>
        </w:rPr>
        <w:t>项目与钦州港经济技术开发区重点管控单元相符性分析</w:t>
      </w:r>
    </w:p>
    <w:tbl>
      <w:tblPr>
        <w:tblStyle w:val="37"/>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4817"/>
        <w:gridCol w:w="3505"/>
      </w:tblGrid>
      <w:tr w14:paraId="1F6CF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op w:val="single" w:color="auto" w:sz="4" w:space="0"/>
              <w:left w:val="single" w:color="auto" w:sz="4" w:space="0"/>
              <w:bottom w:val="single" w:color="auto" w:sz="4" w:space="0"/>
              <w:right w:val="single" w:color="auto" w:sz="4" w:space="0"/>
            </w:tcBorders>
            <w:vAlign w:val="center"/>
          </w:tcPr>
          <w:p w14:paraId="1C2C5CC1">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管控类别</w:t>
            </w:r>
          </w:p>
        </w:tc>
        <w:tc>
          <w:tcPr>
            <w:tcW w:w="4817" w:type="dxa"/>
            <w:tcBorders>
              <w:top w:val="single" w:color="auto" w:sz="4" w:space="0"/>
              <w:left w:val="single" w:color="auto" w:sz="4" w:space="0"/>
              <w:bottom w:val="single" w:color="auto" w:sz="4" w:space="0"/>
              <w:right w:val="single" w:color="auto" w:sz="4" w:space="0"/>
            </w:tcBorders>
            <w:vAlign w:val="center"/>
          </w:tcPr>
          <w:p w14:paraId="55C0D2EE">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生态环境准入及管控要求</w:t>
            </w:r>
          </w:p>
        </w:tc>
        <w:tc>
          <w:tcPr>
            <w:tcW w:w="3505" w:type="dxa"/>
            <w:tcBorders>
              <w:top w:val="single" w:color="auto" w:sz="4" w:space="0"/>
              <w:left w:val="single" w:color="auto" w:sz="4" w:space="0"/>
              <w:bottom w:val="single" w:color="auto" w:sz="4" w:space="0"/>
              <w:right w:val="single" w:color="auto" w:sz="4" w:space="0"/>
            </w:tcBorders>
            <w:vAlign w:val="center"/>
          </w:tcPr>
          <w:p w14:paraId="0018BE46">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符合性分析</w:t>
            </w:r>
          </w:p>
        </w:tc>
      </w:tr>
      <w:tr w14:paraId="5BC0D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5E27EE9C">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空间布局约束</w:t>
            </w:r>
          </w:p>
        </w:tc>
        <w:tc>
          <w:tcPr>
            <w:tcW w:w="4817" w:type="dxa"/>
            <w:tcBorders>
              <w:top w:val="single" w:color="auto" w:sz="4" w:space="0"/>
              <w:left w:val="single" w:color="auto" w:sz="4" w:space="0"/>
              <w:bottom w:val="single" w:color="auto" w:sz="4" w:space="0"/>
              <w:right w:val="single" w:color="auto" w:sz="4" w:space="0"/>
            </w:tcBorders>
            <w:vAlign w:val="center"/>
          </w:tcPr>
          <w:p w14:paraId="0D559FB8">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1.引进项目清洁生产水平须达到国内同行业先进水平。不得引进与园区产业定位不符的产业。</w:t>
            </w:r>
          </w:p>
        </w:tc>
        <w:tc>
          <w:tcPr>
            <w:tcW w:w="3505" w:type="dxa"/>
            <w:tcBorders>
              <w:top w:val="single" w:color="auto" w:sz="4" w:space="0"/>
              <w:left w:val="single" w:color="auto" w:sz="4" w:space="0"/>
              <w:bottom w:val="single" w:color="auto" w:sz="4" w:space="0"/>
              <w:right w:val="single" w:color="auto" w:sz="4" w:space="0"/>
            </w:tcBorders>
            <w:vAlign w:val="center"/>
          </w:tcPr>
          <w:p w14:paraId="2B312844">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符合，项目</w:t>
            </w:r>
            <w:r>
              <w:rPr>
                <w:rFonts w:hint="eastAsia" w:ascii="Arial" w:hAnsi="Arial" w:eastAsia="宋体" w:cs="Arial"/>
                <w:color w:val="auto"/>
                <w:sz w:val="21"/>
                <w:szCs w:val="21"/>
                <w:u w:val="single" w:color="auto"/>
                <w:lang w:val="en-US" w:eastAsia="zh-CN"/>
              </w:rPr>
              <w:t>主要使用电、不涉及高污染燃料；生产过程不使用，仅为员工生活用水；项目采用高压无气喷涂机，油漆损耗较少；产生的废气均采用有效的处理设施处理后排放，危险废物均委托有处理资质的单位处理，一般固体废物外售，生活垃圾交给市政处理。综上，项目</w:t>
            </w:r>
            <w:r>
              <w:rPr>
                <w:rFonts w:ascii="Arial" w:hAnsi="Arial" w:eastAsia="宋体" w:cs="Arial"/>
                <w:color w:val="auto"/>
                <w:sz w:val="21"/>
                <w:szCs w:val="21"/>
                <w:u w:val="single" w:color="auto"/>
              </w:rPr>
              <w:t>清洁生产水平达到国内同行业先进水平。</w:t>
            </w:r>
          </w:p>
        </w:tc>
      </w:tr>
      <w:tr w14:paraId="5CEE3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300B1A1B">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1A673FF9">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2. 居住用地周边严控布局潜在污染扰民和环境风险突出的建设项目。</w:t>
            </w:r>
          </w:p>
        </w:tc>
        <w:tc>
          <w:tcPr>
            <w:tcW w:w="3505" w:type="dxa"/>
            <w:tcBorders>
              <w:top w:val="single" w:color="auto" w:sz="4" w:space="0"/>
              <w:left w:val="single" w:color="auto" w:sz="4" w:space="0"/>
              <w:bottom w:val="single" w:color="auto" w:sz="4" w:space="0"/>
              <w:right w:val="single" w:color="auto" w:sz="4" w:space="0"/>
            </w:tcBorders>
            <w:vAlign w:val="center"/>
          </w:tcPr>
          <w:p w14:paraId="4E69A126">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符合，项目周边无居住用地。</w:t>
            </w:r>
          </w:p>
        </w:tc>
      </w:tr>
      <w:tr w14:paraId="18778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bottom w:val="single" w:color="auto" w:sz="4" w:space="0"/>
              <w:right w:val="single" w:color="auto" w:sz="4" w:space="0"/>
            </w:tcBorders>
            <w:vAlign w:val="center"/>
          </w:tcPr>
          <w:p w14:paraId="3C190C1B">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0A7CBE4C">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3.</w:t>
            </w:r>
            <w:r>
              <w:rPr>
                <w:rFonts w:ascii="Arial" w:hAnsi="Arial" w:eastAsia="宋体" w:cs="Arial"/>
                <w:color w:val="auto"/>
                <w:sz w:val="21"/>
                <w:szCs w:val="21"/>
                <w:u w:val="single" w:color="auto"/>
              </w:rPr>
              <w:t>园区产业准入执行《广西壮族自治区人民政府办公厅关于印发北钦防一体化产业协同发展限制布局清单（工业类2021年版）的通知》（桂政办函〔2021〕4号）要求，限制新建水泥制造、建筑陶瓷制品制造、制革及毛皮加工等工业项目。</w:t>
            </w:r>
          </w:p>
        </w:tc>
        <w:tc>
          <w:tcPr>
            <w:tcW w:w="3505" w:type="dxa"/>
            <w:tcBorders>
              <w:top w:val="single" w:color="auto" w:sz="4" w:space="0"/>
              <w:left w:val="single" w:color="auto" w:sz="4" w:space="0"/>
              <w:bottom w:val="single" w:color="auto" w:sz="4" w:space="0"/>
              <w:right w:val="single" w:color="auto" w:sz="4" w:space="0"/>
            </w:tcBorders>
            <w:vAlign w:val="center"/>
          </w:tcPr>
          <w:p w14:paraId="597DF551">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符合，</w:t>
            </w:r>
            <w:r>
              <w:rPr>
                <w:rFonts w:hint="eastAsia" w:ascii="Arial" w:hAnsi="Arial" w:eastAsia="宋体" w:cs="Arial"/>
                <w:color w:val="auto"/>
                <w:sz w:val="21"/>
                <w:szCs w:val="21"/>
                <w:u w:val="single" w:color="auto"/>
              </w:rPr>
              <w:t>项目不属于《北钦防一体化产业协同发展限制布局清单（工业类2021年版）》。</w:t>
            </w:r>
          </w:p>
        </w:tc>
      </w:tr>
      <w:tr w14:paraId="414B9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75B1137A">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污染物排放管控</w:t>
            </w:r>
          </w:p>
        </w:tc>
        <w:tc>
          <w:tcPr>
            <w:tcW w:w="4817" w:type="dxa"/>
            <w:tcBorders>
              <w:top w:val="single" w:color="auto" w:sz="4" w:space="0"/>
              <w:left w:val="single" w:color="auto" w:sz="4" w:space="0"/>
              <w:bottom w:val="single" w:color="auto" w:sz="4" w:space="0"/>
              <w:right w:val="single" w:color="auto" w:sz="4" w:space="0"/>
            </w:tcBorders>
            <w:vAlign w:val="center"/>
          </w:tcPr>
          <w:p w14:paraId="77E9F091">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1.推动石化、化工等重点行业挥发性有机物（VOCs）污染防治。推动石化行业VOCs 泄漏检测与修复行动、VOCs 削减和有毒有害原料替代。</w:t>
            </w:r>
          </w:p>
        </w:tc>
        <w:tc>
          <w:tcPr>
            <w:tcW w:w="3505" w:type="dxa"/>
            <w:tcBorders>
              <w:top w:val="single" w:color="auto" w:sz="4" w:space="0"/>
              <w:left w:val="single" w:color="auto" w:sz="4" w:space="0"/>
              <w:bottom w:val="single" w:color="auto" w:sz="4" w:space="0"/>
              <w:right w:val="single" w:color="auto" w:sz="4" w:space="0"/>
            </w:tcBorders>
            <w:vAlign w:val="center"/>
          </w:tcPr>
          <w:p w14:paraId="652F48DB">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符合，项目产生的挥发性有机物得到有效治理。</w:t>
            </w:r>
          </w:p>
        </w:tc>
      </w:tr>
      <w:tr w14:paraId="7CAC6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2A91E4A3">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5032DDF3">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2. 石化行业全面推进行业达标排放改造，新建、改建、扩建涉及重点重金属排放建设项目依照相关规定实行总量控制。</w:t>
            </w:r>
          </w:p>
        </w:tc>
        <w:tc>
          <w:tcPr>
            <w:tcW w:w="3505" w:type="dxa"/>
            <w:tcBorders>
              <w:top w:val="single" w:color="auto" w:sz="4" w:space="0"/>
              <w:left w:val="single" w:color="auto" w:sz="4" w:space="0"/>
              <w:bottom w:val="single" w:color="auto" w:sz="4" w:space="0"/>
              <w:right w:val="single" w:color="auto" w:sz="4" w:space="0"/>
            </w:tcBorders>
            <w:vAlign w:val="center"/>
          </w:tcPr>
          <w:p w14:paraId="3AD38E59">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符合，项目不涉及重金属排放。</w:t>
            </w:r>
          </w:p>
        </w:tc>
      </w:tr>
      <w:tr w14:paraId="5ADED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6204DF59">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5FB03102">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3</w:t>
            </w:r>
            <w:r>
              <w:rPr>
                <w:rFonts w:ascii="Arial" w:hAnsi="Arial" w:eastAsia="宋体" w:cs="Arial"/>
                <w:color w:val="auto"/>
                <w:sz w:val="21"/>
                <w:szCs w:val="21"/>
                <w:u w:val="single" w:color="auto"/>
              </w:rPr>
              <w:t>.完善工业园区污水集中处理设施和配套管网。实行“清污分流、雨污分流”，实现废水分类收集、分质处理，入园企业应在达到国家或地方规定的排放标准后接入集中式污水处理设施处理，园区集中式污水处理设施总排口应安装自动监控系统、视频监控系统，并与环境保护主管部门联网。</w:t>
            </w:r>
          </w:p>
        </w:tc>
        <w:tc>
          <w:tcPr>
            <w:tcW w:w="3505" w:type="dxa"/>
            <w:tcBorders>
              <w:top w:val="single" w:color="auto" w:sz="4" w:space="0"/>
              <w:left w:val="single" w:color="auto" w:sz="4" w:space="0"/>
              <w:bottom w:val="single" w:color="auto" w:sz="4" w:space="0"/>
              <w:right w:val="single" w:color="auto" w:sz="4" w:space="0"/>
            </w:tcBorders>
            <w:vAlign w:val="center"/>
          </w:tcPr>
          <w:p w14:paraId="6695D06E">
            <w:pPr>
              <w:adjustRightInd w:val="0"/>
              <w:snapToGrid w:val="0"/>
              <w:jc w:val="left"/>
              <w:rPr>
                <w:rFonts w:ascii="Arial" w:hAnsi="Arial" w:eastAsia="宋体" w:cs="Arial"/>
                <w:color w:val="auto"/>
                <w:sz w:val="21"/>
                <w:szCs w:val="21"/>
                <w:u w:val="single" w:color="auto"/>
              </w:rPr>
            </w:pPr>
            <w:r>
              <w:rPr>
                <w:rFonts w:hint="default" w:ascii="Times New Roman" w:hAnsi="Times New Roman" w:eastAsia="宋体" w:cs="Times New Roman"/>
                <w:color w:val="auto"/>
                <w:sz w:val="21"/>
                <w:szCs w:val="21"/>
                <w:u w:val="single" w:color="auto"/>
              </w:rPr>
              <w:t>符合，</w:t>
            </w:r>
            <w:r>
              <w:rPr>
                <w:rFonts w:hint="default" w:ascii="Times New Roman" w:hAnsi="Times New Roman" w:eastAsia="宋体" w:cs="Times New Roman"/>
                <w:color w:val="auto"/>
                <w:sz w:val="21"/>
                <w:szCs w:val="21"/>
                <w:u w:val="single" w:color="auto"/>
                <w:lang w:eastAsia="zh-CN"/>
              </w:rPr>
              <w:t>本项目实施清污分流、雨污分流。生活污水经化粪池处理后达到大榄坪污水处理厂</w:t>
            </w:r>
            <w:r>
              <w:rPr>
                <w:rFonts w:hint="eastAsia" w:ascii="Times New Roman" w:hAnsi="Times New Roman" w:eastAsia="宋体" w:cs="Times New Roman"/>
                <w:color w:val="auto"/>
                <w:sz w:val="21"/>
                <w:szCs w:val="21"/>
                <w:u w:val="single" w:color="auto"/>
                <w:lang w:val="en-US" w:eastAsia="zh-CN"/>
              </w:rPr>
              <w:t>纳管</w:t>
            </w:r>
            <w:r>
              <w:rPr>
                <w:rFonts w:hint="default" w:ascii="Times New Roman" w:hAnsi="Times New Roman" w:eastAsia="宋体" w:cs="Times New Roman"/>
                <w:color w:val="auto"/>
                <w:sz w:val="21"/>
                <w:szCs w:val="21"/>
                <w:u w:val="single" w:color="auto"/>
                <w:lang w:eastAsia="zh-CN"/>
              </w:rPr>
              <w:t>标准</w:t>
            </w:r>
            <w:r>
              <w:rPr>
                <w:rFonts w:hint="eastAsia" w:ascii="Times New Roman" w:hAnsi="Times New Roman" w:eastAsia="宋体" w:cs="Times New Roman"/>
                <w:color w:val="auto"/>
                <w:sz w:val="21"/>
                <w:szCs w:val="21"/>
                <w:u w:val="single" w:color="auto"/>
                <w:lang w:val="en-US" w:eastAsia="zh-CN"/>
              </w:rPr>
              <w:t>后</w:t>
            </w:r>
            <w:r>
              <w:rPr>
                <w:rFonts w:hint="default" w:ascii="Times New Roman" w:hAnsi="Times New Roman" w:eastAsia="宋体" w:cs="Times New Roman"/>
                <w:color w:val="auto"/>
                <w:sz w:val="21"/>
                <w:szCs w:val="21"/>
                <w:u w:val="single" w:color="auto"/>
                <w:lang w:eastAsia="zh-CN"/>
              </w:rPr>
              <w:t>排入大榄坪污水处理厂处理</w:t>
            </w:r>
            <w:r>
              <w:rPr>
                <w:rFonts w:hint="default" w:ascii="Times New Roman" w:hAnsi="Times New Roman" w:eastAsia="宋体" w:cs="Times New Roman"/>
                <w:color w:val="auto"/>
                <w:sz w:val="21"/>
                <w:szCs w:val="21"/>
                <w:u w:val="single" w:color="auto"/>
              </w:rPr>
              <w:t>。</w:t>
            </w:r>
          </w:p>
        </w:tc>
      </w:tr>
      <w:tr w14:paraId="043D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00AFE3C8">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0050F681">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4. 加强园区无组织废气排放管理。</w:t>
            </w:r>
          </w:p>
        </w:tc>
        <w:tc>
          <w:tcPr>
            <w:tcW w:w="3505" w:type="dxa"/>
            <w:tcBorders>
              <w:top w:val="single" w:color="auto" w:sz="4" w:space="0"/>
              <w:left w:val="single" w:color="auto" w:sz="4" w:space="0"/>
              <w:bottom w:val="single" w:color="auto" w:sz="4" w:space="0"/>
              <w:right w:val="single" w:color="auto" w:sz="4" w:space="0"/>
            </w:tcBorders>
            <w:vAlign w:val="center"/>
          </w:tcPr>
          <w:p w14:paraId="3BD26CD6">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符合，项目采取负压收集废气，减少无组织废气排放。</w:t>
            </w:r>
          </w:p>
        </w:tc>
      </w:tr>
      <w:tr w14:paraId="3C1D4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bottom w:val="single" w:color="auto" w:sz="4" w:space="0"/>
              <w:right w:val="single" w:color="auto" w:sz="4" w:space="0"/>
            </w:tcBorders>
            <w:vAlign w:val="center"/>
          </w:tcPr>
          <w:p w14:paraId="537897E5">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17ED2EED">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5.提升固体废物减量化、资源化和无害化水平，尽量实现废物的综合利用，危险废物应交由有危废处理资质的单位进行安全处置。</w:t>
            </w:r>
          </w:p>
        </w:tc>
        <w:tc>
          <w:tcPr>
            <w:tcW w:w="3505" w:type="dxa"/>
            <w:tcBorders>
              <w:top w:val="single" w:color="auto" w:sz="4" w:space="0"/>
              <w:left w:val="single" w:color="auto" w:sz="4" w:space="0"/>
              <w:bottom w:val="single" w:color="auto" w:sz="4" w:space="0"/>
              <w:right w:val="single" w:color="auto" w:sz="4" w:space="0"/>
            </w:tcBorders>
            <w:vAlign w:val="center"/>
          </w:tcPr>
          <w:p w14:paraId="4B82F6F8">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符合，</w:t>
            </w:r>
            <w:r>
              <w:rPr>
                <w:rFonts w:hint="eastAsia" w:ascii="Arial" w:hAnsi="Arial" w:eastAsia="宋体" w:cs="Arial"/>
                <w:color w:val="auto"/>
                <w:sz w:val="21"/>
                <w:szCs w:val="21"/>
                <w:u w:val="single" w:color="auto"/>
              </w:rPr>
              <w:t>项目一般固体废物合理处置，危险废物委托有资质单位处置，生活垃圾委托环卫部门处置。</w:t>
            </w:r>
          </w:p>
        </w:tc>
      </w:tr>
      <w:tr w14:paraId="30ECA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5C8AA679">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环境风险防控</w:t>
            </w:r>
          </w:p>
        </w:tc>
        <w:tc>
          <w:tcPr>
            <w:tcW w:w="4817" w:type="dxa"/>
            <w:tcBorders>
              <w:top w:val="single" w:color="auto" w:sz="4" w:space="0"/>
              <w:left w:val="single" w:color="auto" w:sz="4" w:space="0"/>
              <w:bottom w:val="single" w:color="auto" w:sz="4" w:space="0"/>
              <w:right w:val="single" w:color="auto" w:sz="4" w:space="0"/>
            </w:tcBorders>
            <w:vAlign w:val="center"/>
          </w:tcPr>
          <w:p w14:paraId="6516DB69">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1.开展环境风险评估，制定突发环境事件应急预案并备案，配备应急能力和物资，建设环境应急队伍，并定期演练。企业、园区与地方人民政府环境应急预案应当有机衔接。</w:t>
            </w:r>
          </w:p>
        </w:tc>
        <w:tc>
          <w:tcPr>
            <w:tcW w:w="3505" w:type="dxa"/>
            <w:tcBorders>
              <w:top w:val="single" w:color="auto" w:sz="4" w:space="0"/>
              <w:left w:val="single" w:color="auto" w:sz="4" w:space="0"/>
              <w:bottom w:val="single" w:color="auto" w:sz="4" w:space="0"/>
              <w:right w:val="single" w:color="auto" w:sz="4" w:space="0"/>
            </w:tcBorders>
            <w:vAlign w:val="center"/>
          </w:tcPr>
          <w:p w14:paraId="6E6FA1DF">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符合，项目建成后将制定应急预案</w:t>
            </w:r>
            <w:r>
              <w:rPr>
                <w:rFonts w:ascii="Arial" w:hAnsi="Arial" w:eastAsia="宋体" w:cs="Arial"/>
                <w:color w:val="auto"/>
                <w:sz w:val="21"/>
                <w:szCs w:val="21"/>
                <w:u w:val="single" w:color="auto"/>
              </w:rPr>
              <w:t>并备案，配备应急能力和物资，建设环境应急队伍，并定期演练。</w:t>
            </w:r>
            <w:r>
              <w:rPr>
                <w:rFonts w:hint="eastAsia" w:ascii="Arial" w:hAnsi="Arial" w:eastAsia="宋体" w:cs="Arial"/>
                <w:color w:val="auto"/>
                <w:sz w:val="21"/>
                <w:szCs w:val="21"/>
                <w:u w:val="single" w:color="auto"/>
              </w:rPr>
              <w:t>并</w:t>
            </w:r>
            <w:r>
              <w:rPr>
                <w:rFonts w:hint="eastAsia" w:ascii="Arial" w:hAnsi="Arial" w:eastAsia="宋体" w:cs="Arial"/>
                <w:color w:val="auto"/>
                <w:sz w:val="21"/>
                <w:szCs w:val="21"/>
                <w:u w:val="single" w:color="auto"/>
                <w:lang w:eastAsia="zh-CN"/>
              </w:rPr>
              <w:t>与</w:t>
            </w:r>
            <w:r>
              <w:rPr>
                <w:rFonts w:hint="eastAsia" w:ascii="Arial" w:hAnsi="Arial" w:eastAsia="宋体" w:cs="Arial"/>
                <w:color w:val="auto"/>
                <w:sz w:val="21"/>
                <w:szCs w:val="21"/>
                <w:u w:val="single" w:color="auto"/>
              </w:rPr>
              <w:t>企业、</w:t>
            </w:r>
            <w:r>
              <w:rPr>
                <w:rFonts w:ascii="Arial" w:hAnsi="Arial" w:eastAsia="宋体" w:cs="Arial"/>
                <w:color w:val="auto"/>
                <w:sz w:val="21"/>
                <w:szCs w:val="21"/>
                <w:u w:val="single" w:color="auto"/>
              </w:rPr>
              <w:t>园区</w:t>
            </w:r>
            <w:r>
              <w:rPr>
                <w:rFonts w:hint="eastAsia" w:ascii="Arial" w:hAnsi="Arial" w:eastAsia="宋体" w:cs="Arial"/>
                <w:color w:val="auto"/>
                <w:sz w:val="21"/>
                <w:szCs w:val="21"/>
                <w:u w:val="single" w:color="auto"/>
              </w:rPr>
              <w:t>、</w:t>
            </w:r>
            <w:r>
              <w:rPr>
                <w:rFonts w:ascii="Arial" w:hAnsi="Arial" w:eastAsia="宋体" w:cs="Arial"/>
                <w:color w:val="auto"/>
                <w:sz w:val="21"/>
                <w:szCs w:val="21"/>
                <w:u w:val="single" w:color="auto"/>
              </w:rPr>
              <w:t>地方人民政府环境应急预案有机衔接。</w:t>
            </w:r>
          </w:p>
        </w:tc>
      </w:tr>
      <w:tr w14:paraId="1B421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bottom w:val="single" w:color="auto" w:sz="4" w:space="0"/>
              <w:right w:val="single" w:color="auto" w:sz="4" w:space="0"/>
            </w:tcBorders>
            <w:vAlign w:val="center"/>
          </w:tcPr>
          <w:p w14:paraId="5962228E">
            <w:pPr>
              <w:adjustRightInd w:val="0"/>
              <w:snapToGrid w:val="0"/>
              <w:jc w:val="center"/>
              <w:rPr>
                <w:rFonts w:ascii="Arial" w:hAnsi="Arial" w:eastAsia="宋体" w:cs="Arial"/>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7273FFD2">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3.建设项目应严格落实环境保护措施和环境风险防范措施，减缓对周边生态环境敏感区的不良影响。</w:t>
            </w:r>
          </w:p>
        </w:tc>
        <w:tc>
          <w:tcPr>
            <w:tcW w:w="3505" w:type="dxa"/>
            <w:tcBorders>
              <w:top w:val="single" w:color="auto" w:sz="4" w:space="0"/>
              <w:left w:val="single" w:color="auto" w:sz="4" w:space="0"/>
              <w:bottom w:val="single" w:color="auto" w:sz="4" w:space="0"/>
              <w:right w:val="single" w:color="auto" w:sz="4" w:space="0"/>
            </w:tcBorders>
            <w:vAlign w:val="center"/>
          </w:tcPr>
          <w:p w14:paraId="46895427">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符合，项目运营期将严格落实各项污染防治要求。</w:t>
            </w:r>
          </w:p>
        </w:tc>
      </w:tr>
      <w:tr w14:paraId="6F222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op w:val="single" w:color="auto" w:sz="4" w:space="0"/>
              <w:left w:val="single" w:color="auto" w:sz="4" w:space="0"/>
              <w:bottom w:val="single" w:color="auto" w:sz="4" w:space="0"/>
              <w:right w:val="single" w:color="auto" w:sz="4" w:space="0"/>
            </w:tcBorders>
            <w:vAlign w:val="center"/>
          </w:tcPr>
          <w:p w14:paraId="01CDB5EB">
            <w:pPr>
              <w:adjustRightInd w:val="0"/>
              <w:snapToGrid w:val="0"/>
              <w:jc w:val="center"/>
              <w:rPr>
                <w:rFonts w:ascii="Arial" w:hAnsi="Arial" w:eastAsia="宋体" w:cs="Arial"/>
                <w:color w:val="auto"/>
                <w:sz w:val="21"/>
                <w:szCs w:val="21"/>
                <w:u w:val="single" w:color="auto"/>
              </w:rPr>
            </w:pPr>
            <w:r>
              <w:rPr>
                <w:rFonts w:ascii="Arial" w:hAnsi="Arial" w:eastAsia="宋体" w:cs="Arial"/>
                <w:color w:val="auto"/>
                <w:sz w:val="21"/>
                <w:szCs w:val="21"/>
                <w:u w:val="single" w:color="auto"/>
              </w:rPr>
              <w:t>资源开发利用效率要求</w:t>
            </w:r>
          </w:p>
        </w:tc>
        <w:tc>
          <w:tcPr>
            <w:tcW w:w="4817" w:type="dxa"/>
            <w:tcBorders>
              <w:top w:val="single" w:color="auto" w:sz="4" w:space="0"/>
              <w:left w:val="single" w:color="auto" w:sz="4" w:space="0"/>
              <w:bottom w:val="single" w:color="auto" w:sz="4" w:space="0"/>
              <w:right w:val="single" w:color="auto" w:sz="4" w:space="0"/>
            </w:tcBorders>
            <w:vAlign w:val="center"/>
          </w:tcPr>
          <w:p w14:paraId="7982DDED">
            <w:pPr>
              <w:adjustRightInd w:val="0"/>
              <w:snapToGrid w:val="0"/>
              <w:jc w:val="left"/>
              <w:rPr>
                <w:rFonts w:ascii="Arial" w:hAnsi="Arial" w:eastAsia="宋体" w:cs="Arial"/>
                <w:color w:val="auto"/>
                <w:sz w:val="21"/>
                <w:szCs w:val="21"/>
                <w:u w:val="single" w:color="auto"/>
              </w:rPr>
            </w:pPr>
            <w:r>
              <w:rPr>
                <w:rFonts w:ascii="Arial" w:hAnsi="Arial" w:eastAsia="宋体" w:cs="Arial"/>
                <w:color w:val="auto"/>
                <w:sz w:val="21"/>
                <w:szCs w:val="21"/>
                <w:u w:val="single" w:color="auto"/>
              </w:rPr>
              <w:t>1.污染物排放以及用水、能耗、物耗、岸线与土地利用等资源环境指标达到行业先进水平。</w:t>
            </w:r>
          </w:p>
        </w:tc>
        <w:tc>
          <w:tcPr>
            <w:tcW w:w="3505" w:type="dxa"/>
            <w:tcBorders>
              <w:top w:val="single" w:color="auto" w:sz="4" w:space="0"/>
              <w:left w:val="single" w:color="auto" w:sz="4" w:space="0"/>
              <w:bottom w:val="single" w:color="auto" w:sz="4" w:space="0"/>
              <w:right w:val="single" w:color="auto" w:sz="4" w:space="0"/>
            </w:tcBorders>
            <w:vAlign w:val="center"/>
          </w:tcPr>
          <w:p w14:paraId="390906C6">
            <w:pPr>
              <w:adjustRightInd w:val="0"/>
              <w:snapToGrid w:val="0"/>
              <w:jc w:val="left"/>
              <w:rPr>
                <w:rFonts w:ascii="Arial" w:hAnsi="Arial" w:eastAsia="宋体" w:cs="Arial"/>
                <w:color w:val="auto"/>
                <w:sz w:val="21"/>
                <w:szCs w:val="21"/>
                <w:u w:val="single" w:color="auto"/>
              </w:rPr>
            </w:pPr>
            <w:r>
              <w:rPr>
                <w:rFonts w:hint="eastAsia" w:ascii="Arial" w:hAnsi="Arial" w:eastAsia="宋体" w:cs="Arial"/>
                <w:color w:val="auto"/>
                <w:sz w:val="21"/>
                <w:szCs w:val="21"/>
                <w:u w:val="single" w:color="auto"/>
              </w:rPr>
              <w:t>符合</w:t>
            </w:r>
            <w:r>
              <w:rPr>
                <w:rFonts w:hint="eastAsia" w:ascii="Arial" w:hAnsi="Arial" w:eastAsia="宋体" w:cs="Arial"/>
                <w:color w:val="auto"/>
                <w:sz w:val="21"/>
                <w:szCs w:val="21"/>
                <w:u w:val="single" w:color="auto"/>
                <w:lang w:eastAsia="zh-CN"/>
              </w:rPr>
              <w:t>，</w:t>
            </w:r>
            <w:r>
              <w:rPr>
                <w:rFonts w:ascii="Arial" w:hAnsi="Arial" w:eastAsia="宋体" w:cs="Arial"/>
                <w:color w:val="auto"/>
                <w:sz w:val="21"/>
                <w:szCs w:val="21"/>
                <w:u w:val="single" w:color="auto"/>
              </w:rPr>
              <w:t>污染物排放以及用水、能耗、物耗与土地利用等资源环境指标达到行业先进水平。</w:t>
            </w:r>
          </w:p>
        </w:tc>
      </w:tr>
    </w:tbl>
    <w:p w14:paraId="23D1909C">
      <w:pPr>
        <w:keepNext/>
        <w:keepLines/>
        <w:numPr>
          <w:ilvl w:val="0"/>
          <w:numId w:val="0"/>
        </w:numPr>
        <w:tabs>
          <w:tab w:val="left" w:pos="0"/>
        </w:tabs>
        <w:spacing w:line="500" w:lineRule="exact"/>
        <w:ind w:leftChars="0"/>
        <w:jc w:val="center"/>
        <w:outlineLvl w:val="4"/>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lang w:val="en-US" w:eastAsia="zh-CN"/>
        </w:rPr>
        <w:t>表</w:t>
      </w:r>
      <w:r>
        <w:rPr>
          <w:rFonts w:hint="eastAsia" w:ascii="Times New Roman" w:hAnsi="Times New Roman" w:eastAsia="宋体" w:cs="Times New Roman"/>
          <w:b/>
          <w:color w:val="auto"/>
          <w:sz w:val="21"/>
          <w:szCs w:val="21"/>
          <w:u w:val="single" w:color="auto"/>
          <w:lang w:val="en-US" w:eastAsia="zh-CN"/>
        </w:rPr>
        <w:t>5</w:t>
      </w:r>
      <w:r>
        <w:rPr>
          <w:rFonts w:hint="default" w:ascii="Times New Roman" w:hAnsi="Times New Roman" w:eastAsia="宋体" w:cs="Times New Roman"/>
          <w:b/>
          <w:color w:val="auto"/>
          <w:sz w:val="21"/>
          <w:szCs w:val="21"/>
          <w:u w:val="single" w:color="auto"/>
          <w:lang w:val="en-US" w:eastAsia="zh-CN"/>
        </w:rPr>
        <w:t xml:space="preserve">  </w:t>
      </w:r>
      <w:r>
        <w:rPr>
          <w:rFonts w:hint="default" w:ascii="Times New Roman" w:hAnsi="Times New Roman" w:eastAsia="宋体" w:cs="Times New Roman"/>
          <w:b/>
          <w:color w:val="auto"/>
          <w:sz w:val="21"/>
          <w:szCs w:val="21"/>
          <w:u w:val="single" w:color="auto"/>
        </w:rPr>
        <w:t>项目与钦州市大榄坪工业与城镇用海区（大榄坪工矿通信用海区）相符性分析</w:t>
      </w:r>
    </w:p>
    <w:tbl>
      <w:tblPr>
        <w:tblStyle w:val="37"/>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4817"/>
        <w:gridCol w:w="3505"/>
      </w:tblGrid>
      <w:tr w14:paraId="31A1E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71" w:type="dxa"/>
            <w:tcBorders>
              <w:top w:val="single" w:color="auto" w:sz="4" w:space="0"/>
              <w:left w:val="single" w:color="auto" w:sz="4" w:space="0"/>
              <w:bottom w:val="single" w:color="auto" w:sz="4" w:space="0"/>
              <w:right w:val="single" w:color="auto" w:sz="4" w:space="0"/>
            </w:tcBorders>
            <w:vAlign w:val="center"/>
          </w:tcPr>
          <w:p w14:paraId="65BBC0BC">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管控类别</w:t>
            </w:r>
          </w:p>
        </w:tc>
        <w:tc>
          <w:tcPr>
            <w:tcW w:w="4817" w:type="dxa"/>
            <w:tcBorders>
              <w:top w:val="single" w:color="auto" w:sz="4" w:space="0"/>
              <w:left w:val="single" w:color="auto" w:sz="4" w:space="0"/>
              <w:bottom w:val="single" w:color="auto" w:sz="4" w:space="0"/>
              <w:right w:val="single" w:color="auto" w:sz="4" w:space="0"/>
            </w:tcBorders>
            <w:vAlign w:val="center"/>
          </w:tcPr>
          <w:p w14:paraId="53CC6334">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生态环境准入及管控要求</w:t>
            </w:r>
          </w:p>
        </w:tc>
        <w:tc>
          <w:tcPr>
            <w:tcW w:w="3505" w:type="dxa"/>
            <w:tcBorders>
              <w:top w:val="single" w:color="auto" w:sz="4" w:space="0"/>
              <w:left w:val="single" w:color="auto" w:sz="4" w:space="0"/>
              <w:bottom w:val="single" w:color="auto" w:sz="4" w:space="0"/>
              <w:right w:val="single" w:color="auto" w:sz="4" w:space="0"/>
            </w:tcBorders>
            <w:vAlign w:val="center"/>
          </w:tcPr>
          <w:p w14:paraId="5AA16ED2">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符合性分析</w:t>
            </w:r>
          </w:p>
        </w:tc>
      </w:tr>
      <w:tr w14:paraId="604C6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078F1E16">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空间布局约束</w:t>
            </w:r>
          </w:p>
        </w:tc>
        <w:tc>
          <w:tcPr>
            <w:tcW w:w="4817" w:type="dxa"/>
            <w:tcBorders>
              <w:top w:val="single" w:color="auto" w:sz="4" w:space="0"/>
              <w:left w:val="single" w:color="auto" w:sz="4" w:space="0"/>
              <w:bottom w:val="single" w:color="auto" w:sz="4" w:space="0"/>
              <w:right w:val="single" w:color="auto" w:sz="4" w:space="0"/>
            </w:tcBorders>
            <w:vAlign w:val="center"/>
          </w:tcPr>
          <w:p w14:paraId="383A508F">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引导海洋产业优化布局和集中适度规模开发，合理控制各类建设，用海规模，最大限度减少海域和海岸线资源消耗，提高资源利用效率。严控新增围填海造地，除国家重大战略项目外，全面停止新增围填海项目审批。</w:t>
            </w:r>
          </w:p>
        </w:tc>
        <w:tc>
          <w:tcPr>
            <w:tcW w:w="3505" w:type="dxa"/>
            <w:tcBorders>
              <w:top w:val="single" w:color="auto" w:sz="4" w:space="0"/>
              <w:left w:val="single" w:color="auto" w:sz="4" w:space="0"/>
              <w:bottom w:val="single" w:color="auto" w:sz="4" w:space="0"/>
              <w:right w:val="single" w:color="auto" w:sz="4" w:space="0"/>
            </w:tcBorders>
            <w:vAlign w:val="center"/>
          </w:tcPr>
          <w:p w14:paraId="12CC2090">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w:t>
            </w:r>
            <w:r>
              <w:rPr>
                <w:rFonts w:hint="eastAsia" w:ascii="Times New Roman" w:hAnsi="Times New Roman" w:eastAsia="宋体" w:cs="Times New Roman"/>
                <w:color w:val="auto"/>
                <w:sz w:val="21"/>
                <w:szCs w:val="21"/>
                <w:u w:val="single" w:color="auto"/>
                <w:lang w:val="en-US" w:eastAsia="zh-CN"/>
              </w:rPr>
              <w:t>不属于新增围填海项目</w:t>
            </w:r>
            <w:r>
              <w:rPr>
                <w:rFonts w:hint="default" w:ascii="Times New Roman" w:hAnsi="Times New Roman" w:eastAsia="宋体" w:cs="Times New Roman"/>
                <w:color w:val="auto"/>
                <w:sz w:val="21"/>
                <w:szCs w:val="21"/>
                <w:u w:val="single" w:color="auto"/>
              </w:rPr>
              <w:t>。</w:t>
            </w:r>
          </w:p>
        </w:tc>
      </w:tr>
      <w:tr w14:paraId="038AE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4630DC0A">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23A90D3C">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拟建项目应符合国家产业结构调整指导目录要求，重点支持鼓励类产业用海项目，严格限制非涉海产业用海项目，禁止高能耗、高污染产业用海项目。</w:t>
            </w:r>
          </w:p>
        </w:tc>
        <w:tc>
          <w:tcPr>
            <w:tcW w:w="3505" w:type="dxa"/>
            <w:tcBorders>
              <w:top w:val="single" w:color="auto" w:sz="4" w:space="0"/>
              <w:left w:val="single" w:color="auto" w:sz="4" w:space="0"/>
              <w:bottom w:val="single" w:color="auto" w:sz="4" w:space="0"/>
              <w:right w:val="single" w:color="auto" w:sz="4" w:space="0"/>
            </w:tcBorders>
            <w:vAlign w:val="center"/>
          </w:tcPr>
          <w:p w14:paraId="035005AA">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w:t>
            </w:r>
            <w:r>
              <w:rPr>
                <w:rFonts w:hint="eastAsia" w:ascii="Times New Roman" w:hAnsi="Times New Roman" w:eastAsia="宋体" w:cs="Times New Roman"/>
                <w:color w:val="auto"/>
                <w:sz w:val="21"/>
                <w:szCs w:val="21"/>
                <w:u w:val="single" w:color="auto"/>
                <w:lang w:val="en-US" w:eastAsia="zh-CN"/>
              </w:rPr>
              <w:t>项目符合产业政策，不属于</w:t>
            </w:r>
            <w:r>
              <w:rPr>
                <w:rFonts w:hint="default" w:ascii="Times New Roman" w:hAnsi="Times New Roman" w:eastAsia="宋体" w:cs="Times New Roman"/>
                <w:color w:val="auto"/>
                <w:sz w:val="21"/>
                <w:szCs w:val="21"/>
                <w:u w:val="single" w:color="auto"/>
              </w:rPr>
              <w:t>高能耗、高污染产业用海项目。</w:t>
            </w:r>
          </w:p>
        </w:tc>
      </w:tr>
      <w:tr w14:paraId="39D2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5B549452">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47F52B43">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开发利用海洋资源或者从事影响海洋环境的建设活动，应当根据国土空间规划科学合理布局，严守生态保护红线，不得造成海洋生态环境的损害。</w:t>
            </w:r>
          </w:p>
        </w:tc>
        <w:tc>
          <w:tcPr>
            <w:tcW w:w="3505" w:type="dxa"/>
            <w:tcBorders>
              <w:top w:val="single" w:color="auto" w:sz="4" w:space="0"/>
              <w:left w:val="single" w:color="auto" w:sz="4" w:space="0"/>
              <w:bottom w:val="single" w:color="auto" w:sz="4" w:space="0"/>
              <w:right w:val="single" w:color="auto" w:sz="4" w:space="0"/>
            </w:tcBorders>
            <w:vAlign w:val="center"/>
          </w:tcPr>
          <w:p w14:paraId="385875F3">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符合，项目不</w:t>
            </w:r>
            <w:r>
              <w:rPr>
                <w:rFonts w:hint="eastAsia" w:ascii="Times New Roman" w:hAnsi="Times New Roman" w:eastAsia="宋体" w:cs="Times New Roman"/>
                <w:color w:val="auto"/>
                <w:sz w:val="21"/>
                <w:szCs w:val="21"/>
                <w:u w:val="single" w:color="auto"/>
                <w:lang w:val="en-US" w:eastAsia="zh-CN"/>
              </w:rPr>
              <w:t>涉及开发利用海洋资源。</w:t>
            </w:r>
          </w:p>
        </w:tc>
      </w:tr>
      <w:tr w14:paraId="0AAD9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bottom w:val="single" w:color="auto" w:sz="4" w:space="0"/>
              <w:right w:val="single" w:color="auto" w:sz="4" w:space="0"/>
            </w:tcBorders>
            <w:vAlign w:val="center"/>
          </w:tcPr>
          <w:p w14:paraId="21E01365">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56F69850">
            <w:pPr>
              <w:adjustRightInd w:val="0"/>
              <w:snapToGrid w:val="0"/>
              <w:jc w:val="left"/>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w:t>
            </w:r>
            <w:r>
              <w:rPr>
                <w:rFonts w:hint="default" w:ascii="Times New Roman" w:hAnsi="Times New Roman" w:eastAsia="宋体" w:cs="Times New Roman"/>
                <w:color w:val="auto"/>
                <w:sz w:val="21"/>
                <w:szCs w:val="21"/>
                <w:u w:val="single" w:color="auto"/>
              </w:rPr>
              <w:t>禁止毁坏海岸防护设施、沿海防护林、沿海城镇园林和绿地。</w:t>
            </w:r>
          </w:p>
        </w:tc>
        <w:tc>
          <w:tcPr>
            <w:tcW w:w="3505" w:type="dxa"/>
            <w:tcBorders>
              <w:top w:val="single" w:color="auto" w:sz="4" w:space="0"/>
              <w:left w:val="single" w:color="auto" w:sz="4" w:space="0"/>
              <w:bottom w:val="single" w:color="auto" w:sz="4" w:space="0"/>
              <w:right w:val="single" w:color="auto" w:sz="4" w:space="0"/>
            </w:tcBorders>
            <w:vAlign w:val="center"/>
          </w:tcPr>
          <w:p w14:paraId="4407BE5F">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w:t>
            </w:r>
            <w:r>
              <w:rPr>
                <w:rFonts w:hint="eastAsia" w:ascii="Times New Roman" w:hAnsi="Times New Roman" w:eastAsia="宋体" w:cs="Times New Roman"/>
                <w:color w:val="auto"/>
                <w:sz w:val="21"/>
                <w:szCs w:val="21"/>
                <w:u w:val="single" w:color="auto"/>
                <w:lang w:val="en-US" w:eastAsia="zh-CN"/>
              </w:rPr>
              <w:t>不会</w:t>
            </w:r>
            <w:r>
              <w:rPr>
                <w:rFonts w:hint="default" w:ascii="Times New Roman" w:hAnsi="Times New Roman" w:eastAsia="宋体" w:cs="Times New Roman"/>
                <w:color w:val="auto"/>
                <w:sz w:val="21"/>
                <w:szCs w:val="21"/>
                <w:u w:val="single" w:color="auto"/>
              </w:rPr>
              <w:t>毁坏海岸防护设施、沿海防护林、沿海城镇园林和绿地</w:t>
            </w:r>
            <w:r>
              <w:rPr>
                <w:rFonts w:hint="eastAsia" w:ascii="Times New Roman" w:hAnsi="Times New Roman" w:eastAsia="宋体" w:cs="Times New Roman"/>
                <w:color w:val="auto"/>
                <w:sz w:val="21"/>
                <w:szCs w:val="21"/>
                <w:u w:val="single" w:color="auto"/>
                <w:lang w:val="en-US" w:eastAsia="zh-CN"/>
              </w:rPr>
              <w:t>。</w:t>
            </w:r>
          </w:p>
        </w:tc>
      </w:tr>
      <w:tr w14:paraId="1C94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71BEA414">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污染物排放管控</w:t>
            </w:r>
          </w:p>
        </w:tc>
        <w:tc>
          <w:tcPr>
            <w:tcW w:w="4817" w:type="dxa"/>
            <w:tcBorders>
              <w:top w:val="single" w:color="auto" w:sz="4" w:space="0"/>
              <w:left w:val="single" w:color="auto" w:sz="4" w:space="0"/>
              <w:bottom w:val="single" w:color="auto" w:sz="4" w:space="0"/>
              <w:right w:val="single" w:color="auto" w:sz="4" w:space="0"/>
            </w:tcBorders>
            <w:vAlign w:val="center"/>
          </w:tcPr>
          <w:p w14:paraId="0D4E3678">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1.严格按照相关法律法规及国土空间规划等要求，控制开发强度，规范设置和监管入海排污口，实施重点海域排污总量控制制度。</w:t>
            </w:r>
          </w:p>
        </w:tc>
        <w:tc>
          <w:tcPr>
            <w:tcW w:w="3505" w:type="dxa"/>
            <w:tcBorders>
              <w:top w:val="single" w:color="auto" w:sz="4" w:space="0"/>
              <w:left w:val="single" w:color="auto" w:sz="4" w:space="0"/>
              <w:bottom w:val="single" w:color="auto" w:sz="4" w:space="0"/>
              <w:right w:val="single" w:color="auto" w:sz="4" w:space="0"/>
            </w:tcBorders>
            <w:vAlign w:val="center"/>
          </w:tcPr>
          <w:p w14:paraId="399E971D">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符合，项目相关法律法规及国土空间规划等要求。</w:t>
            </w:r>
          </w:p>
        </w:tc>
      </w:tr>
      <w:tr w14:paraId="68F3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right w:val="single" w:color="auto" w:sz="4" w:space="0"/>
            </w:tcBorders>
            <w:vAlign w:val="center"/>
          </w:tcPr>
          <w:p w14:paraId="5D6569A0">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58047328">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2.严格工业废水的达标排放，避免对海域生态环境产生不利影响，海域开发前基本保持所在海域 环境质量现状水平。</w:t>
            </w:r>
          </w:p>
        </w:tc>
        <w:tc>
          <w:tcPr>
            <w:tcW w:w="3505" w:type="dxa"/>
            <w:tcBorders>
              <w:top w:val="single" w:color="auto" w:sz="4" w:space="0"/>
              <w:left w:val="single" w:color="auto" w:sz="4" w:space="0"/>
              <w:bottom w:val="single" w:color="auto" w:sz="4" w:space="0"/>
              <w:right w:val="single" w:color="auto" w:sz="4" w:space="0"/>
            </w:tcBorders>
            <w:vAlign w:val="center"/>
          </w:tcPr>
          <w:p w14:paraId="6E006E9B">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符合，项目不涉及</w:t>
            </w:r>
            <w:r>
              <w:rPr>
                <w:rFonts w:hint="eastAsia" w:ascii="Times New Roman" w:hAnsi="Times New Roman" w:eastAsia="宋体" w:cs="Times New Roman"/>
                <w:color w:val="auto"/>
                <w:sz w:val="21"/>
                <w:szCs w:val="21"/>
                <w:u w:val="single" w:color="auto"/>
                <w:lang w:val="en-US" w:eastAsia="zh-CN"/>
              </w:rPr>
              <w:t>工业废水</w:t>
            </w:r>
            <w:r>
              <w:rPr>
                <w:rFonts w:hint="default" w:ascii="Times New Roman" w:hAnsi="Times New Roman" w:eastAsia="宋体" w:cs="Times New Roman"/>
                <w:color w:val="auto"/>
                <w:sz w:val="21"/>
                <w:szCs w:val="21"/>
                <w:u w:val="single" w:color="auto"/>
              </w:rPr>
              <w:t>排放。</w:t>
            </w:r>
          </w:p>
        </w:tc>
      </w:tr>
      <w:tr w14:paraId="446E4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9" w:hRule="atLeast"/>
          <w:jc w:val="center"/>
        </w:trPr>
        <w:tc>
          <w:tcPr>
            <w:tcW w:w="671" w:type="dxa"/>
            <w:vMerge w:val="continue"/>
            <w:tcBorders>
              <w:left w:val="single" w:color="auto" w:sz="4" w:space="0"/>
              <w:right w:val="single" w:color="auto" w:sz="4" w:space="0"/>
            </w:tcBorders>
            <w:vAlign w:val="center"/>
          </w:tcPr>
          <w:p w14:paraId="443A6CD4">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1983E34E">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3.向海域排放陆源污染物，应当严格执行国家或者地方规定的标准和有关规定。</w:t>
            </w:r>
          </w:p>
        </w:tc>
        <w:tc>
          <w:tcPr>
            <w:tcW w:w="3505" w:type="dxa"/>
            <w:tcBorders>
              <w:top w:val="single" w:color="auto" w:sz="4" w:space="0"/>
              <w:left w:val="single" w:color="auto" w:sz="4" w:space="0"/>
              <w:bottom w:val="single" w:color="auto" w:sz="4" w:space="0"/>
              <w:right w:val="single" w:color="auto" w:sz="4" w:space="0"/>
            </w:tcBorders>
            <w:vAlign w:val="center"/>
          </w:tcPr>
          <w:p w14:paraId="06515B5C">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w:t>
            </w:r>
            <w:r>
              <w:rPr>
                <w:rFonts w:hint="default" w:ascii="Times New Roman" w:hAnsi="Times New Roman" w:eastAsia="宋体" w:cs="Times New Roman"/>
                <w:color w:val="auto"/>
                <w:sz w:val="21"/>
                <w:szCs w:val="21"/>
                <w:u w:val="single" w:color="auto"/>
                <w:lang w:eastAsia="zh-CN"/>
              </w:rPr>
              <w:t>生活污水经化粪池处理后达到大榄坪污水处理厂</w:t>
            </w:r>
            <w:r>
              <w:rPr>
                <w:rFonts w:hint="default" w:ascii="Times New Roman" w:hAnsi="Times New Roman" w:eastAsia="宋体" w:cs="Times New Roman"/>
                <w:color w:val="auto"/>
                <w:sz w:val="21"/>
                <w:szCs w:val="21"/>
                <w:u w:val="single" w:color="auto"/>
                <w:lang w:val="en-US" w:eastAsia="zh-CN"/>
              </w:rPr>
              <w:t>纳管</w:t>
            </w:r>
            <w:r>
              <w:rPr>
                <w:rFonts w:hint="default" w:ascii="Times New Roman" w:hAnsi="Times New Roman" w:eastAsia="宋体" w:cs="Times New Roman"/>
                <w:color w:val="auto"/>
                <w:sz w:val="21"/>
                <w:szCs w:val="21"/>
                <w:u w:val="single" w:color="auto"/>
                <w:lang w:eastAsia="zh-CN"/>
              </w:rPr>
              <w:t>标准</w:t>
            </w:r>
            <w:r>
              <w:rPr>
                <w:rFonts w:hint="default" w:ascii="Times New Roman" w:hAnsi="Times New Roman" w:eastAsia="宋体" w:cs="Times New Roman"/>
                <w:color w:val="auto"/>
                <w:sz w:val="21"/>
                <w:szCs w:val="21"/>
                <w:u w:val="single" w:color="auto"/>
                <w:lang w:val="en-US" w:eastAsia="zh-CN"/>
              </w:rPr>
              <w:t>后</w:t>
            </w:r>
            <w:r>
              <w:rPr>
                <w:rFonts w:hint="default" w:ascii="Times New Roman" w:hAnsi="Times New Roman" w:eastAsia="宋体" w:cs="Times New Roman"/>
                <w:color w:val="auto"/>
                <w:sz w:val="21"/>
                <w:szCs w:val="21"/>
                <w:u w:val="single" w:color="auto"/>
                <w:lang w:eastAsia="zh-CN"/>
              </w:rPr>
              <w:t>排入大榄坪污水处理厂处理</w:t>
            </w:r>
            <w:r>
              <w:rPr>
                <w:rFonts w:hint="default" w:ascii="Times New Roman" w:hAnsi="Times New Roman" w:eastAsia="宋体" w:cs="Times New Roman"/>
                <w:color w:val="auto"/>
                <w:sz w:val="21"/>
                <w:szCs w:val="21"/>
                <w:u w:val="single" w:color="auto"/>
              </w:rPr>
              <w:t>。</w:t>
            </w:r>
          </w:p>
        </w:tc>
      </w:tr>
      <w:tr w14:paraId="7ACF0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op w:val="single" w:color="auto" w:sz="4" w:space="0"/>
              <w:left w:val="single" w:color="auto" w:sz="4" w:space="0"/>
              <w:right w:val="single" w:color="auto" w:sz="4" w:space="0"/>
            </w:tcBorders>
            <w:vAlign w:val="center"/>
          </w:tcPr>
          <w:p w14:paraId="5585D9EC">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环境风险防控</w:t>
            </w:r>
          </w:p>
        </w:tc>
        <w:tc>
          <w:tcPr>
            <w:tcW w:w="4817" w:type="dxa"/>
            <w:tcBorders>
              <w:top w:val="single" w:color="auto" w:sz="4" w:space="0"/>
              <w:left w:val="single" w:color="auto" w:sz="4" w:space="0"/>
              <w:bottom w:val="single" w:color="auto" w:sz="4" w:space="0"/>
              <w:right w:val="single" w:color="auto" w:sz="4" w:space="0"/>
            </w:tcBorders>
            <w:vAlign w:val="center"/>
          </w:tcPr>
          <w:p w14:paraId="3BD14786">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1.严控油品和化学品运输的环境风险，加大船舶航行安全保障和风险防范力度。船舶装载运输油 类或者有毒货物，应当采取防止溢流和渗漏的措施，防止货物落水造成水污染。</w:t>
            </w:r>
          </w:p>
        </w:tc>
        <w:tc>
          <w:tcPr>
            <w:tcW w:w="3505" w:type="dxa"/>
            <w:tcBorders>
              <w:top w:val="single" w:color="auto" w:sz="4" w:space="0"/>
              <w:left w:val="single" w:color="auto" w:sz="4" w:space="0"/>
              <w:bottom w:val="single" w:color="auto" w:sz="4" w:space="0"/>
              <w:right w:val="single" w:color="auto" w:sz="4" w:space="0"/>
            </w:tcBorders>
            <w:vAlign w:val="center"/>
          </w:tcPr>
          <w:p w14:paraId="6412B8A2">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符合，项目建成后将制定应急预案并备案，配备应急能力和物资，建设环境应急队伍，并定期演练。并</w:t>
            </w:r>
            <w:r>
              <w:rPr>
                <w:rFonts w:hint="default" w:ascii="Times New Roman" w:hAnsi="Times New Roman" w:eastAsia="宋体" w:cs="Times New Roman"/>
                <w:color w:val="auto"/>
                <w:sz w:val="21"/>
                <w:szCs w:val="21"/>
                <w:u w:val="single" w:color="auto"/>
                <w:lang w:eastAsia="zh-CN"/>
              </w:rPr>
              <w:t>与</w:t>
            </w:r>
            <w:r>
              <w:rPr>
                <w:rFonts w:hint="default" w:ascii="Times New Roman" w:hAnsi="Times New Roman" w:eastAsia="宋体" w:cs="Times New Roman"/>
                <w:color w:val="auto"/>
                <w:sz w:val="21"/>
                <w:szCs w:val="21"/>
                <w:u w:val="single" w:color="auto"/>
              </w:rPr>
              <w:t>企业、园区、地方人民政府环境应急预案有机衔接。</w:t>
            </w:r>
          </w:p>
        </w:tc>
      </w:tr>
      <w:tr w14:paraId="482CD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left w:val="single" w:color="auto" w:sz="4" w:space="0"/>
              <w:bottom w:val="single" w:color="auto" w:sz="4" w:space="0"/>
              <w:right w:val="single" w:color="auto" w:sz="4" w:space="0"/>
            </w:tcBorders>
            <w:vAlign w:val="center"/>
          </w:tcPr>
          <w:p w14:paraId="78188E25">
            <w:pPr>
              <w:adjustRightInd w:val="0"/>
              <w:snapToGrid w:val="0"/>
              <w:jc w:val="center"/>
              <w:rPr>
                <w:rFonts w:hint="default" w:ascii="Times New Roman" w:hAnsi="Times New Roman" w:eastAsia="宋体" w:cs="Times New Roman"/>
                <w:color w:val="auto"/>
                <w:sz w:val="21"/>
                <w:szCs w:val="21"/>
                <w:u w:val="single" w:color="auto"/>
              </w:rPr>
            </w:pPr>
          </w:p>
        </w:tc>
        <w:tc>
          <w:tcPr>
            <w:tcW w:w="4817" w:type="dxa"/>
            <w:tcBorders>
              <w:top w:val="single" w:color="auto" w:sz="4" w:space="0"/>
              <w:left w:val="single" w:color="auto" w:sz="4" w:space="0"/>
              <w:bottom w:val="single" w:color="auto" w:sz="4" w:space="0"/>
              <w:right w:val="single" w:color="auto" w:sz="4" w:space="0"/>
            </w:tcBorders>
            <w:vAlign w:val="center"/>
          </w:tcPr>
          <w:p w14:paraId="75D5F04E">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.严格管控涉海重大工程环境风险，完善分类分级的海上应急监测及处置预案，在石化基地、危化品储存区等邻近海域部署快速监测能力和应急处置物资设备。</w:t>
            </w:r>
          </w:p>
        </w:tc>
        <w:tc>
          <w:tcPr>
            <w:tcW w:w="3505" w:type="dxa"/>
            <w:tcBorders>
              <w:top w:val="single" w:color="auto" w:sz="4" w:space="0"/>
              <w:left w:val="single" w:color="auto" w:sz="4" w:space="0"/>
              <w:bottom w:val="single" w:color="auto" w:sz="4" w:space="0"/>
              <w:right w:val="single" w:color="auto" w:sz="4" w:space="0"/>
            </w:tcBorders>
            <w:vAlign w:val="center"/>
          </w:tcPr>
          <w:p w14:paraId="60930E89">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符合，项目</w:t>
            </w:r>
            <w:r>
              <w:rPr>
                <w:rFonts w:hint="eastAsia" w:ascii="Times New Roman" w:hAnsi="Times New Roman" w:eastAsia="宋体" w:cs="Times New Roman"/>
                <w:color w:val="auto"/>
                <w:sz w:val="21"/>
                <w:szCs w:val="21"/>
                <w:u w:val="single" w:color="auto"/>
                <w:lang w:val="en-US" w:eastAsia="zh-CN"/>
              </w:rPr>
              <w:t>不属于</w:t>
            </w:r>
            <w:r>
              <w:rPr>
                <w:rFonts w:hint="default" w:ascii="Times New Roman" w:hAnsi="Times New Roman" w:eastAsia="宋体" w:cs="Times New Roman"/>
                <w:color w:val="auto"/>
                <w:sz w:val="21"/>
                <w:szCs w:val="21"/>
                <w:u w:val="single" w:color="auto"/>
              </w:rPr>
              <w:t>涉海重大工程环境风险</w:t>
            </w:r>
            <w:r>
              <w:rPr>
                <w:rFonts w:hint="eastAsia" w:ascii="Times New Roman" w:hAnsi="Times New Roman" w:eastAsia="宋体" w:cs="Times New Roman"/>
                <w:color w:val="auto"/>
                <w:sz w:val="21"/>
                <w:szCs w:val="21"/>
                <w:u w:val="single" w:color="auto"/>
                <w:lang w:val="en-US" w:eastAsia="zh-CN"/>
              </w:rPr>
              <w:t>项目</w:t>
            </w:r>
            <w:r>
              <w:rPr>
                <w:rFonts w:hint="default" w:ascii="Times New Roman" w:hAnsi="Times New Roman" w:eastAsia="宋体" w:cs="Times New Roman"/>
                <w:color w:val="auto"/>
                <w:sz w:val="21"/>
                <w:szCs w:val="21"/>
                <w:u w:val="single" w:color="auto"/>
              </w:rPr>
              <w:t>。</w:t>
            </w:r>
          </w:p>
        </w:tc>
      </w:tr>
      <w:tr w14:paraId="5A675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op w:val="single" w:color="auto" w:sz="4" w:space="0"/>
              <w:left w:val="single" w:color="auto" w:sz="4" w:space="0"/>
              <w:bottom w:val="single" w:color="auto" w:sz="4" w:space="0"/>
              <w:right w:val="single" w:color="auto" w:sz="4" w:space="0"/>
            </w:tcBorders>
            <w:vAlign w:val="center"/>
          </w:tcPr>
          <w:p w14:paraId="5C18F08C">
            <w:pPr>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资源开发利用效率要求</w:t>
            </w:r>
          </w:p>
        </w:tc>
        <w:tc>
          <w:tcPr>
            <w:tcW w:w="4817" w:type="dxa"/>
            <w:tcBorders>
              <w:top w:val="single" w:color="auto" w:sz="4" w:space="0"/>
              <w:left w:val="single" w:color="auto" w:sz="4" w:space="0"/>
              <w:bottom w:val="single" w:color="auto" w:sz="4" w:space="0"/>
              <w:right w:val="single" w:color="auto" w:sz="4" w:space="0"/>
            </w:tcBorders>
            <w:vAlign w:val="center"/>
          </w:tcPr>
          <w:p w14:paraId="68F08637">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控制近岸海域开发强度和规模，逐步建立近岸海域资源利用的差别化管理制度体系。</w:t>
            </w:r>
          </w:p>
        </w:tc>
        <w:tc>
          <w:tcPr>
            <w:tcW w:w="3505" w:type="dxa"/>
            <w:tcBorders>
              <w:top w:val="single" w:color="auto" w:sz="4" w:space="0"/>
              <w:left w:val="single" w:color="auto" w:sz="4" w:space="0"/>
              <w:bottom w:val="single" w:color="auto" w:sz="4" w:space="0"/>
              <w:right w:val="single" w:color="auto" w:sz="4" w:space="0"/>
            </w:tcBorders>
            <w:vAlign w:val="center"/>
          </w:tcPr>
          <w:p w14:paraId="3ECF1BBC">
            <w:pPr>
              <w:adjustRightInd w:val="0"/>
              <w:snapToGrid w:val="0"/>
              <w:jc w:val="left"/>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符合</w:t>
            </w:r>
            <w:r>
              <w:rPr>
                <w:rFonts w:hint="default" w:ascii="Times New Roman" w:hAnsi="Times New Roman" w:eastAsia="宋体" w:cs="Times New Roman"/>
                <w:color w:val="auto"/>
                <w:sz w:val="21"/>
                <w:szCs w:val="21"/>
                <w:u w:val="single" w:color="auto"/>
                <w:lang w:eastAsia="zh-CN"/>
              </w:rPr>
              <w:t>，</w:t>
            </w:r>
            <w:r>
              <w:rPr>
                <w:rFonts w:hint="eastAsia" w:ascii="Times New Roman" w:hAnsi="Times New Roman" w:eastAsia="宋体" w:cs="Times New Roman"/>
                <w:color w:val="auto"/>
                <w:sz w:val="21"/>
                <w:szCs w:val="21"/>
                <w:u w:val="single" w:color="auto"/>
                <w:lang w:val="en-US" w:eastAsia="zh-CN"/>
              </w:rPr>
              <w:t>项目位于现有的填海区，不属于新增填海区</w:t>
            </w:r>
            <w:r>
              <w:rPr>
                <w:rFonts w:hint="default" w:ascii="Times New Roman" w:hAnsi="Times New Roman" w:eastAsia="宋体" w:cs="Times New Roman"/>
                <w:color w:val="auto"/>
                <w:sz w:val="21"/>
                <w:szCs w:val="21"/>
                <w:u w:val="single" w:color="auto"/>
              </w:rPr>
              <w:t>。</w:t>
            </w:r>
          </w:p>
        </w:tc>
      </w:tr>
    </w:tbl>
    <w:p w14:paraId="05819EAF">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综上，项目满足</w:t>
      </w:r>
      <w:r>
        <w:rPr>
          <w:rFonts w:hint="eastAsia" w:ascii="Times New Roman" w:hAnsi="Times New Roman" w:eastAsia="宋体" w:cs="Times New Roman"/>
          <w:color w:val="auto"/>
          <w:sz w:val="24"/>
          <w:u w:val="single" w:color="auto"/>
        </w:rPr>
        <w:t>钦州市</w:t>
      </w:r>
      <w:r>
        <w:rPr>
          <w:rFonts w:ascii="Times New Roman" w:hAnsi="Times New Roman" w:eastAsia="宋体" w:cs="Times New Roman"/>
          <w:color w:val="auto"/>
          <w:sz w:val="24"/>
          <w:u w:val="single" w:color="auto"/>
        </w:rPr>
        <w:t>“三线一单”相关要求。</w:t>
      </w:r>
    </w:p>
    <w:p w14:paraId="037F40B8">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7</w:t>
      </w:r>
      <w:r>
        <w:rPr>
          <w:rFonts w:hint="eastAsia" w:ascii="Times New Roman" w:hAnsi="Times New Roman" w:eastAsia="宋体" w:cs="Times New Roman"/>
          <w:color w:val="auto"/>
          <w:sz w:val="24"/>
          <w:u w:val="single" w:color="auto"/>
          <w:lang w:eastAsia="zh-CN"/>
        </w:rPr>
        <w:t>）</w:t>
      </w:r>
      <w:r>
        <w:rPr>
          <w:rFonts w:ascii="Times New Roman" w:hAnsi="Times New Roman" w:eastAsia="宋体" w:cs="Times New Roman"/>
          <w:color w:val="auto"/>
          <w:sz w:val="24"/>
          <w:u w:val="single" w:color="auto"/>
        </w:rPr>
        <w:t>与</w:t>
      </w:r>
      <w:r>
        <w:rPr>
          <w:rFonts w:hint="eastAsia" w:ascii="Times New Roman" w:hAnsi="Times New Roman" w:eastAsia="宋体" w:cs="Times New Roman"/>
          <w:color w:val="auto"/>
          <w:sz w:val="24"/>
          <w:szCs w:val="24"/>
          <w:u w:val="single" w:color="auto"/>
          <w:lang w:val="en-US" w:eastAsia="zh-CN"/>
        </w:rPr>
        <w:t>《</w:t>
      </w:r>
      <w:r>
        <w:rPr>
          <w:rFonts w:hint="eastAsia" w:ascii="Times New Roman" w:hAnsi="Times New Roman" w:eastAsia="宋体" w:cs="Times New Roman"/>
          <w:color w:val="auto"/>
          <w:sz w:val="24"/>
          <w:u w:val="single" w:color="auto"/>
        </w:rPr>
        <w:t>中国（广西）自由贸易试验区钦州港片区国土空间分区规划（2023-2035年）</w:t>
      </w:r>
      <w:r>
        <w:rPr>
          <w:rFonts w:hint="eastAsia" w:ascii="Times New Roman" w:hAnsi="Times New Roman" w:eastAsia="宋体" w:cs="Times New Roman"/>
          <w:color w:val="auto"/>
          <w:sz w:val="24"/>
          <w:szCs w:val="24"/>
          <w:u w:val="single" w:color="auto"/>
          <w:lang w:val="en-US" w:eastAsia="zh-CN"/>
        </w:rPr>
        <w:t>》</w:t>
      </w:r>
      <w:r>
        <w:rPr>
          <w:rFonts w:hint="eastAsia" w:ascii="Times New Roman" w:hAnsi="Times New Roman" w:eastAsia="宋体" w:cs="Times New Roman"/>
          <w:color w:val="auto"/>
          <w:sz w:val="24"/>
          <w:u w:val="single" w:color="auto"/>
          <w:lang w:val="en-US" w:eastAsia="zh-CN"/>
        </w:rPr>
        <w:t>相符性</w:t>
      </w:r>
      <w:r>
        <w:rPr>
          <w:rFonts w:ascii="Times New Roman" w:hAnsi="Times New Roman" w:eastAsia="宋体" w:cs="Times New Roman"/>
          <w:color w:val="auto"/>
          <w:sz w:val="24"/>
          <w:u w:val="single" w:color="auto"/>
        </w:rPr>
        <w:t>分析</w:t>
      </w:r>
    </w:p>
    <w:p w14:paraId="459AA205">
      <w:pPr>
        <w:autoSpaceDE w:val="0"/>
        <w:autoSpaceDN w:val="0"/>
        <w:spacing w:line="360" w:lineRule="auto"/>
        <w:ind w:firstLine="480" w:firstLineChars="200"/>
        <w:rPr>
          <w:rFonts w:hint="eastAsia" w:ascii="Times New Roman" w:hAnsi="Times New Roman" w:eastAsia="宋体" w:cs="Times New Roman"/>
          <w:color w:val="auto"/>
          <w:sz w:val="24"/>
          <w:u w:val="single" w:color="auto"/>
          <w:lang w:val="en-US" w:eastAsia="zh-CN"/>
        </w:rPr>
      </w:pPr>
      <w:r>
        <w:rPr>
          <w:rFonts w:hint="default" w:ascii="Times New Roman" w:hAnsi="Times New Roman" w:eastAsia="宋体" w:cs="Times New Roman"/>
          <w:color w:val="auto"/>
          <w:sz w:val="24"/>
          <w:szCs w:val="24"/>
          <w:u w:val="single" w:color="auto"/>
          <w:lang w:val="en-US" w:eastAsia="zh-CN"/>
        </w:rPr>
        <w:t>本项目为新建项目，拟建于中国(广西)自由贸易试验区钦州港片区大榄坪二号路西面、中船规划支路北侧和南侧，</w:t>
      </w:r>
      <w:r>
        <w:rPr>
          <w:rFonts w:hint="eastAsia" w:ascii="Times New Roman" w:hAnsi="Times New Roman" w:eastAsia="宋体" w:cs="Times New Roman"/>
          <w:color w:val="auto"/>
          <w:sz w:val="24"/>
          <w:szCs w:val="24"/>
          <w:u w:val="single" w:color="auto"/>
          <w:lang w:val="en-US" w:eastAsia="zh-CN"/>
        </w:rPr>
        <w:t>根据《</w:t>
      </w:r>
      <w:r>
        <w:rPr>
          <w:rFonts w:hint="eastAsia" w:ascii="Times New Roman" w:hAnsi="Times New Roman" w:eastAsia="宋体" w:cs="Times New Roman"/>
          <w:color w:val="auto"/>
          <w:sz w:val="24"/>
          <w:u w:val="single" w:color="auto"/>
        </w:rPr>
        <w:t>中国（广西）自由贸易试验区钦州港片区国土空间分区规划（2023-2035年）</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项目用地为</w:t>
      </w:r>
      <w:r>
        <w:rPr>
          <w:rFonts w:hint="eastAsia" w:ascii="Times New Roman" w:hAnsi="Times New Roman" w:eastAsia="宋体" w:cs="Times New Roman"/>
          <w:color w:val="auto"/>
          <w:sz w:val="24"/>
          <w:szCs w:val="24"/>
          <w:u w:val="single" w:color="auto"/>
          <w:lang w:val="en-US" w:eastAsia="zh-CN"/>
        </w:rPr>
        <w:t>工业用地，符合《</w:t>
      </w:r>
      <w:r>
        <w:rPr>
          <w:rFonts w:hint="eastAsia" w:ascii="Times New Roman" w:hAnsi="Times New Roman" w:eastAsia="宋体" w:cs="Times New Roman"/>
          <w:color w:val="auto"/>
          <w:sz w:val="24"/>
          <w:u w:val="single" w:color="auto"/>
        </w:rPr>
        <w:t>中国（广西）自由贸易试验区钦州港片区国土空间分区规划（2023-2035年）</w:t>
      </w:r>
      <w:r>
        <w:rPr>
          <w:rFonts w:hint="eastAsia" w:ascii="Times New Roman" w:hAnsi="Times New Roman" w:eastAsia="宋体" w:cs="Times New Roman"/>
          <w:color w:val="auto"/>
          <w:sz w:val="24"/>
          <w:szCs w:val="24"/>
          <w:u w:val="single" w:color="auto"/>
          <w:lang w:val="en-US" w:eastAsia="zh-CN"/>
        </w:rPr>
        <w:t>》要求</w:t>
      </w:r>
      <w:r>
        <w:rPr>
          <w:rFonts w:hint="eastAsia" w:ascii="Times New Roman" w:hAnsi="Times New Roman" w:eastAsia="宋体" w:cs="Times New Roman"/>
          <w:color w:val="auto"/>
          <w:sz w:val="24"/>
          <w:u w:val="single" w:color="auto"/>
          <w:lang w:val="en-US" w:eastAsia="zh-CN"/>
        </w:rPr>
        <w:t>。</w:t>
      </w:r>
    </w:p>
    <w:p w14:paraId="7743827A">
      <w:pPr>
        <w:autoSpaceDE w:val="0"/>
        <w:autoSpaceDN w:val="0"/>
        <w:spacing w:line="360" w:lineRule="auto"/>
        <w:jc w:val="left"/>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四</w:t>
      </w:r>
      <w:r>
        <w:rPr>
          <w:rFonts w:hint="eastAsia" w:ascii="Times New Roman" w:hAnsi="Times New Roman" w:eastAsia="宋体" w:cs="Times New Roman"/>
          <w:b/>
          <w:bCs/>
          <w:color w:val="auto"/>
          <w:sz w:val="24"/>
          <w:szCs w:val="24"/>
          <w:u w:val="none" w:color="auto"/>
        </w:rPr>
        <w:t>、</w:t>
      </w:r>
      <w:r>
        <w:rPr>
          <w:rFonts w:ascii="Times New Roman" w:hAnsi="Times New Roman" w:eastAsia="宋体" w:cs="Times New Roman"/>
          <w:b/>
          <w:bCs/>
          <w:color w:val="auto"/>
          <w:sz w:val="24"/>
          <w:szCs w:val="24"/>
          <w:u w:val="none" w:color="auto"/>
        </w:rPr>
        <w:t>关注的主要环境问题</w:t>
      </w:r>
      <w:bookmarkEnd w:id="5"/>
    </w:p>
    <w:p w14:paraId="45A2B2D8">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u w:val="none" w:color="auto"/>
        </w:rPr>
        <w:t>本项目评价关注的主要环境问题有：评价项目生产过程中污染物排放情况</w:t>
      </w:r>
      <w:r>
        <w:rPr>
          <w:rFonts w:hint="eastAsia" w:ascii="Times New Roman" w:hAnsi="Times New Roman" w:eastAsia="宋体" w:cs="Times New Roman"/>
          <w:color w:val="auto"/>
          <w:sz w:val="24"/>
          <w:u w:val="none" w:color="auto"/>
        </w:rPr>
        <w:t>和</w:t>
      </w:r>
      <w:r>
        <w:rPr>
          <w:rFonts w:ascii="Times New Roman" w:hAnsi="Times New Roman" w:eastAsia="宋体" w:cs="Times New Roman"/>
          <w:color w:val="auto"/>
          <w:sz w:val="24"/>
          <w:u w:val="none" w:color="auto"/>
        </w:rPr>
        <w:t>对周边环境的影响；项目拟采取的污染防治措施的可行性；项目采取风险防范措施后，风险是否在可</w:t>
      </w:r>
      <w:r>
        <w:rPr>
          <w:rFonts w:hint="eastAsia" w:ascii="Times New Roman" w:hAnsi="Times New Roman" w:eastAsia="宋体" w:cs="Times New Roman"/>
          <w:color w:val="auto"/>
          <w:sz w:val="24"/>
          <w:u w:val="none" w:color="auto"/>
        </w:rPr>
        <w:t>接受</w:t>
      </w:r>
      <w:r>
        <w:rPr>
          <w:rFonts w:ascii="Times New Roman" w:hAnsi="Times New Roman" w:eastAsia="宋体" w:cs="Times New Roman"/>
          <w:color w:val="auto"/>
          <w:sz w:val="24"/>
          <w:u w:val="none" w:color="auto"/>
        </w:rPr>
        <w:t>的范围内。</w:t>
      </w:r>
    </w:p>
    <w:p w14:paraId="78321C4B">
      <w:pPr>
        <w:autoSpaceDE w:val="0"/>
        <w:autoSpaceDN w:val="0"/>
        <w:spacing w:line="360" w:lineRule="auto"/>
        <w:jc w:val="left"/>
        <w:rPr>
          <w:rFonts w:ascii="Times New Roman" w:hAnsi="Times New Roman" w:eastAsia="宋体" w:cs="Times New Roman"/>
          <w:b/>
          <w:bCs/>
          <w:color w:val="auto"/>
          <w:sz w:val="24"/>
          <w:szCs w:val="24"/>
          <w:u w:val="none" w:color="auto"/>
        </w:rPr>
      </w:pPr>
      <w:bookmarkStart w:id="7" w:name="_Toc3728116"/>
      <w:r>
        <w:rPr>
          <w:rFonts w:hint="eastAsia" w:ascii="Times New Roman" w:hAnsi="Times New Roman" w:eastAsia="宋体" w:cs="Times New Roman"/>
          <w:b/>
          <w:bCs/>
          <w:color w:val="auto"/>
          <w:sz w:val="24"/>
          <w:szCs w:val="24"/>
          <w:u w:val="none" w:color="auto"/>
        </w:rPr>
        <w:t>五、</w:t>
      </w:r>
      <w:r>
        <w:rPr>
          <w:rFonts w:ascii="Times New Roman" w:hAnsi="Times New Roman" w:eastAsia="宋体" w:cs="Times New Roman"/>
          <w:b/>
          <w:bCs/>
          <w:color w:val="auto"/>
          <w:sz w:val="24"/>
          <w:szCs w:val="24"/>
          <w:u w:val="none" w:color="auto"/>
        </w:rPr>
        <w:t>环境影响报告书主要结论</w:t>
      </w:r>
      <w:bookmarkEnd w:id="7"/>
    </w:p>
    <w:p w14:paraId="4BCECB1E">
      <w:pPr>
        <w:autoSpaceDE w:val="0"/>
        <w:autoSpaceDN w:val="0"/>
        <w:spacing w:line="360" w:lineRule="auto"/>
        <w:ind w:firstLine="480" w:firstLineChars="200"/>
        <w:contextualSpacing/>
        <w:rPr>
          <w:rFonts w:ascii="Times New Roman" w:hAnsi="Times New Roman" w:eastAsia="宋体" w:cs="Times New Roman"/>
          <w:color w:val="auto"/>
          <w:kern w:val="0"/>
          <w:sz w:val="24"/>
          <w:szCs w:val="20"/>
          <w:u w:val="none" w:color="auto"/>
        </w:rPr>
        <w:sectPr>
          <w:pgSz w:w="11906" w:h="16838"/>
          <w:pgMar w:top="1588" w:right="1418" w:bottom="1418" w:left="1418" w:header="851" w:footer="851" w:gutter="0"/>
          <w:pgBorders>
            <w:top w:val="none" w:sz="0" w:space="0"/>
            <w:left w:val="none" w:sz="0" w:space="0"/>
            <w:bottom w:val="none" w:sz="0" w:space="0"/>
            <w:right w:val="none" w:sz="0" w:space="0"/>
          </w:pgBorders>
          <w:pgNumType w:fmt="decimal" w:start="1"/>
          <w:cols w:space="720" w:num="1"/>
          <w:docGrid w:type="lines" w:linePitch="312" w:charSpace="0"/>
        </w:sectPr>
      </w:pPr>
      <w:r>
        <w:rPr>
          <w:rFonts w:ascii="Times New Roman" w:hAnsi="Times New Roman" w:eastAsia="宋体" w:cs="Times New Roman"/>
          <w:color w:val="auto"/>
          <w:kern w:val="0"/>
          <w:sz w:val="24"/>
          <w:szCs w:val="20"/>
          <w:u w:val="none" w:color="auto"/>
        </w:rPr>
        <w:t>项目建设符合国家</w:t>
      </w:r>
      <w:r>
        <w:rPr>
          <w:rFonts w:hint="eastAsia" w:ascii="Times New Roman" w:hAnsi="Times New Roman" w:eastAsia="宋体" w:cs="Times New Roman"/>
          <w:color w:val="auto"/>
          <w:kern w:val="0"/>
          <w:sz w:val="24"/>
          <w:szCs w:val="20"/>
          <w:u w:val="none" w:color="auto"/>
        </w:rPr>
        <w:t>和地方</w:t>
      </w:r>
      <w:r>
        <w:rPr>
          <w:rFonts w:ascii="Times New Roman" w:hAnsi="Times New Roman" w:eastAsia="宋体" w:cs="Times New Roman"/>
          <w:color w:val="auto"/>
          <w:kern w:val="0"/>
          <w:sz w:val="24"/>
          <w:szCs w:val="20"/>
          <w:u w:val="none" w:color="auto"/>
        </w:rPr>
        <w:t>现行产业政策，符合用地规划，符合“三线一单”的要求，污染防治措施设置合理，环境影响程度可接受，在认真落实各项环保措施、环境风险防范</w:t>
      </w:r>
      <w:r>
        <w:rPr>
          <w:rFonts w:hint="eastAsia" w:ascii="Times New Roman" w:hAnsi="Times New Roman" w:eastAsia="宋体" w:cs="Times New Roman"/>
          <w:color w:val="auto"/>
          <w:kern w:val="0"/>
          <w:sz w:val="24"/>
          <w:szCs w:val="20"/>
          <w:u w:val="none" w:color="auto"/>
        </w:rPr>
        <w:t>及</w:t>
      </w:r>
      <w:r>
        <w:rPr>
          <w:rFonts w:ascii="Times New Roman" w:hAnsi="Times New Roman" w:eastAsia="宋体" w:cs="Times New Roman"/>
          <w:color w:val="auto"/>
          <w:kern w:val="0"/>
          <w:sz w:val="24"/>
          <w:szCs w:val="20"/>
          <w:u w:val="none" w:color="auto"/>
        </w:rPr>
        <w:t>应急措施</w:t>
      </w:r>
      <w:r>
        <w:rPr>
          <w:rFonts w:hint="eastAsia" w:ascii="Times New Roman" w:hAnsi="Times New Roman" w:eastAsia="宋体" w:cs="Times New Roman"/>
          <w:color w:val="auto"/>
          <w:kern w:val="0"/>
          <w:sz w:val="24"/>
          <w:szCs w:val="20"/>
          <w:u w:val="none" w:color="auto"/>
        </w:rPr>
        <w:t>的前提下，</w:t>
      </w:r>
      <w:r>
        <w:rPr>
          <w:rFonts w:ascii="Times New Roman" w:hAnsi="Times New Roman" w:eastAsia="宋体" w:cs="Times New Roman"/>
          <w:color w:val="auto"/>
          <w:kern w:val="0"/>
          <w:sz w:val="24"/>
          <w:szCs w:val="20"/>
          <w:u w:val="none" w:color="auto"/>
        </w:rPr>
        <w:t>从环境保护角度而言，项目建设是可行的。</w:t>
      </w:r>
    </w:p>
    <w:p w14:paraId="388AF5A3">
      <w:pPr>
        <w:pStyle w:val="2"/>
        <w:bidi w:val="0"/>
        <w:ind w:left="432" w:leftChars="0" w:hanging="432" w:firstLineChars="0"/>
        <w:rPr>
          <w:color w:val="auto"/>
          <w:u w:val="none" w:color="auto"/>
        </w:rPr>
      </w:pPr>
      <w:bookmarkStart w:id="8" w:name="_Toc3728117"/>
      <w:bookmarkStart w:id="9" w:name="_Toc4299"/>
      <w:r>
        <w:rPr>
          <w:color w:val="auto"/>
          <w:u w:val="none" w:color="auto"/>
        </w:rPr>
        <w:t>总则</w:t>
      </w:r>
      <w:bookmarkEnd w:id="8"/>
      <w:bookmarkEnd w:id="9"/>
    </w:p>
    <w:p w14:paraId="1FA1AD56">
      <w:pPr>
        <w:pStyle w:val="3"/>
        <w:bidi w:val="0"/>
        <w:rPr>
          <w:color w:val="auto"/>
          <w:u w:val="none" w:color="auto"/>
        </w:rPr>
      </w:pPr>
      <w:bookmarkStart w:id="10" w:name="_Toc9245"/>
      <w:bookmarkStart w:id="11" w:name="_Toc530130407"/>
      <w:bookmarkStart w:id="12" w:name="_Toc3728118"/>
      <w:bookmarkStart w:id="13" w:name="_Toc461181021"/>
      <w:bookmarkStart w:id="14" w:name="_Toc17274"/>
      <w:bookmarkStart w:id="15" w:name="_Toc492078184"/>
      <w:bookmarkStart w:id="16" w:name="_Toc119804904"/>
      <w:bookmarkStart w:id="17" w:name="_Toc496532766"/>
      <w:bookmarkStart w:id="18" w:name="_Toc123303947"/>
      <w:bookmarkStart w:id="19" w:name="_Toc496532210"/>
      <w:bookmarkStart w:id="20" w:name="_Toc155767110"/>
      <w:bookmarkStart w:id="21" w:name="_Toc499545535"/>
      <w:bookmarkStart w:id="22" w:name="_Toc492576129"/>
      <w:bookmarkStart w:id="23" w:name="_Toc491908299"/>
      <w:bookmarkStart w:id="24" w:name="_Toc496211391"/>
      <w:r>
        <w:rPr>
          <w:color w:val="auto"/>
          <w:u w:val="none" w:color="auto"/>
        </w:rPr>
        <w:t>编制依据</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0F13B587">
      <w:pPr>
        <w:pStyle w:val="4"/>
        <w:bidi w:val="0"/>
        <w:rPr>
          <w:color w:val="auto"/>
          <w:u w:val="none" w:color="auto"/>
        </w:rPr>
      </w:pPr>
      <w:bookmarkStart w:id="25" w:name="_Toc3728119"/>
      <w:bookmarkStart w:id="26" w:name="_Toc492576130"/>
      <w:bookmarkStart w:id="27" w:name="_Toc499545536"/>
      <w:bookmarkStart w:id="28" w:name="_Toc496532767"/>
      <w:bookmarkStart w:id="29" w:name="_Toc496532211"/>
      <w:bookmarkStart w:id="30" w:name="_Toc492078185"/>
      <w:r>
        <w:rPr>
          <w:color w:val="auto"/>
          <w:u w:val="none" w:color="auto"/>
        </w:rPr>
        <w:t>法律依据</w:t>
      </w:r>
      <w:bookmarkEnd w:id="25"/>
      <w:bookmarkEnd w:id="26"/>
      <w:bookmarkEnd w:id="27"/>
      <w:bookmarkEnd w:id="28"/>
      <w:bookmarkEnd w:id="29"/>
      <w:bookmarkEnd w:id="30"/>
    </w:p>
    <w:p w14:paraId="75D87D3D">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《中华人民共和国环境保护法》，2014年修正，2015年1月1日起施行；</w:t>
      </w:r>
    </w:p>
    <w:p w14:paraId="138811D9">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《中华人民共和国水污染防治法》，2017年修正，2018年1月1日起施行；</w:t>
      </w:r>
    </w:p>
    <w:p w14:paraId="7C837F96">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《中华人民共和国大气污染防治法》，2018年修正，2018年10月26日起施行；</w:t>
      </w:r>
    </w:p>
    <w:p w14:paraId="449419BB">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《中华人民共和国噪声污染防治法》，20</w:t>
      </w:r>
      <w:r>
        <w:rPr>
          <w:rFonts w:hint="eastAsia" w:ascii="Times New Roman" w:hAnsi="Times New Roman" w:eastAsia="宋体" w:cs="Times New Roman"/>
          <w:color w:val="auto"/>
          <w:kern w:val="0"/>
          <w:sz w:val="24"/>
          <w:szCs w:val="28"/>
          <w:u w:val="none" w:color="auto"/>
        </w:rPr>
        <w:t>22</w:t>
      </w:r>
      <w:r>
        <w:rPr>
          <w:rFonts w:ascii="Times New Roman" w:hAnsi="Times New Roman" w:eastAsia="宋体" w:cs="Times New Roman"/>
          <w:color w:val="auto"/>
          <w:kern w:val="0"/>
          <w:sz w:val="24"/>
          <w:szCs w:val="28"/>
          <w:u w:val="none" w:color="auto"/>
        </w:rPr>
        <w:t>年</w:t>
      </w:r>
      <w:r>
        <w:rPr>
          <w:rFonts w:hint="eastAsia" w:ascii="Times New Roman" w:hAnsi="Times New Roman" w:eastAsia="宋体" w:cs="Times New Roman"/>
          <w:color w:val="auto"/>
          <w:kern w:val="0"/>
          <w:sz w:val="24"/>
          <w:szCs w:val="28"/>
          <w:u w:val="none" w:color="auto"/>
        </w:rPr>
        <w:t>6</w:t>
      </w:r>
      <w:r>
        <w:rPr>
          <w:rFonts w:ascii="Times New Roman" w:hAnsi="Times New Roman" w:eastAsia="宋体" w:cs="Times New Roman"/>
          <w:color w:val="auto"/>
          <w:kern w:val="0"/>
          <w:sz w:val="24"/>
          <w:szCs w:val="28"/>
          <w:u w:val="none" w:color="auto"/>
        </w:rPr>
        <w:t>月</w:t>
      </w:r>
      <w:r>
        <w:rPr>
          <w:rFonts w:hint="eastAsia" w:ascii="Times New Roman" w:hAnsi="Times New Roman" w:eastAsia="宋体" w:cs="Times New Roman"/>
          <w:color w:val="auto"/>
          <w:kern w:val="0"/>
          <w:sz w:val="24"/>
          <w:szCs w:val="28"/>
          <w:u w:val="none" w:color="auto"/>
        </w:rPr>
        <w:t>5</w:t>
      </w:r>
      <w:r>
        <w:rPr>
          <w:rFonts w:ascii="Times New Roman" w:hAnsi="Times New Roman" w:eastAsia="宋体" w:cs="Times New Roman"/>
          <w:color w:val="auto"/>
          <w:kern w:val="0"/>
          <w:sz w:val="24"/>
          <w:szCs w:val="28"/>
          <w:u w:val="none" w:color="auto"/>
        </w:rPr>
        <w:t>日起施行；</w:t>
      </w:r>
    </w:p>
    <w:p w14:paraId="4FD79CA5">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《中华人民共和国固体废物污染环境防治法》，2020年修正，2020年9月1日起施行；</w:t>
      </w:r>
    </w:p>
    <w:p w14:paraId="24571E6E">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《中华人民共和国土壤污染防治法》，主席令第8号，</w:t>
      </w:r>
      <w:r>
        <w:rPr>
          <w:rFonts w:hint="eastAsia" w:ascii="Times New Roman" w:hAnsi="Times New Roman" w:eastAsia="宋体" w:cs="Times New Roman"/>
          <w:color w:val="auto"/>
          <w:kern w:val="0"/>
          <w:sz w:val="24"/>
          <w:szCs w:val="28"/>
          <w:u w:val="none" w:color="auto"/>
          <w:lang w:val="en-US" w:eastAsia="zh-CN"/>
        </w:rPr>
        <w:t>2019</w:t>
      </w:r>
      <w:r>
        <w:rPr>
          <w:rFonts w:ascii="Times New Roman" w:hAnsi="Times New Roman" w:eastAsia="宋体" w:cs="Times New Roman"/>
          <w:color w:val="auto"/>
          <w:kern w:val="0"/>
          <w:sz w:val="24"/>
          <w:szCs w:val="28"/>
          <w:u w:val="none" w:color="auto"/>
        </w:rPr>
        <w:t>年1月1日起施行；</w:t>
      </w:r>
    </w:p>
    <w:p w14:paraId="2350A0A9">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《中华人民共和国环境影响评价法》，2018年修正，2018年12月29日起施行；</w:t>
      </w:r>
    </w:p>
    <w:p w14:paraId="1761F5D6">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《中华人民共和国清洁生产促进法》，2012年修正，2012年7月1日起施行；</w:t>
      </w:r>
    </w:p>
    <w:p w14:paraId="2A42E4AB">
      <w:pPr>
        <w:numPr>
          <w:ilvl w:val="1"/>
          <w:numId w:val="5"/>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《中华人民共和国节约能源法》，2018年修正，2018年10月26日起施行</w:t>
      </w:r>
      <w:r>
        <w:rPr>
          <w:rFonts w:hint="eastAsia" w:ascii="Times New Roman" w:hAnsi="Times New Roman" w:eastAsia="宋体" w:cs="Times New Roman"/>
          <w:color w:val="auto"/>
          <w:kern w:val="0"/>
          <w:sz w:val="24"/>
          <w:szCs w:val="28"/>
          <w:u w:val="none" w:color="auto"/>
          <w:lang w:eastAsia="zh-CN"/>
        </w:rPr>
        <w:t>；</w:t>
      </w:r>
    </w:p>
    <w:p w14:paraId="70FB6A21">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《中华人民共和国海洋环境保护法》（2023年修正，2024.1.1实施）</w:t>
      </w:r>
      <w:r>
        <w:rPr>
          <w:rFonts w:hint="eastAsia" w:ascii="Times New Roman" w:hAnsi="Times New Roman" w:eastAsia="宋体" w:cs="Times New Roman"/>
          <w:color w:val="auto"/>
          <w:kern w:val="0"/>
          <w:sz w:val="24"/>
          <w:szCs w:val="28"/>
          <w:u w:val="none" w:color="auto"/>
          <w:lang w:eastAsia="zh-CN"/>
        </w:rPr>
        <w:t>；</w:t>
      </w:r>
    </w:p>
    <w:p w14:paraId="6987812A">
      <w:pPr>
        <w:numPr>
          <w:ilvl w:val="1"/>
          <w:numId w:val="5"/>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《中华人民共和国环境保护税法》（2018年1月1日起施行）</w:t>
      </w:r>
      <w:r>
        <w:rPr>
          <w:rFonts w:hint="eastAsia" w:ascii="Times New Roman" w:hAnsi="Times New Roman" w:eastAsia="宋体" w:cs="Times New Roman"/>
          <w:color w:val="auto"/>
          <w:kern w:val="0"/>
          <w:sz w:val="24"/>
          <w:szCs w:val="28"/>
          <w:u w:val="none" w:color="auto"/>
          <w:lang w:eastAsia="zh-CN"/>
        </w:rPr>
        <w:t>。</w:t>
      </w:r>
    </w:p>
    <w:p w14:paraId="606E02C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1" w:name="_Toc492078186"/>
      <w:bookmarkStart w:id="32" w:name="_Toc496532212"/>
      <w:bookmarkStart w:id="33" w:name="_Toc492576131"/>
      <w:bookmarkStart w:id="34" w:name="_Toc496532768"/>
      <w:bookmarkStart w:id="35" w:name="_Toc499545537"/>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.1.2全国性法规依据</w:t>
      </w:r>
      <w:bookmarkEnd w:id="31"/>
      <w:bookmarkEnd w:id="32"/>
      <w:bookmarkEnd w:id="33"/>
      <w:bookmarkEnd w:id="34"/>
      <w:bookmarkEnd w:id="35"/>
    </w:p>
    <w:p w14:paraId="262EED77">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《建设项目环境保护管理条例》（2017年10月1日实施）；</w:t>
      </w:r>
    </w:p>
    <w:p w14:paraId="46D1729D">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《固定污染源排污许可分类管理名录》（201</w:t>
      </w:r>
      <w:r>
        <w:rPr>
          <w:rFonts w:hint="eastAsia" w:ascii="Times New Roman" w:hAnsi="Times New Roman" w:eastAsia="宋体" w:cs="Times New Roman"/>
          <w:color w:val="auto"/>
          <w:kern w:val="0"/>
          <w:sz w:val="24"/>
          <w:szCs w:val="28"/>
          <w:u w:val="none" w:color="auto"/>
        </w:rPr>
        <w:t>9</w:t>
      </w:r>
      <w:r>
        <w:rPr>
          <w:rFonts w:ascii="Times New Roman" w:hAnsi="Times New Roman" w:eastAsia="宋体" w:cs="Times New Roman"/>
          <w:color w:val="auto"/>
          <w:kern w:val="0"/>
          <w:sz w:val="24"/>
          <w:szCs w:val="28"/>
          <w:u w:val="none" w:color="auto"/>
        </w:rPr>
        <w:t>年版）；</w:t>
      </w:r>
    </w:p>
    <w:p w14:paraId="19D5CC28">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《国家危险废物名录》（202</w:t>
      </w:r>
      <w:r>
        <w:rPr>
          <w:rFonts w:hint="eastAsia" w:ascii="Times New Roman" w:hAnsi="Times New Roman" w:eastAsia="宋体" w:cs="Times New Roman"/>
          <w:color w:val="auto"/>
          <w:kern w:val="0"/>
          <w:sz w:val="24"/>
          <w:szCs w:val="28"/>
          <w:u w:val="none" w:color="auto"/>
          <w:lang w:val="en-US" w:eastAsia="zh-CN"/>
        </w:rPr>
        <w:t>5</w:t>
      </w:r>
      <w:r>
        <w:rPr>
          <w:rFonts w:ascii="Times New Roman" w:hAnsi="Times New Roman" w:eastAsia="宋体" w:cs="Times New Roman"/>
          <w:color w:val="auto"/>
          <w:kern w:val="0"/>
          <w:sz w:val="24"/>
          <w:szCs w:val="28"/>
          <w:u w:val="none" w:color="auto"/>
        </w:rPr>
        <w:t>年</w:t>
      </w:r>
      <w:r>
        <w:rPr>
          <w:rFonts w:hint="eastAsia" w:ascii="Times New Roman" w:hAnsi="Times New Roman" w:eastAsia="宋体" w:cs="Times New Roman"/>
          <w:color w:val="auto"/>
          <w:kern w:val="0"/>
          <w:sz w:val="24"/>
          <w:szCs w:val="28"/>
          <w:u w:val="none" w:color="auto"/>
        </w:rPr>
        <w:t>版</w:t>
      </w:r>
      <w:r>
        <w:rPr>
          <w:rFonts w:ascii="Times New Roman" w:hAnsi="Times New Roman" w:eastAsia="宋体" w:cs="Times New Roman"/>
          <w:color w:val="auto"/>
          <w:kern w:val="0"/>
          <w:sz w:val="24"/>
          <w:szCs w:val="28"/>
          <w:u w:val="none" w:color="auto"/>
        </w:rPr>
        <w:t>）；</w:t>
      </w:r>
    </w:p>
    <w:p w14:paraId="2B6331AE">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《关于以改善环境质量为核心加强环境影响评价管理的通知》（环环评〔2016〕150号）</w:t>
      </w:r>
      <w:r>
        <w:rPr>
          <w:rFonts w:ascii="Times New Roman" w:hAnsi="Times New Roman" w:eastAsia="宋体" w:cs="Times New Roman"/>
          <w:color w:val="auto"/>
          <w:kern w:val="0"/>
          <w:sz w:val="24"/>
          <w:szCs w:val="28"/>
          <w:u w:val="none" w:color="auto"/>
        </w:rPr>
        <w:t>；</w:t>
      </w:r>
    </w:p>
    <w:p w14:paraId="2941A172">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《关于进一步优化环境影响评价工作的意见》（环环评〔2023〕52号）</w:t>
      </w:r>
      <w:r>
        <w:rPr>
          <w:rFonts w:ascii="Times New Roman" w:hAnsi="Times New Roman" w:eastAsia="宋体" w:cs="Times New Roman"/>
          <w:color w:val="auto"/>
          <w:kern w:val="0"/>
          <w:sz w:val="24"/>
          <w:szCs w:val="28"/>
          <w:u w:val="none" w:color="auto"/>
        </w:rPr>
        <w:t>；</w:t>
      </w:r>
    </w:p>
    <w:p w14:paraId="4029C521">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关于发布《建设项目危险废物环境影响评价指南》的公告，（环保部公告2017年第43号）；</w:t>
      </w:r>
    </w:p>
    <w:p w14:paraId="75C621D4">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《地下水管理条例》（国令第748号），</w:t>
      </w:r>
      <w:r>
        <w:rPr>
          <w:rFonts w:ascii="Times New Roman" w:hAnsi="Times New Roman" w:eastAsia="宋体" w:cs="Times New Roman"/>
          <w:color w:val="auto"/>
          <w:kern w:val="0"/>
          <w:sz w:val="24"/>
          <w:szCs w:val="28"/>
          <w:u w:val="none" w:color="auto"/>
        </w:rPr>
        <w:t>20</w:t>
      </w:r>
      <w:r>
        <w:rPr>
          <w:rFonts w:hint="eastAsia" w:ascii="Times New Roman" w:hAnsi="Times New Roman" w:eastAsia="宋体" w:cs="Times New Roman"/>
          <w:color w:val="auto"/>
          <w:kern w:val="0"/>
          <w:sz w:val="24"/>
          <w:szCs w:val="28"/>
          <w:u w:val="none" w:color="auto"/>
        </w:rPr>
        <w:t>21</w:t>
      </w:r>
      <w:r>
        <w:rPr>
          <w:rFonts w:ascii="Times New Roman" w:hAnsi="Times New Roman" w:eastAsia="宋体" w:cs="Times New Roman"/>
          <w:color w:val="auto"/>
          <w:kern w:val="0"/>
          <w:sz w:val="24"/>
          <w:szCs w:val="28"/>
          <w:u w:val="none" w:color="auto"/>
        </w:rPr>
        <w:t>年1</w:t>
      </w:r>
      <w:r>
        <w:rPr>
          <w:rFonts w:hint="eastAsia" w:ascii="Times New Roman" w:hAnsi="Times New Roman" w:eastAsia="宋体" w:cs="Times New Roman"/>
          <w:color w:val="auto"/>
          <w:kern w:val="0"/>
          <w:sz w:val="24"/>
          <w:szCs w:val="28"/>
          <w:u w:val="none" w:color="auto"/>
        </w:rPr>
        <w:t>2</w:t>
      </w:r>
      <w:r>
        <w:rPr>
          <w:rFonts w:ascii="Times New Roman" w:hAnsi="Times New Roman" w:eastAsia="宋体" w:cs="Times New Roman"/>
          <w:color w:val="auto"/>
          <w:kern w:val="0"/>
          <w:sz w:val="24"/>
          <w:szCs w:val="28"/>
          <w:u w:val="none" w:color="auto"/>
        </w:rPr>
        <w:t>月</w:t>
      </w:r>
      <w:r>
        <w:rPr>
          <w:rFonts w:hint="eastAsia" w:ascii="Times New Roman" w:hAnsi="Times New Roman" w:eastAsia="宋体" w:cs="Times New Roman"/>
          <w:color w:val="auto"/>
          <w:kern w:val="0"/>
          <w:sz w:val="24"/>
          <w:szCs w:val="28"/>
          <w:u w:val="none" w:color="auto"/>
        </w:rPr>
        <w:t>1</w:t>
      </w:r>
      <w:r>
        <w:rPr>
          <w:rFonts w:ascii="Times New Roman" w:hAnsi="Times New Roman" w:eastAsia="宋体" w:cs="Times New Roman"/>
          <w:color w:val="auto"/>
          <w:kern w:val="0"/>
          <w:sz w:val="24"/>
          <w:szCs w:val="28"/>
          <w:u w:val="none" w:color="auto"/>
        </w:rPr>
        <w:t>日起施行。</w:t>
      </w:r>
    </w:p>
    <w:p w14:paraId="74882F2E">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关于发布《固体废物鉴别标准通则》《含多氯联苯废物污染控制标准》两项国家环境保护标准的公告，（</w:t>
      </w:r>
      <w:r>
        <w:rPr>
          <w:rFonts w:hint="eastAsia" w:ascii="Times New Roman" w:hAnsi="Times New Roman" w:eastAsia="宋体" w:cs="Times New Roman"/>
          <w:color w:val="auto"/>
          <w:kern w:val="0"/>
          <w:sz w:val="24"/>
          <w:szCs w:val="28"/>
          <w:u w:val="none" w:color="auto"/>
          <w:lang w:eastAsia="zh-CN"/>
        </w:rPr>
        <w:t>生态环境部</w:t>
      </w:r>
      <w:r>
        <w:rPr>
          <w:rFonts w:ascii="Times New Roman" w:hAnsi="Times New Roman" w:eastAsia="宋体" w:cs="Times New Roman"/>
          <w:color w:val="auto"/>
          <w:kern w:val="0"/>
          <w:sz w:val="24"/>
          <w:szCs w:val="28"/>
          <w:u w:val="none" w:color="auto"/>
        </w:rPr>
        <w:t>公告2017年第44号）；</w:t>
      </w:r>
    </w:p>
    <w:p w14:paraId="58E1584C">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《环境影响评价公众参与办法》（</w:t>
      </w:r>
      <w:r>
        <w:rPr>
          <w:rFonts w:hint="eastAsia" w:ascii="Times New Roman" w:hAnsi="Times New Roman" w:eastAsia="宋体" w:cs="Times New Roman"/>
          <w:color w:val="auto"/>
          <w:kern w:val="0"/>
          <w:sz w:val="24"/>
          <w:szCs w:val="28"/>
          <w:u w:val="none" w:color="auto"/>
          <w:lang w:eastAsia="zh-CN"/>
        </w:rPr>
        <w:t>生态环境部</w:t>
      </w:r>
      <w:r>
        <w:rPr>
          <w:rFonts w:ascii="Times New Roman" w:hAnsi="Times New Roman" w:eastAsia="宋体" w:cs="Times New Roman"/>
          <w:color w:val="auto"/>
          <w:kern w:val="0"/>
          <w:sz w:val="24"/>
          <w:szCs w:val="28"/>
          <w:u w:val="none" w:color="auto"/>
        </w:rPr>
        <w:t>令第4号，2019年1月1日实施）；</w:t>
      </w:r>
    </w:p>
    <w:p w14:paraId="11ACC29B">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《关于</w:t>
      </w:r>
      <w:r>
        <w:rPr>
          <w:rFonts w:hint="eastAsia" w:ascii="Times New Roman" w:hAnsi="Times New Roman" w:eastAsia="宋体" w:cs="Times New Roman"/>
          <w:color w:val="auto"/>
          <w:kern w:val="0"/>
          <w:sz w:val="24"/>
          <w:szCs w:val="28"/>
          <w:u w:val="none" w:color="auto"/>
          <w:lang w:val="en-US" w:eastAsia="zh-CN"/>
        </w:rPr>
        <w:t>加快解决当前挥发性有机物突出问题</w:t>
      </w:r>
      <w:r>
        <w:rPr>
          <w:rFonts w:ascii="Times New Roman" w:hAnsi="Times New Roman" w:eastAsia="宋体" w:cs="Times New Roman"/>
          <w:color w:val="auto"/>
          <w:kern w:val="0"/>
          <w:sz w:val="24"/>
          <w:szCs w:val="28"/>
          <w:u w:val="none" w:color="auto"/>
        </w:rPr>
        <w:t>的通知》（环</w:t>
      </w:r>
      <w:r>
        <w:rPr>
          <w:rFonts w:hint="eastAsia" w:ascii="Times New Roman" w:hAnsi="Times New Roman" w:eastAsia="宋体" w:cs="Times New Roman"/>
          <w:color w:val="auto"/>
          <w:kern w:val="0"/>
          <w:sz w:val="24"/>
          <w:szCs w:val="28"/>
          <w:u w:val="none" w:color="auto"/>
          <w:lang w:val="en-US" w:eastAsia="zh-CN"/>
        </w:rPr>
        <w:t>大气</w:t>
      </w:r>
      <w:r>
        <w:rPr>
          <w:rFonts w:ascii="Times New Roman" w:hAnsi="Times New Roman" w:eastAsia="宋体" w:cs="Times New Roman"/>
          <w:color w:val="auto"/>
          <w:kern w:val="0"/>
          <w:sz w:val="24"/>
          <w:szCs w:val="28"/>
          <w:u w:val="none" w:color="auto"/>
        </w:rPr>
        <w:t>[20</w:t>
      </w:r>
      <w:r>
        <w:rPr>
          <w:rFonts w:hint="eastAsia" w:ascii="Times New Roman" w:hAnsi="Times New Roman" w:eastAsia="宋体" w:cs="Times New Roman"/>
          <w:color w:val="auto"/>
          <w:kern w:val="0"/>
          <w:sz w:val="24"/>
          <w:szCs w:val="28"/>
          <w:u w:val="none" w:color="auto"/>
          <w:lang w:val="en-US" w:eastAsia="zh-CN"/>
        </w:rPr>
        <w:t>21</w:t>
      </w:r>
      <w:r>
        <w:rPr>
          <w:rFonts w:ascii="Times New Roman" w:hAnsi="Times New Roman" w:eastAsia="宋体" w:cs="Times New Roman"/>
          <w:color w:val="auto"/>
          <w:kern w:val="0"/>
          <w:sz w:val="24"/>
          <w:szCs w:val="28"/>
          <w:u w:val="none" w:color="auto"/>
        </w:rPr>
        <w:t>]</w:t>
      </w:r>
      <w:r>
        <w:rPr>
          <w:rFonts w:hint="eastAsia" w:ascii="Times New Roman" w:hAnsi="Times New Roman" w:eastAsia="宋体" w:cs="Times New Roman"/>
          <w:color w:val="auto"/>
          <w:kern w:val="0"/>
          <w:sz w:val="24"/>
          <w:szCs w:val="28"/>
          <w:u w:val="none" w:color="auto"/>
          <w:lang w:val="en-US" w:eastAsia="zh-CN"/>
        </w:rPr>
        <w:t>65</w:t>
      </w:r>
      <w:r>
        <w:rPr>
          <w:rFonts w:ascii="Times New Roman" w:hAnsi="Times New Roman" w:eastAsia="宋体" w:cs="Times New Roman"/>
          <w:color w:val="auto"/>
          <w:kern w:val="0"/>
          <w:sz w:val="24"/>
          <w:szCs w:val="28"/>
          <w:u w:val="none" w:color="auto"/>
        </w:rPr>
        <w:t>号）；</w:t>
      </w:r>
    </w:p>
    <w:p w14:paraId="5565020A">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hint="eastAsia" w:ascii="Times New Roman" w:hAnsi="Times New Roman" w:eastAsia="宋体" w:cs="Times New Roman"/>
          <w:color w:val="auto"/>
          <w:kern w:val="0"/>
          <w:sz w:val="24"/>
          <w:szCs w:val="28"/>
          <w:u w:val="none" w:color="auto"/>
        </w:rPr>
        <w:t>《西部地区鼓励类产业目录（2025年本）》（中华人民共和国国家发展和改革委员会令 第28号）</w:t>
      </w:r>
      <w:r>
        <w:rPr>
          <w:rFonts w:hint="eastAsia" w:ascii="Times New Roman" w:hAnsi="Times New Roman" w:eastAsia="宋体" w:cs="Times New Roman"/>
          <w:color w:val="auto"/>
          <w:kern w:val="0"/>
          <w:sz w:val="24"/>
          <w:szCs w:val="28"/>
          <w:u w:val="none" w:color="auto"/>
          <w:lang w:eastAsia="zh-CN"/>
        </w:rPr>
        <w:t>；</w:t>
      </w:r>
    </w:p>
    <w:p w14:paraId="73B81BB1">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《挥发有机物（VOCs）污染防治技术政策》（环保部公告2013年第31号）；</w:t>
      </w:r>
    </w:p>
    <w:p w14:paraId="4D8A6036">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《建设项目环境影响评价分类管理名录》（2021年版）；</w:t>
      </w:r>
    </w:p>
    <w:p w14:paraId="197F803D">
      <w:pPr>
        <w:numPr>
          <w:ilvl w:val="1"/>
          <w:numId w:val="6"/>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8"/>
          <w:u w:val="none" w:color="auto"/>
        </w:rPr>
      </w:pPr>
      <w:r>
        <w:rPr>
          <w:rFonts w:ascii="Times New Roman" w:hAnsi="Times New Roman" w:eastAsia="宋体" w:cs="Times New Roman"/>
          <w:color w:val="auto"/>
          <w:kern w:val="0"/>
          <w:sz w:val="24"/>
          <w:szCs w:val="28"/>
          <w:u w:val="none" w:color="auto"/>
        </w:rPr>
        <w:t>《关于印发2020年挥发性有机物治理攻坚方案的通知》（环大气[2020]33号）</w:t>
      </w:r>
      <w:r>
        <w:rPr>
          <w:rFonts w:hint="eastAsia" w:ascii="Times New Roman" w:hAnsi="Times New Roman" w:eastAsia="宋体" w:cs="Times New Roman"/>
          <w:color w:val="auto"/>
          <w:kern w:val="0"/>
          <w:sz w:val="24"/>
          <w:szCs w:val="28"/>
          <w:u w:val="none" w:color="auto"/>
          <w:lang w:eastAsia="zh-CN"/>
        </w:rPr>
        <w:t>；</w:t>
      </w:r>
    </w:p>
    <w:p w14:paraId="0398153F">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eastAsia="zh-CN"/>
        </w:rPr>
      </w:pPr>
      <w:r>
        <w:rPr>
          <w:rFonts w:hint="eastAsia" w:ascii="Times New Roman" w:hAnsi="Times New Roman" w:eastAsia="宋体" w:cs="Times New Roman"/>
          <w:color w:val="auto"/>
          <w:kern w:val="0"/>
          <w:sz w:val="24"/>
          <w:szCs w:val="28"/>
          <w:u w:val="none" w:color="auto"/>
        </w:rPr>
        <w:t>关于印发《重点行业挥发性有机物综合治理方案》的通知（环大气〔2019〕53号）</w:t>
      </w:r>
      <w:r>
        <w:rPr>
          <w:rFonts w:hint="eastAsia" w:ascii="Times New Roman" w:hAnsi="Times New Roman" w:eastAsia="宋体" w:cs="Times New Roman"/>
          <w:color w:val="auto"/>
          <w:kern w:val="0"/>
          <w:sz w:val="24"/>
          <w:szCs w:val="28"/>
          <w:u w:val="none" w:color="auto"/>
          <w:lang w:eastAsia="zh-CN"/>
        </w:rPr>
        <w:t>；</w:t>
      </w:r>
    </w:p>
    <w:p w14:paraId="4096A1CD">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eastAsia="zh-CN"/>
        </w:rPr>
      </w:pPr>
      <w:r>
        <w:rPr>
          <w:rFonts w:hint="eastAsia" w:ascii="Times New Roman" w:hAnsi="Times New Roman" w:eastAsia="宋体" w:cs="Times New Roman"/>
          <w:color w:val="auto"/>
          <w:kern w:val="0"/>
          <w:sz w:val="24"/>
          <w:szCs w:val="28"/>
          <w:u w:val="none" w:color="auto"/>
          <w:lang w:eastAsia="zh-CN"/>
        </w:rPr>
        <w:t>《固体废物分类与代码目录》（公告2024年第4号）；</w:t>
      </w:r>
    </w:p>
    <w:p w14:paraId="7C8B3ECE">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eastAsia="zh-CN"/>
        </w:rPr>
      </w:pPr>
      <w:r>
        <w:rPr>
          <w:rFonts w:hint="eastAsia" w:ascii="Times New Roman" w:hAnsi="Times New Roman" w:eastAsia="宋体" w:cs="Times New Roman"/>
          <w:color w:val="auto"/>
          <w:kern w:val="0"/>
          <w:sz w:val="24"/>
          <w:szCs w:val="28"/>
          <w:u w:val="none" w:color="auto"/>
          <w:lang w:val="en-US" w:eastAsia="zh-CN"/>
        </w:rPr>
        <w:t xml:space="preserve">《关于发布《一般工业固体废物管理台账制定指南（试行）》的公告》（公告2021年第82号）； </w:t>
      </w:r>
    </w:p>
    <w:p w14:paraId="4B50CA02">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val="en-US" w:eastAsia="zh-CN"/>
        </w:rPr>
      </w:pPr>
      <w:r>
        <w:rPr>
          <w:rFonts w:hint="eastAsia" w:ascii="Times New Roman" w:hAnsi="Times New Roman" w:eastAsia="宋体" w:cs="Times New Roman"/>
          <w:color w:val="auto"/>
          <w:kern w:val="0"/>
          <w:sz w:val="24"/>
          <w:szCs w:val="28"/>
          <w:u w:val="none" w:color="auto"/>
          <w:lang w:val="en-US" w:eastAsia="zh-CN"/>
        </w:rPr>
        <w:t>关于印发《“十四五”噪声污染防治行动计划》的通知（环大气〔</w:t>
      </w:r>
      <w:r>
        <w:rPr>
          <w:rFonts w:hint="default" w:ascii="Times New Roman" w:hAnsi="Times New Roman" w:eastAsia="宋体" w:cs="Times New Roman"/>
          <w:color w:val="auto"/>
          <w:kern w:val="0"/>
          <w:sz w:val="24"/>
          <w:szCs w:val="28"/>
          <w:u w:val="none" w:color="auto"/>
          <w:lang w:val="en-US" w:eastAsia="zh-CN"/>
        </w:rPr>
        <w:t>2023</w:t>
      </w:r>
      <w:r>
        <w:rPr>
          <w:rFonts w:hint="eastAsia" w:ascii="Times New Roman" w:hAnsi="Times New Roman" w:eastAsia="宋体" w:cs="Times New Roman"/>
          <w:color w:val="auto"/>
          <w:kern w:val="0"/>
          <w:sz w:val="24"/>
          <w:szCs w:val="28"/>
          <w:u w:val="none" w:color="auto"/>
          <w:lang w:val="en-US" w:eastAsia="zh-CN"/>
        </w:rPr>
        <w:t>〕</w:t>
      </w:r>
      <w:r>
        <w:rPr>
          <w:rFonts w:hint="default" w:ascii="Times New Roman" w:hAnsi="Times New Roman" w:eastAsia="宋体" w:cs="Times New Roman"/>
          <w:color w:val="auto"/>
          <w:kern w:val="0"/>
          <w:sz w:val="24"/>
          <w:szCs w:val="28"/>
          <w:u w:val="none" w:color="auto"/>
          <w:lang w:val="en-US" w:eastAsia="zh-CN"/>
        </w:rPr>
        <w:t>1</w:t>
      </w:r>
      <w:r>
        <w:rPr>
          <w:rFonts w:hint="eastAsia" w:ascii="Times New Roman" w:hAnsi="Times New Roman" w:eastAsia="宋体" w:cs="Times New Roman"/>
          <w:color w:val="auto"/>
          <w:kern w:val="0"/>
          <w:sz w:val="24"/>
          <w:szCs w:val="28"/>
          <w:u w:val="none" w:color="auto"/>
          <w:lang w:val="en-US" w:eastAsia="zh-CN"/>
        </w:rPr>
        <w:t>号）；</w:t>
      </w:r>
    </w:p>
    <w:p w14:paraId="17E144F4">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val="en-US" w:eastAsia="zh-CN"/>
        </w:rPr>
      </w:pPr>
      <w:r>
        <w:rPr>
          <w:rFonts w:hint="eastAsia" w:ascii="Times New Roman" w:hAnsi="Times New Roman" w:eastAsia="宋体" w:cs="Times New Roman"/>
          <w:color w:val="auto"/>
          <w:kern w:val="0"/>
          <w:sz w:val="24"/>
          <w:szCs w:val="28"/>
          <w:u w:val="none" w:color="auto"/>
          <w:lang w:val="en-US" w:eastAsia="zh-CN"/>
        </w:rPr>
        <w:t>《国务院关于印发2030年前碳达峰行动方案的通知》（国发〔2021〕23号）；</w:t>
      </w:r>
    </w:p>
    <w:p w14:paraId="592ADABE">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val="en-US" w:eastAsia="zh-CN"/>
        </w:rPr>
      </w:pPr>
      <w:r>
        <w:rPr>
          <w:rFonts w:hint="eastAsia" w:ascii="Times New Roman" w:hAnsi="Times New Roman" w:eastAsia="宋体" w:cs="Times New Roman"/>
          <w:color w:val="auto"/>
          <w:kern w:val="0"/>
          <w:sz w:val="24"/>
          <w:szCs w:val="28"/>
          <w:u w:val="none" w:color="auto"/>
          <w:lang w:val="en-US" w:eastAsia="zh-CN"/>
        </w:rPr>
        <w:t>《国务院办公厅关于印发新污染物治理行动方案的通知》（国办发〔2022〕15号）；</w:t>
      </w:r>
    </w:p>
    <w:p w14:paraId="371A5589">
      <w:pPr>
        <w:numPr>
          <w:ilvl w:val="1"/>
          <w:numId w:val="6"/>
        </w:numPr>
        <w:tabs>
          <w:tab w:val="left" w:pos="0"/>
          <w:tab w:val="left" w:pos="136"/>
        </w:tabs>
        <w:autoSpaceDE w:val="0"/>
        <w:autoSpaceDN w:val="0"/>
        <w:spacing w:line="360" w:lineRule="auto"/>
        <w:ind w:left="0" w:firstLine="480" w:firstLineChars="200"/>
        <w:jc w:val="left"/>
        <w:rPr>
          <w:rFonts w:hint="eastAsia" w:ascii="Times New Roman" w:hAnsi="Times New Roman" w:eastAsia="宋体" w:cs="Times New Roman"/>
          <w:color w:val="auto"/>
          <w:kern w:val="0"/>
          <w:sz w:val="24"/>
          <w:szCs w:val="28"/>
          <w:u w:val="none" w:color="auto"/>
          <w:lang w:val="en-US" w:eastAsia="zh-CN"/>
        </w:rPr>
      </w:pPr>
      <w:r>
        <w:rPr>
          <w:rFonts w:hint="eastAsia" w:ascii="Times New Roman" w:hAnsi="Times New Roman" w:eastAsia="宋体" w:cs="Times New Roman"/>
          <w:color w:val="auto"/>
          <w:kern w:val="0"/>
          <w:sz w:val="24"/>
          <w:szCs w:val="28"/>
          <w:u w:val="none" w:color="auto"/>
          <w:lang w:val="en-US" w:eastAsia="zh-CN"/>
        </w:rPr>
        <w:t>《排污许可管理办法》（生态环境部令第32号，2024.7.1实施）；</w:t>
      </w:r>
    </w:p>
    <w:p w14:paraId="763F9D17">
      <w:pPr>
        <w:numPr>
          <w:ilvl w:val="1"/>
          <w:numId w:val="6"/>
        </w:numPr>
        <w:tabs>
          <w:tab w:val="left" w:pos="0"/>
          <w:tab w:val="left" w:pos="136"/>
        </w:tabs>
        <w:autoSpaceDE w:val="0"/>
        <w:autoSpaceDN w:val="0"/>
        <w:spacing w:line="360" w:lineRule="auto"/>
        <w:ind w:left="0" w:firstLine="480" w:firstLineChars="200"/>
        <w:jc w:val="left"/>
        <w:rPr>
          <w:rFonts w:hint="default" w:ascii="Times New Roman" w:hAnsi="Times New Roman" w:eastAsia="宋体" w:cs="Times New Roman"/>
          <w:color w:val="auto"/>
          <w:kern w:val="0"/>
          <w:sz w:val="24"/>
          <w:szCs w:val="28"/>
          <w:u w:val="single" w:color="auto"/>
          <w:lang w:val="en-US" w:eastAsia="zh-CN"/>
        </w:rPr>
      </w:pPr>
      <w:r>
        <w:rPr>
          <w:rFonts w:hint="eastAsia" w:ascii="Times New Roman" w:hAnsi="Times New Roman" w:eastAsia="宋体" w:cs="Times New Roman"/>
          <w:color w:val="auto"/>
          <w:sz w:val="24"/>
          <w:szCs w:val="24"/>
          <w:highlight w:val="none"/>
          <w:u w:val="single" w:color="auto"/>
          <w:lang w:eastAsia="zh-CN"/>
        </w:rPr>
        <w:t>《排污单位自行监测技术指南</w:t>
      </w:r>
      <w:r>
        <w:rPr>
          <w:rFonts w:hint="eastAsia" w:cs="Times New Roman"/>
          <w:color w:val="auto"/>
          <w:sz w:val="24"/>
          <w:szCs w:val="24"/>
          <w:highlight w:val="none"/>
          <w:u w:val="single" w:color="auto"/>
          <w:lang w:val="en-US" w:eastAsia="zh-CN"/>
        </w:rPr>
        <w:t xml:space="preserve"> </w:t>
      </w:r>
      <w:r>
        <w:rPr>
          <w:rFonts w:hint="eastAsia" w:ascii="Times New Roman" w:hAnsi="Times New Roman" w:eastAsia="宋体" w:cs="Times New Roman"/>
          <w:color w:val="auto"/>
          <w:sz w:val="24"/>
          <w:szCs w:val="24"/>
          <w:highlight w:val="none"/>
          <w:u w:val="single" w:color="auto"/>
          <w:lang w:eastAsia="zh-CN"/>
        </w:rPr>
        <w:t>涂装》（HJ</w:t>
      </w:r>
      <w:r>
        <w:rPr>
          <w:rFonts w:hint="eastAsia" w:ascii="Times New Roman" w:hAnsi="Times New Roman" w:eastAsia="宋体" w:cs="Times New Roman"/>
          <w:color w:val="auto"/>
          <w:sz w:val="24"/>
          <w:szCs w:val="24"/>
          <w:highlight w:val="none"/>
          <w:u w:val="single" w:color="auto"/>
          <w:lang w:val="en-US" w:eastAsia="zh-CN"/>
        </w:rPr>
        <w:t xml:space="preserve"> </w:t>
      </w:r>
      <w:r>
        <w:rPr>
          <w:rFonts w:hint="eastAsia" w:ascii="Times New Roman" w:hAnsi="Times New Roman" w:eastAsia="宋体" w:cs="Times New Roman"/>
          <w:color w:val="auto"/>
          <w:sz w:val="24"/>
          <w:szCs w:val="24"/>
          <w:highlight w:val="none"/>
          <w:u w:val="single" w:color="auto"/>
          <w:lang w:eastAsia="zh-CN"/>
        </w:rPr>
        <w:t>1086-2020）；</w:t>
      </w:r>
    </w:p>
    <w:p w14:paraId="63CC27BE">
      <w:pPr>
        <w:numPr>
          <w:ilvl w:val="1"/>
          <w:numId w:val="6"/>
        </w:numPr>
        <w:tabs>
          <w:tab w:val="left" w:pos="0"/>
          <w:tab w:val="left" w:pos="136"/>
        </w:tabs>
        <w:autoSpaceDE w:val="0"/>
        <w:autoSpaceDN w:val="0"/>
        <w:spacing w:line="360" w:lineRule="auto"/>
        <w:ind w:left="0" w:firstLine="480" w:firstLineChars="200"/>
        <w:jc w:val="left"/>
        <w:rPr>
          <w:rFonts w:hint="default" w:ascii="Times New Roman" w:hAnsi="Times New Roman" w:eastAsia="宋体" w:cs="Times New Roman"/>
          <w:color w:val="auto"/>
          <w:kern w:val="0"/>
          <w:sz w:val="24"/>
          <w:szCs w:val="28"/>
          <w:u w:val="single" w:color="auto"/>
          <w:lang w:val="en-US" w:eastAsia="zh-CN"/>
        </w:rPr>
      </w:pPr>
      <w:r>
        <w:rPr>
          <w:rFonts w:hint="eastAsia" w:ascii="Times New Roman" w:hAnsi="Times New Roman" w:eastAsia="宋体" w:cs="Times New Roman"/>
          <w:color w:val="auto"/>
          <w:sz w:val="24"/>
          <w:szCs w:val="24"/>
          <w:highlight w:val="none"/>
          <w:u w:val="single" w:color="auto"/>
          <w:lang w:eastAsia="zh-CN"/>
        </w:rPr>
        <w:t>《排污</w:t>
      </w:r>
      <w:r>
        <w:rPr>
          <w:rFonts w:hint="eastAsia" w:ascii="Times New Roman" w:hAnsi="Times New Roman" w:eastAsia="宋体" w:cs="Times New Roman"/>
          <w:color w:val="auto"/>
          <w:sz w:val="24"/>
          <w:szCs w:val="24"/>
          <w:highlight w:val="none"/>
          <w:u w:val="single" w:color="auto"/>
          <w:lang w:val="en-US" w:eastAsia="zh-CN"/>
        </w:rPr>
        <w:t>许可证申请与核发技术规范 总则</w:t>
      </w:r>
      <w:r>
        <w:rPr>
          <w:rFonts w:hint="eastAsia" w:ascii="Times New Roman" w:hAnsi="Times New Roman" w:eastAsia="宋体" w:cs="Times New Roman"/>
          <w:color w:val="auto"/>
          <w:sz w:val="24"/>
          <w:szCs w:val="24"/>
          <w:highlight w:val="none"/>
          <w:u w:val="single" w:color="auto"/>
          <w:lang w:eastAsia="zh-CN"/>
        </w:rPr>
        <w:t>》（HJ</w:t>
      </w:r>
      <w:r>
        <w:rPr>
          <w:rFonts w:hint="eastAsia" w:ascii="Times New Roman" w:hAnsi="Times New Roman" w:eastAsia="宋体" w:cs="Times New Roman"/>
          <w:color w:val="auto"/>
          <w:sz w:val="24"/>
          <w:szCs w:val="24"/>
          <w:highlight w:val="none"/>
          <w:u w:val="single" w:color="auto"/>
          <w:lang w:val="en-US" w:eastAsia="zh-CN"/>
        </w:rPr>
        <w:t>942</w:t>
      </w:r>
      <w:r>
        <w:rPr>
          <w:rFonts w:hint="eastAsia" w:ascii="Times New Roman" w:hAnsi="Times New Roman" w:eastAsia="宋体" w:cs="Times New Roman"/>
          <w:color w:val="auto"/>
          <w:sz w:val="24"/>
          <w:szCs w:val="24"/>
          <w:highlight w:val="none"/>
          <w:u w:val="single" w:color="auto"/>
          <w:lang w:eastAsia="zh-CN"/>
        </w:rPr>
        <w:t>-20</w:t>
      </w:r>
      <w:r>
        <w:rPr>
          <w:rFonts w:hint="eastAsia" w:ascii="Times New Roman" w:hAnsi="Times New Roman" w:eastAsia="宋体" w:cs="Times New Roman"/>
          <w:color w:val="auto"/>
          <w:sz w:val="24"/>
          <w:szCs w:val="24"/>
          <w:highlight w:val="none"/>
          <w:u w:val="single" w:color="auto"/>
          <w:lang w:val="en-US" w:eastAsia="zh-CN"/>
        </w:rPr>
        <w:t>18</w:t>
      </w:r>
      <w:r>
        <w:rPr>
          <w:rFonts w:hint="eastAsia" w:ascii="Times New Roman" w:hAnsi="Times New Roman" w:eastAsia="宋体" w:cs="Times New Roman"/>
          <w:color w:val="auto"/>
          <w:sz w:val="24"/>
          <w:szCs w:val="24"/>
          <w:highlight w:val="none"/>
          <w:u w:val="single" w:color="auto"/>
          <w:lang w:eastAsia="zh-CN"/>
        </w:rPr>
        <w:t>）；</w:t>
      </w:r>
    </w:p>
    <w:p w14:paraId="3518A29F">
      <w:pPr>
        <w:pStyle w:val="20"/>
        <w:rPr>
          <w:rFonts w:hint="default"/>
          <w:color w:val="auto"/>
          <w:lang w:val="en-US" w:eastAsia="zh-CN"/>
        </w:rPr>
      </w:pPr>
    </w:p>
    <w:p w14:paraId="03BDCE0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.1.3</w:t>
      </w:r>
      <w:r>
        <w:rPr>
          <w:rFonts w:hint="eastAsia" w:ascii="Times New Roman" w:hAnsi="Times New Roman" w:eastAsia="宋体" w:cs="Times New Roman"/>
          <w:b/>
          <w:color w:val="auto"/>
          <w:kern w:val="0"/>
          <w:sz w:val="28"/>
          <w:szCs w:val="20"/>
          <w:u w:val="none" w:color="auto"/>
        </w:rPr>
        <w:t>地方法律法规与规划</w:t>
      </w:r>
    </w:p>
    <w:p w14:paraId="696D3F42">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（1）《广西壮族自治区环境保护条例》（2019年7月25日修正）；</w:t>
      </w:r>
    </w:p>
    <w:p w14:paraId="613B2E98">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（2）《广西壮族自治区人民政府办公厅关于印发〈广西壮族自治区建设项目环境准入管理办法〉的通知》，桂政办发〔2012〕103号；</w:t>
      </w:r>
    </w:p>
    <w:p w14:paraId="2393A0E0">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（3）《广西壮族自治区排污许可证管理实施细则（试行）》，桂环规范〔2017〕5号；</w:t>
      </w:r>
    </w:p>
    <w:p w14:paraId="67C1C739">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（4）《广西壮族自治区水功能区划》（2016年7月18日）；</w:t>
      </w:r>
    </w:p>
    <w:p w14:paraId="0EC2137D">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（5）《广西壮族自治区生态功能区划》（2008年2月14日）；</w:t>
      </w:r>
    </w:p>
    <w:p w14:paraId="03260E75">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（6）《广西环境保护和生态建设“十四五”规划》，桂政办发〔2021〕145号；</w:t>
      </w:r>
    </w:p>
    <w:p w14:paraId="41A4354E">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（8）《广西壮族自治区土壤污染防治条例》（2021年9月1日起施行）；</w:t>
      </w:r>
    </w:p>
    <w:p w14:paraId="464D0C15">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（9）《广西壮族自治区固体废物污染环境防治条例》（2022年7月1日起施行）；</w:t>
      </w:r>
    </w:p>
    <w:p w14:paraId="6BE9507D">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（10）《广西壮族自治区水污染防治条例》（2020年5月1日实施）；</w:t>
      </w:r>
    </w:p>
    <w:p w14:paraId="7D430065">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lang w:eastAsia="zh-CN"/>
        </w:rPr>
      </w:pPr>
      <w:r>
        <w:rPr>
          <w:rFonts w:hint="eastAsia" w:ascii="Times New Roman" w:hAnsi="Times New Roman" w:eastAsia="宋体" w:cs="Times New Roman"/>
          <w:color w:val="auto"/>
          <w:spacing w:val="10"/>
          <w:sz w:val="24"/>
          <w:szCs w:val="20"/>
          <w:u w:val="none" w:color="auto"/>
        </w:rPr>
        <w:t>（11）《广西壮族自治区噪声污染防治实施方案（2023—2025年）》（桂环发〔2023〕22号）</w:t>
      </w:r>
      <w:r>
        <w:rPr>
          <w:rFonts w:hint="eastAsia" w:ascii="Times New Roman" w:hAnsi="Times New Roman" w:eastAsia="宋体" w:cs="Times New Roman"/>
          <w:color w:val="auto"/>
          <w:spacing w:val="10"/>
          <w:sz w:val="24"/>
          <w:szCs w:val="20"/>
          <w:u w:val="none" w:color="auto"/>
          <w:lang w:eastAsia="zh-CN"/>
        </w:rPr>
        <w:t>；</w:t>
      </w:r>
    </w:p>
    <w:p w14:paraId="715ADFD2">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（12）</w:t>
      </w:r>
      <w:r>
        <w:rPr>
          <w:rFonts w:hint="eastAsia" w:ascii="Times New Roman" w:hAnsi="Times New Roman" w:eastAsia="宋体" w:cs="Times New Roman"/>
          <w:color w:val="auto"/>
          <w:spacing w:val="10"/>
          <w:sz w:val="24"/>
          <w:szCs w:val="20"/>
          <w:u w:val="single" w:color="auto"/>
        </w:rPr>
        <w:t>《广西壮族自治区建设项目环境影响评价文件分级审批管理办法（202</w:t>
      </w:r>
      <w:r>
        <w:rPr>
          <w:rFonts w:hint="eastAsia" w:ascii="Times New Roman" w:hAnsi="Times New Roman" w:eastAsia="宋体" w:cs="Times New Roman"/>
          <w:color w:val="auto"/>
          <w:spacing w:val="10"/>
          <w:sz w:val="24"/>
          <w:szCs w:val="20"/>
          <w:u w:val="single" w:color="auto"/>
          <w:lang w:val="en-US" w:eastAsia="zh-CN"/>
        </w:rPr>
        <w:t>5</w:t>
      </w:r>
      <w:r>
        <w:rPr>
          <w:rFonts w:hint="eastAsia" w:ascii="Times New Roman" w:hAnsi="Times New Roman" w:eastAsia="宋体" w:cs="Times New Roman"/>
          <w:color w:val="auto"/>
          <w:spacing w:val="10"/>
          <w:sz w:val="24"/>
          <w:szCs w:val="20"/>
          <w:u w:val="single" w:color="auto"/>
        </w:rPr>
        <w:t>年修订版）》</w:t>
      </w:r>
      <w:r>
        <w:rPr>
          <w:rFonts w:hint="eastAsia" w:ascii="Times New Roman" w:hAnsi="Times New Roman" w:eastAsia="宋体" w:cs="Times New Roman"/>
          <w:color w:val="auto"/>
          <w:spacing w:val="10"/>
          <w:sz w:val="24"/>
          <w:szCs w:val="20"/>
          <w:u w:val="single" w:color="auto"/>
          <w:lang w:eastAsia="zh-CN"/>
        </w:rPr>
        <w:t>（桂环规范〔2025〕2号）</w:t>
      </w:r>
      <w:r>
        <w:rPr>
          <w:rFonts w:hint="eastAsia" w:ascii="Times New Roman" w:hAnsi="Times New Roman" w:eastAsia="宋体" w:cs="Times New Roman"/>
          <w:color w:val="auto"/>
          <w:spacing w:val="10"/>
          <w:sz w:val="24"/>
          <w:szCs w:val="20"/>
          <w:u w:val="none" w:color="auto"/>
        </w:rPr>
        <w:t>；</w:t>
      </w:r>
    </w:p>
    <w:p w14:paraId="3E7FE353">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（1</w:t>
      </w:r>
      <w:r>
        <w:rPr>
          <w:rFonts w:hint="eastAsia" w:ascii="Times New Roman" w:hAnsi="Times New Roman" w:eastAsia="宋体" w:cs="Times New Roman"/>
          <w:color w:val="auto"/>
          <w:spacing w:val="10"/>
          <w:sz w:val="24"/>
          <w:szCs w:val="20"/>
          <w:u w:val="none" w:color="auto"/>
          <w:lang w:val="en-US" w:eastAsia="zh-CN"/>
        </w:rPr>
        <w:t>3</w:t>
      </w:r>
      <w:r>
        <w:rPr>
          <w:rFonts w:hint="eastAsia" w:ascii="Times New Roman" w:hAnsi="Times New Roman" w:eastAsia="宋体" w:cs="Times New Roman"/>
          <w:color w:val="auto"/>
          <w:spacing w:val="10"/>
          <w:sz w:val="24"/>
          <w:szCs w:val="20"/>
          <w:u w:val="none" w:color="auto"/>
        </w:rPr>
        <w:t>）《广西壮族自治区生态环境厅关于印发实施广西壮族自治区生态环境分区管控动态更新成果（2023年）的通知》（桂环规范〔2024〕3号）</w:t>
      </w:r>
      <w:r>
        <w:rPr>
          <w:rFonts w:hint="eastAsia" w:ascii="Times New Roman" w:hAnsi="Times New Roman" w:eastAsia="宋体" w:cs="Times New Roman"/>
          <w:color w:val="auto"/>
          <w:spacing w:val="10"/>
          <w:sz w:val="24"/>
          <w:szCs w:val="20"/>
          <w:u w:val="none" w:color="auto"/>
          <w:lang w:eastAsia="zh-CN"/>
        </w:rPr>
        <w:t>；</w:t>
      </w:r>
    </w:p>
    <w:p w14:paraId="2EAEC979">
      <w:pPr>
        <w:autoSpaceDE w:val="0"/>
        <w:autoSpaceDN w:val="0"/>
        <w:spacing w:line="500" w:lineRule="exact"/>
        <w:ind w:firstLine="520" w:firstLineChars="200"/>
        <w:rPr>
          <w:rFonts w:hint="eastAsia"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w:t>
      </w:r>
      <w:r>
        <w:rPr>
          <w:rFonts w:hint="eastAsia" w:ascii="Times New Roman" w:hAnsi="Times New Roman" w:eastAsia="宋体" w:cs="Times New Roman"/>
          <w:color w:val="auto"/>
          <w:spacing w:val="10"/>
          <w:sz w:val="24"/>
          <w:szCs w:val="20"/>
          <w:u w:val="none" w:color="auto"/>
          <w:lang w:val="en-US" w:eastAsia="zh-CN"/>
        </w:rPr>
        <w:t>14</w:t>
      </w:r>
      <w:r>
        <w:rPr>
          <w:rFonts w:hint="eastAsia" w:ascii="Times New Roman" w:hAnsi="Times New Roman" w:eastAsia="宋体" w:cs="Times New Roman"/>
          <w:color w:val="auto"/>
          <w:spacing w:val="10"/>
          <w:sz w:val="24"/>
          <w:szCs w:val="20"/>
          <w:u w:val="none" w:color="auto"/>
        </w:rPr>
        <w:t>）广西壮族自治区生态环境厅等11部门关于印发《广西生态保护正面清单（2022）》和《广西生态保护禁止事项清单（2022）》的通知（桂环发〔2022〕54号）；</w:t>
      </w:r>
    </w:p>
    <w:p w14:paraId="49FF319E">
      <w:pPr>
        <w:autoSpaceDE w:val="0"/>
        <w:autoSpaceDN w:val="0"/>
        <w:spacing w:line="360" w:lineRule="auto"/>
        <w:ind w:firstLine="520" w:firstLineChars="200"/>
        <w:rPr>
          <w:rFonts w:ascii="Times New Roman" w:hAnsi="Times New Roman" w:eastAsia="宋体" w:cs="Times New Roman"/>
          <w:color w:val="auto"/>
          <w:spacing w:val="10"/>
          <w:sz w:val="24"/>
          <w:szCs w:val="20"/>
          <w:u w:val="none" w:color="auto"/>
        </w:rPr>
      </w:pPr>
      <w:bookmarkStart w:id="36" w:name="_Toc144001212"/>
      <w:bookmarkStart w:id="37" w:name="_Toc352521878"/>
      <w:bookmarkStart w:id="38" w:name="_Toc263264324"/>
      <w:bookmarkStart w:id="39" w:name="_Toc263843345"/>
      <w:r>
        <w:rPr>
          <w:rFonts w:hint="eastAsia" w:ascii="Times New Roman" w:hAnsi="Times New Roman" w:eastAsia="宋体" w:cs="Times New Roman"/>
          <w:color w:val="auto"/>
          <w:spacing w:val="10"/>
          <w:sz w:val="24"/>
          <w:szCs w:val="20"/>
          <w:u w:val="none" w:color="auto"/>
        </w:rPr>
        <w:t>（</w:t>
      </w:r>
      <w:r>
        <w:rPr>
          <w:rFonts w:hint="eastAsia" w:ascii="Times New Roman" w:hAnsi="Times New Roman" w:eastAsia="宋体" w:cs="Times New Roman"/>
          <w:color w:val="auto"/>
          <w:spacing w:val="10"/>
          <w:sz w:val="24"/>
          <w:szCs w:val="20"/>
          <w:u w:val="none" w:color="auto"/>
          <w:lang w:val="en-US" w:eastAsia="zh-CN"/>
        </w:rPr>
        <w:t>15</w:t>
      </w:r>
      <w:r>
        <w:rPr>
          <w:rFonts w:hint="eastAsia" w:ascii="Times New Roman" w:hAnsi="Times New Roman" w:eastAsia="宋体" w:cs="Times New Roman"/>
          <w:color w:val="auto"/>
          <w:spacing w:val="10"/>
          <w:sz w:val="24"/>
          <w:szCs w:val="20"/>
          <w:u w:val="none" w:color="auto"/>
        </w:rPr>
        <w:t>）《广西壮族自治区人民政府关于同意广西茅尾海红树林自治区级自然保护区范围与功能区调整的批复》（桂政函〔2020〕14号）；</w:t>
      </w:r>
    </w:p>
    <w:p w14:paraId="5F1DD442">
      <w:pPr>
        <w:autoSpaceDE w:val="0"/>
        <w:autoSpaceDN w:val="0"/>
        <w:spacing w:line="500" w:lineRule="exact"/>
        <w:ind w:firstLine="520" w:firstLineChars="200"/>
        <w:rPr>
          <w:rFonts w:ascii="Times New Roman" w:hAnsi="Times New Roman" w:eastAsia="宋体" w:cs="Times New Roman"/>
          <w:color w:val="auto"/>
          <w:spacing w:val="10"/>
          <w:sz w:val="24"/>
          <w:szCs w:val="20"/>
          <w:u w:val="none" w:color="auto"/>
        </w:rPr>
      </w:pPr>
      <w:r>
        <w:rPr>
          <w:rFonts w:hint="eastAsia" w:ascii="Times New Roman" w:hAnsi="Times New Roman" w:eastAsia="宋体" w:cs="Times New Roman"/>
          <w:color w:val="auto"/>
          <w:spacing w:val="10"/>
          <w:sz w:val="24"/>
          <w:szCs w:val="20"/>
          <w:u w:val="none" w:color="auto"/>
        </w:rPr>
        <w:t>（</w:t>
      </w:r>
      <w:r>
        <w:rPr>
          <w:rFonts w:hint="eastAsia" w:ascii="Times New Roman" w:hAnsi="Times New Roman" w:eastAsia="宋体" w:cs="Times New Roman"/>
          <w:color w:val="auto"/>
          <w:spacing w:val="10"/>
          <w:sz w:val="24"/>
          <w:szCs w:val="20"/>
          <w:u w:val="none" w:color="auto"/>
          <w:lang w:val="en-US" w:eastAsia="zh-CN"/>
        </w:rPr>
        <w:t>16</w:t>
      </w:r>
      <w:r>
        <w:rPr>
          <w:rFonts w:hint="eastAsia" w:ascii="Times New Roman" w:hAnsi="Times New Roman" w:eastAsia="宋体" w:cs="Times New Roman"/>
          <w:color w:val="auto"/>
          <w:spacing w:val="10"/>
          <w:sz w:val="24"/>
          <w:szCs w:val="20"/>
          <w:u w:val="none" w:color="auto"/>
        </w:rPr>
        <w:t>）北钦防一体化产业协同发展限制布局清单（工业类2021年版）；</w:t>
      </w:r>
    </w:p>
    <w:p w14:paraId="5917982D">
      <w:pPr>
        <w:numPr>
          <w:ilvl w:val="0"/>
          <w:numId w:val="0"/>
        </w:num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17</w:t>
      </w:r>
      <w:r>
        <w:rPr>
          <w:rFonts w:hint="eastAsia" w:ascii="Times New Roman" w:hAnsi="Times New Roman" w:eastAsia="宋体" w:cs="Times New Roman"/>
          <w:color w:val="auto"/>
          <w:kern w:val="0"/>
          <w:sz w:val="24"/>
          <w:szCs w:val="20"/>
          <w:u w:val="none" w:color="auto"/>
          <w:lang w:eastAsia="zh-CN"/>
        </w:rPr>
        <w:t>）</w:t>
      </w:r>
      <w:r>
        <w:rPr>
          <w:rFonts w:ascii="Times New Roman" w:hAnsi="Times New Roman" w:eastAsia="宋体" w:cs="Times New Roman"/>
          <w:color w:val="auto"/>
          <w:kern w:val="0"/>
          <w:sz w:val="24"/>
          <w:szCs w:val="20"/>
          <w:u w:val="none" w:color="auto"/>
        </w:rPr>
        <w:t xml:space="preserve">《广西壮族自治区主体功能区规划》桂政发〔2012〕89号； </w:t>
      </w:r>
    </w:p>
    <w:p w14:paraId="4CEE2613">
      <w:p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18</w:t>
      </w:r>
      <w:r>
        <w:rPr>
          <w:rFonts w:hint="eastAsia" w:ascii="Times New Roman" w:hAnsi="Times New Roman" w:eastAsia="宋体" w:cs="Times New Roman"/>
          <w:color w:val="auto"/>
          <w:kern w:val="0"/>
          <w:sz w:val="24"/>
          <w:szCs w:val="20"/>
          <w:u w:val="none" w:color="auto"/>
          <w:lang w:eastAsia="zh-CN"/>
        </w:rPr>
        <w:t>）《广西壮族自治区生态环境厅关于印发广西壮族自治区加强危险废物全程监管实施方案的通知》（桂环发〔2018〕17号）</w:t>
      </w:r>
      <w:r>
        <w:rPr>
          <w:rFonts w:ascii="Times New Roman" w:hAnsi="Times New Roman" w:eastAsia="宋体" w:cs="Times New Roman"/>
          <w:color w:val="auto"/>
          <w:kern w:val="0"/>
          <w:sz w:val="24"/>
          <w:szCs w:val="20"/>
          <w:u w:val="none" w:color="auto"/>
        </w:rPr>
        <w:t xml:space="preserve">； </w:t>
      </w:r>
    </w:p>
    <w:p w14:paraId="10B4AD35">
      <w:p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19</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rPr>
        <w:t>《广西壮族自治区生态环境厅关于印发广西壮族自治区近岸海域环境功能区划调整方案的通知》（桂环发〔2023〕9号）</w:t>
      </w:r>
      <w:r>
        <w:rPr>
          <w:rFonts w:ascii="Times New Roman" w:hAnsi="Times New Roman" w:eastAsia="宋体" w:cs="Times New Roman"/>
          <w:color w:val="auto"/>
          <w:kern w:val="0"/>
          <w:sz w:val="24"/>
          <w:szCs w:val="20"/>
          <w:u w:val="none" w:color="auto"/>
        </w:rPr>
        <w:t xml:space="preserve">； </w:t>
      </w:r>
    </w:p>
    <w:p w14:paraId="228B79F3">
      <w:p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20</w:t>
      </w:r>
      <w:r>
        <w:rPr>
          <w:rFonts w:hint="eastAsia" w:ascii="Times New Roman" w:hAnsi="Times New Roman" w:eastAsia="宋体" w:cs="Times New Roman"/>
          <w:color w:val="auto"/>
          <w:kern w:val="0"/>
          <w:sz w:val="24"/>
          <w:szCs w:val="20"/>
          <w:u w:val="none" w:color="auto"/>
          <w:lang w:eastAsia="zh-CN"/>
        </w:rPr>
        <w:t>）《钦州市生态环境局关于印发〈钦州市土壤污染防治“十四五”规划〉的通知》</w:t>
      </w:r>
      <w:r>
        <w:rPr>
          <w:rFonts w:ascii="Times New Roman" w:hAnsi="Times New Roman" w:eastAsia="宋体" w:cs="Times New Roman"/>
          <w:color w:val="auto"/>
          <w:kern w:val="0"/>
          <w:sz w:val="24"/>
          <w:szCs w:val="20"/>
          <w:u w:val="none" w:color="auto"/>
        </w:rPr>
        <w:t>；</w:t>
      </w:r>
    </w:p>
    <w:p w14:paraId="605A54B8">
      <w:p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21</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single" w:color="auto"/>
        </w:rPr>
        <w:t>《钦州市生态环境分区管控动态更新成果（2023 版）》（2024年12月5日）</w:t>
      </w:r>
      <w:r>
        <w:rPr>
          <w:rFonts w:hint="eastAsia" w:ascii="Times New Roman" w:hAnsi="Times New Roman" w:eastAsia="宋体" w:cs="Times New Roman"/>
          <w:color w:val="auto"/>
          <w:kern w:val="0"/>
          <w:sz w:val="24"/>
          <w:szCs w:val="20"/>
          <w:u w:val="none" w:color="auto"/>
        </w:rPr>
        <w:t>；</w:t>
      </w:r>
    </w:p>
    <w:p w14:paraId="6CEC63E4">
      <w:pPr>
        <w:tabs>
          <w:tab w:val="left" w:pos="0"/>
          <w:tab w:val="left" w:pos="136"/>
        </w:tabs>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22</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rPr>
        <w:t>《广西空气质量持续改善行动实施方案》（桂政发〔2024〕19号）</w:t>
      </w:r>
      <w:r>
        <w:rPr>
          <w:rFonts w:ascii="Times New Roman" w:hAnsi="Times New Roman" w:eastAsia="宋体" w:cs="Times New Roman"/>
          <w:color w:val="auto"/>
          <w:kern w:val="0"/>
          <w:sz w:val="24"/>
          <w:szCs w:val="20"/>
          <w:u w:val="none" w:color="auto"/>
        </w:rPr>
        <w:t>；</w:t>
      </w:r>
    </w:p>
    <w:p w14:paraId="2C67CA5E">
      <w:pPr>
        <w:pStyle w:val="36"/>
        <w:ind w:firstLine="480" w:firstLineChars="200"/>
        <w:rPr>
          <w:rFonts w:hint="eastAsia" w:ascii="Times New Roman" w:hAnsi="Times New Roman" w:eastAsia="宋体" w:cs="Times New Roman"/>
          <w:color w:val="auto"/>
          <w:kern w:val="0"/>
          <w:szCs w:val="24"/>
          <w:u w:val="none" w:color="auto"/>
        </w:rPr>
      </w:pPr>
      <w:r>
        <w:rPr>
          <w:rFonts w:hint="eastAsia" w:ascii="Times New Roman" w:hAnsi="Times New Roman" w:eastAsia="宋体" w:cs="Times New Roman"/>
          <w:color w:val="auto"/>
          <w:kern w:val="0"/>
          <w:szCs w:val="24"/>
          <w:u w:val="none" w:color="auto"/>
          <w:lang w:eastAsia="zh-CN"/>
        </w:rPr>
        <w:t>（</w:t>
      </w:r>
      <w:r>
        <w:rPr>
          <w:rFonts w:hint="eastAsia" w:ascii="Times New Roman" w:hAnsi="Times New Roman" w:eastAsia="宋体" w:cs="Times New Roman"/>
          <w:color w:val="auto"/>
          <w:kern w:val="0"/>
          <w:szCs w:val="24"/>
          <w:u w:val="none" w:color="auto"/>
          <w:lang w:val="en-US" w:eastAsia="zh-CN"/>
        </w:rPr>
        <w:t>23</w:t>
      </w:r>
      <w:r>
        <w:rPr>
          <w:rFonts w:hint="eastAsia" w:ascii="Times New Roman" w:hAnsi="Times New Roman" w:eastAsia="宋体" w:cs="Times New Roman"/>
          <w:color w:val="auto"/>
          <w:kern w:val="0"/>
          <w:szCs w:val="24"/>
          <w:u w:val="none" w:color="auto"/>
          <w:lang w:eastAsia="zh-CN"/>
        </w:rPr>
        <w:t>）</w:t>
      </w:r>
      <w:r>
        <w:rPr>
          <w:rFonts w:hint="eastAsia" w:ascii="Times New Roman" w:hAnsi="Times New Roman" w:eastAsia="宋体" w:cs="Times New Roman"/>
          <w:color w:val="auto"/>
          <w:kern w:val="0"/>
          <w:szCs w:val="24"/>
          <w:u w:val="none" w:color="auto"/>
        </w:rPr>
        <w:t>《钦州市国民经济和社会发展第十四个五年规划和2035年远景目标纲要》。</w:t>
      </w:r>
    </w:p>
    <w:p w14:paraId="2DF7F487">
      <w:pPr>
        <w:pStyle w:val="36"/>
        <w:ind w:firstLine="480" w:firstLineChars="200"/>
        <w:rPr>
          <w:rFonts w:hint="eastAsia" w:ascii="Times New Roman" w:hAnsi="Times New Roman" w:eastAsia="宋体" w:cs="Times New Roman"/>
          <w:color w:val="auto"/>
          <w:kern w:val="0"/>
          <w:sz w:val="24"/>
          <w:szCs w:val="20"/>
          <w:u w:val="none" w:color="auto"/>
          <w:lang w:eastAsia="zh-CN"/>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24</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rPr>
        <w:t>钦州市国土空间总体规划（2021—2035年）》</w:t>
      </w:r>
      <w:r>
        <w:rPr>
          <w:rFonts w:hint="eastAsia" w:ascii="Times New Roman" w:hAnsi="Times New Roman" w:eastAsia="宋体" w:cs="Times New Roman"/>
          <w:color w:val="auto"/>
          <w:kern w:val="0"/>
          <w:sz w:val="24"/>
          <w:szCs w:val="20"/>
          <w:u w:val="none" w:color="auto"/>
          <w:lang w:eastAsia="zh-CN"/>
        </w:rPr>
        <w:t>；</w:t>
      </w:r>
    </w:p>
    <w:p w14:paraId="7A697835">
      <w:pPr>
        <w:pStyle w:val="36"/>
        <w:spacing w:line="360" w:lineRule="auto"/>
        <w:ind w:firstLine="480" w:firstLineChars="200"/>
        <w:rPr>
          <w:rFonts w:hint="eastAsia" w:ascii="Times New Roman" w:hAnsi="Times New Roman" w:eastAsia="宋体" w:cs="Times New Roman"/>
          <w:color w:val="auto"/>
          <w:spacing w:val="10"/>
          <w:sz w:val="24"/>
          <w:szCs w:val="20"/>
          <w:u w:val="none" w:color="auto"/>
          <w:lang w:eastAsia="zh-CN"/>
        </w:rPr>
      </w:pP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lang w:val="en-US" w:eastAsia="zh-CN"/>
        </w:rPr>
        <w:t>25</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none" w:color="auto"/>
        </w:rPr>
        <w:t>中国（广西）自由贸易试验区钦州港片区国土空间分区规划（2023-2035年）</w:t>
      </w:r>
      <w:r>
        <w:rPr>
          <w:rFonts w:hint="eastAsia" w:ascii="Times New Roman" w:hAnsi="Times New Roman" w:eastAsia="宋体" w:cs="Times New Roman"/>
          <w:color w:val="auto"/>
          <w:kern w:val="0"/>
          <w:sz w:val="24"/>
          <w:szCs w:val="20"/>
          <w:u w:val="none" w:color="auto"/>
          <w:lang w:eastAsia="zh-CN"/>
        </w:rPr>
        <w:t>》</w:t>
      </w:r>
      <w:r>
        <w:rPr>
          <w:rFonts w:ascii="Times New Roman" w:hAnsi="Times New Roman" w:eastAsia="宋体" w:cs="Times New Roman"/>
          <w:color w:val="auto"/>
          <w:kern w:val="0"/>
          <w:sz w:val="24"/>
          <w:szCs w:val="20"/>
          <w:u w:val="none" w:color="auto"/>
        </w:rPr>
        <w:t>；</w:t>
      </w:r>
    </w:p>
    <w:bookmarkEnd w:id="36"/>
    <w:bookmarkEnd w:id="37"/>
    <w:bookmarkEnd w:id="38"/>
    <w:bookmarkEnd w:id="39"/>
    <w:p w14:paraId="578F254C">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40" w:name="_Toc492078190"/>
      <w:bookmarkStart w:id="41" w:name="_Toc496532216"/>
      <w:bookmarkStart w:id="42" w:name="_Toc499545541"/>
      <w:bookmarkStart w:id="43" w:name="_Toc492576135"/>
      <w:bookmarkStart w:id="44" w:name="_Toc3728120"/>
      <w:bookmarkStart w:id="45" w:name="_Toc496532772"/>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.1.4环境影响评价技术规范</w:t>
      </w:r>
      <w:bookmarkEnd w:id="40"/>
      <w:bookmarkEnd w:id="41"/>
      <w:bookmarkEnd w:id="42"/>
      <w:bookmarkEnd w:id="43"/>
      <w:bookmarkEnd w:id="44"/>
      <w:bookmarkEnd w:id="45"/>
    </w:p>
    <w:p w14:paraId="0BA9003A">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《建设项目环境影响评价技术导则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总纲》（HJ2.1-2016）；</w:t>
      </w:r>
    </w:p>
    <w:p w14:paraId="503CEC32">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大气环境》（HJ2.2-2018）；</w:t>
      </w:r>
    </w:p>
    <w:p w14:paraId="06F3C6C6">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地表水环境》（HJ2.3-2018）；</w:t>
      </w:r>
    </w:p>
    <w:p w14:paraId="2BE6AF0F">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声环境》（HJ2.4-20</w:t>
      </w:r>
      <w:r>
        <w:rPr>
          <w:rFonts w:hint="eastAsia" w:ascii="Times New Roman" w:hAnsi="Times New Roman" w:eastAsia="宋体" w:cs="Times New Roman"/>
          <w:color w:val="auto"/>
          <w:kern w:val="0"/>
          <w:sz w:val="24"/>
          <w:szCs w:val="24"/>
          <w:u w:val="none" w:color="auto"/>
        </w:rPr>
        <w:t>21</w:t>
      </w:r>
      <w:r>
        <w:rPr>
          <w:rFonts w:ascii="Times New Roman" w:hAnsi="Times New Roman" w:eastAsia="宋体" w:cs="Times New Roman"/>
          <w:color w:val="auto"/>
          <w:kern w:val="0"/>
          <w:sz w:val="24"/>
          <w:szCs w:val="24"/>
          <w:u w:val="none" w:color="auto"/>
        </w:rPr>
        <w:t>）；</w:t>
      </w:r>
    </w:p>
    <w:p w14:paraId="7463D640">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生态影响》（HJ19-20</w:t>
      </w:r>
      <w:r>
        <w:rPr>
          <w:rFonts w:hint="eastAsia" w:ascii="Times New Roman" w:hAnsi="Times New Roman" w:eastAsia="宋体" w:cs="Times New Roman"/>
          <w:color w:val="auto"/>
          <w:kern w:val="0"/>
          <w:sz w:val="24"/>
          <w:szCs w:val="24"/>
          <w:u w:val="none" w:color="auto"/>
        </w:rPr>
        <w:t>22</w:t>
      </w:r>
      <w:r>
        <w:rPr>
          <w:rFonts w:ascii="Times New Roman" w:hAnsi="Times New Roman" w:eastAsia="宋体" w:cs="Times New Roman"/>
          <w:color w:val="auto"/>
          <w:kern w:val="0"/>
          <w:sz w:val="24"/>
          <w:szCs w:val="24"/>
          <w:u w:val="none" w:color="auto"/>
        </w:rPr>
        <w:t>）；</w:t>
      </w:r>
    </w:p>
    <w:p w14:paraId="16AB824B">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《建设项目环境风险评价技术导则》（HJ169-2018）；</w:t>
      </w:r>
    </w:p>
    <w:p w14:paraId="276E817B">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地下水环境》（HJ610-2016）；</w:t>
      </w:r>
    </w:p>
    <w:p w14:paraId="2C5141E4">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土壤环境（试行）》（HJ964-2018）；</w:t>
      </w:r>
    </w:p>
    <w:p w14:paraId="045B39DE">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《环境噪声与振动控制工程技术导则》（HJ2034-2013）；</w:t>
      </w:r>
    </w:p>
    <w:p w14:paraId="6437123D">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《大气污染治理工程技术导则》（HJ2000-2010）；</w:t>
      </w:r>
    </w:p>
    <w:p w14:paraId="2D9365DA">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《固体废物处理处置工程技术导则》（HJ2035-2013）；</w:t>
      </w:r>
    </w:p>
    <w:p w14:paraId="130B766E">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《建设项目危险废物环境影响评价指南》（</w:t>
      </w:r>
      <w:r>
        <w:rPr>
          <w:rFonts w:hint="eastAsia" w:ascii="Times New Roman" w:hAnsi="Times New Roman" w:eastAsia="宋体" w:cs="Times New Roman"/>
          <w:color w:val="auto"/>
          <w:kern w:val="0"/>
          <w:sz w:val="24"/>
          <w:szCs w:val="24"/>
          <w:u w:val="none" w:color="auto"/>
          <w:lang w:eastAsia="zh-CN"/>
        </w:rPr>
        <w:t>生态环境部</w:t>
      </w:r>
      <w:r>
        <w:rPr>
          <w:rFonts w:ascii="Times New Roman" w:hAnsi="Times New Roman" w:eastAsia="宋体" w:cs="Times New Roman"/>
          <w:color w:val="auto"/>
          <w:kern w:val="0"/>
          <w:sz w:val="24"/>
          <w:szCs w:val="24"/>
          <w:u w:val="none" w:color="auto"/>
        </w:rPr>
        <w:t>公告2017年第43号）；</w:t>
      </w:r>
    </w:p>
    <w:p w14:paraId="28E09CB2">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《固体废物鉴别标准通则》（GB34330-2017）；</w:t>
      </w:r>
    </w:p>
    <w:p w14:paraId="279CF8D9">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《危险废物鉴别标准通则》（GB5085.7-2019）；</w:t>
      </w:r>
    </w:p>
    <w:p w14:paraId="56D03E0A">
      <w:pPr>
        <w:numPr>
          <w:ilvl w:val="1"/>
          <w:numId w:val="7"/>
        </w:numPr>
        <w:tabs>
          <w:tab w:val="left" w:pos="0"/>
          <w:tab w:val="left" w:pos="136"/>
        </w:tabs>
        <w:autoSpaceDE w:val="0"/>
        <w:autoSpaceDN w:val="0"/>
        <w:spacing w:line="360" w:lineRule="auto"/>
        <w:ind w:left="0"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《危险废物收集、贮存、运输技术规范》（HJ2025-2012）；</w:t>
      </w:r>
    </w:p>
    <w:p w14:paraId="1D453704">
      <w:pPr>
        <w:numPr>
          <w:ilvl w:val="1"/>
          <w:numId w:val="7"/>
        </w:numPr>
        <w:tabs>
          <w:tab w:val="left" w:pos="0"/>
          <w:tab w:val="left" w:pos="136"/>
        </w:tabs>
        <w:autoSpaceDE w:val="0"/>
        <w:autoSpaceDN w:val="0"/>
        <w:spacing w:line="360" w:lineRule="auto"/>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《催化燃烧法工业有机废气治理工程技术规范》（HJ 2027-2013）；</w:t>
      </w:r>
    </w:p>
    <w:p w14:paraId="7E522B48">
      <w:pPr>
        <w:numPr>
          <w:ilvl w:val="1"/>
          <w:numId w:val="7"/>
        </w:numPr>
        <w:tabs>
          <w:tab w:val="left" w:pos="0"/>
          <w:tab w:val="left" w:pos="136"/>
        </w:tabs>
        <w:autoSpaceDE w:val="0"/>
        <w:autoSpaceDN w:val="0"/>
        <w:spacing w:line="360" w:lineRule="auto"/>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《吸附法工业有机废气治理工程技术规范》（HJ 2026-2013）；</w:t>
      </w:r>
    </w:p>
    <w:p w14:paraId="5ABA70AC">
      <w:pPr>
        <w:numPr>
          <w:ilvl w:val="1"/>
          <w:numId w:val="7"/>
        </w:numPr>
        <w:tabs>
          <w:tab w:val="left" w:pos="0"/>
          <w:tab w:val="left" w:pos="136"/>
        </w:tabs>
        <w:autoSpaceDE w:val="0"/>
        <w:autoSpaceDN w:val="0"/>
        <w:spacing w:line="360" w:lineRule="auto"/>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《挥发性有机物无组织排放控制标准》（GB 37822—2019）；</w:t>
      </w:r>
    </w:p>
    <w:p w14:paraId="4597900B">
      <w:pPr>
        <w:numPr>
          <w:ilvl w:val="1"/>
          <w:numId w:val="7"/>
        </w:numPr>
        <w:tabs>
          <w:tab w:val="left" w:pos="0"/>
          <w:tab w:val="left" w:pos="136"/>
        </w:tabs>
        <w:autoSpaceDE w:val="0"/>
        <w:autoSpaceDN w:val="0"/>
        <w:spacing w:line="360" w:lineRule="auto"/>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kern w:val="0"/>
          <w:sz w:val="24"/>
          <w:szCs w:val="24"/>
          <w:u w:val="none" w:color="auto"/>
        </w:rPr>
        <w:t>《低挥发性有机化合物含量涂料产品技术要求》（GB/T 38597-2020）。</w:t>
      </w:r>
    </w:p>
    <w:p w14:paraId="036D8A05">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46" w:name="_Toc3728121"/>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建设项目有关文件</w:t>
      </w:r>
      <w:bookmarkEnd w:id="46"/>
    </w:p>
    <w:p w14:paraId="1AE10092">
      <w:pPr>
        <w:tabs>
          <w:tab w:val="left" w:pos="0"/>
          <w:tab w:val="left" w:pos="136"/>
        </w:tabs>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1</w:t>
      </w:r>
      <w:r>
        <w:rPr>
          <w:rFonts w:hint="eastAsia" w:ascii="Times New Roman" w:hAnsi="Times New Roman" w:eastAsia="宋体" w:cs="Times New Roman"/>
          <w:color w:val="auto"/>
          <w:kern w:val="0"/>
          <w:sz w:val="24"/>
          <w:szCs w:val="20"/>
          <w:u w:val="none" w:color="auto"/>
        </w:rPr>
        <w:t>、</w:t>
      </w:r>
      <w:r>
        <w:rPr>
          <w:rFonts w:ascii="Times New Roman" w:hAnsi="Times New Roman" w:eastAsia="宋体" w:cs="Times New Roman"/>
          <w:color w:val="auto"/>
          <w:kern w:val="0"/>
          <w:sz w:val="24"/>
          <w:szCs w:val="20"/>
          <w:u w:val="none" w:color="auto"/>
        </w:rPr>
        <w:t>环境影响评价委托书；</w:t>
      </w:r>
    </w:p>
    <w:p w14:paraId="2DF4D4BE">
      <w:pPr>
        <w:tabs>
          <w:tab w:val="left" w:pos="0"/>
          <w:tab w:val="left" w:pos="136"/>
        </w:tabs>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2</w:t>
      </w:r>
      <w:r>
        <w:rPr>
          <w:rFonts w:hint="eastAsia" w:ascii="Times New Roman" w:hAnsi="Times New Roman" w:eastAsia="宋体" w:cs="Times New Roman"/>
          <w:color w:val="auto"/>
          <w:kern w:val="0"/>
          <w:sz w:val="24"/>
          <w:szCs w:val="20"/>
          <w:u w:val="none" w:color="auto"/>
        </w:rPr>
        <w:t>、</w:t>
      </w:r>
      <w:r>
        <w:rPr>
          <w:rFonts w:ascii="Times New Roman" w:hAnsi="Times New Roman" w:eastAsia="宋体" w:cs="Times New Roman"/>
          <w:color w:val="auto"/>
          <w:kern w:val="0"/>
          <w:sz w:val="24"/>
          <w:szCs w:val="20"/>
          <w:u w:val="none" w:color="auto"/>
        </w:rPr>
        <w:t>《</w:t>
      </w:r>
      <w:r>
        <w:rPr>
          <w:rFonts w:hint="eastAsia" w:ascii="Times New Roman" w:hAnsi="Times New Roman" w:eastAsia="宋体" w:cs="Times New Roman"/>
          <w:color w:val="auto"/>
          <w:kern w:val="0"/>
          <w:sz w:val="24"/>
          <w:szCs w:val="20"/>
          <w:u w:val="none" w:color="auto"/>
          <w:lang w:eastAsia="zh-CN"/>
        </w:rPr>
        <w:t>钦州锦峰海洋重装二期项目</w:t>
      </w:r>
      <w:r>
        <w:rPr>
          <w:rFonts w:ascii="Times New Roman" w:hAnsi="Times New Roman" w:eastAsia="宋体" w:cs="Times New Roman"/>
          <w:color w:val="auto"/>
          <w:kern w:val="0"/>
          <w:sz w:val="24"/>
          <w:szCs w:val="20"/>
          <w:u w:val="none" w:color="auto"/>
        </w:rPr>
        <w:t>可行性研究报告》</w:t>
      </w:r>
      <w:r>
        <w:rPr>
          <w:rFonts w:hint="eastAsia" w:ascii="Times New Roman" w:hAnsi="Times New Roman" w:eastAsia="宋体" w:cs="Times New Roman"/>
          <w:color w:val="auto"/>
          <w:kern w:val="0"/>
          <w:sz w:val="24"/>
          <w:szCs w:val="20"/>
          <w:u w:val="none" w:color="auto"/>
        </w:rPr>
        <w:t>；</w:t>
      </w:r>
    </w:p>
    <w:p w14:paraId="2D761823">
      <w:pPr>
        <w:tabs>
          <w:tab w:val="left" w:pos="0"/>
          <w:tab w:val="left" w:pos="136"/>
        </w:tabs>
        <w:autoSpaceDE w:val="0"/>
        <w:autoSpaceDN w:val="0"/>
        <w:spacing w:line="360" w:lineRule="auto"/>
        <w:ind w:firstLine="480" w:firstLineChars="200"/>
        <w:jc w:val="left"/>
        <w:rPr>
          <w:rFonts w:eastAsia="宋体"/>
          <w:color w:val="auto"/>
          <w:u w:val="none" w:color="auto"/>
        </w:rPr>
      </w:pPr>
      <w:r>
        <w:rPr>
          <w:rFonts w:hint="eastAsia" w:ascii="Times New Roman" w:hAnsi="Times New Roman" w:eastAsia="宋体" w:cs="Times New Roman"/>
          <w:color w:val="auto"/>
          <w:kern w:val="0"/>
          <w:sz w:val="24"/>
          <w:szCs w:val="20"/>
          <w:u w:val="none" w:color="auto"/>
        </w:rPr>
        <w:t>3、</w:t>
      </w:r>
      <w:r>
        <w:rPr>
          <w:rFonts w:ascii="Times New Roman" w:hAnsi="Times New Roman" w:eastAsia="宋体" w:cs="Times New Roman"/>
          <w:color w:val="auto"/>
          <w:kern w:val="0"/>
          <w:sz w:val="24"/>
          <w:szCs w:val="20"/>
          <w:u w:val="none" w:color="auto"/>
        </w:rPr>
        <w:t>本项目有关的其他基础资料</w:t>
      </w:r>
      <w:r>
        <w:rPr>
          <w:rFonts w:hint="eastAsia" w:ascii="Times New Roman" w:hAnsi="Times New Roman" w:eastAsia="宋体" w:cs="Times New Roman"/>
          <w:color w:val="auto"/>
          <w:kern w:val="0"/>
          <w:sz w:val="24"/>
          <w:szCs w:val="20"/>
          <w:u w:val="none" w:color="auto"/>
        </w:rPr>
        <w:t>。</w:t>
      </w:r>
    </w:p>
    <w:p w14:paraId="25BA434F">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47" w:name="_Toc496532774"/>
      <w:bookmarkStart w:id="48" w:name="_Toc2265"/>
      <w:bookmarkStart w:id="49" w:name="_Toc499545543"/>
      <w:bookmarkStart w:id="50" w:name="_Toc496532218"/>
      <w:bookmarkStart w:id="51" w:name="_Toc3728122"/>
      <w:bookmarkStart w:id="52" w:name="_Toc491908300"/>
      <w:bookmarkStart w:id="53" w:name="_Toc530130408"/>
      <w:bookmarkStart w:id="54" w:name="_Toc496211392"/>
      <w:bookmarkStart w:id="55" w:name="_Toc15222"/>
      <w:bookmarkStart w:id="56" w:name="_Toc492576137"/>
      <w:bookmarkStart w:id="57" w:name="_Toc492078192"/>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.2评价目的、原则</w:t>
      </w:r>
      <w:bookmarkEnd w:id="47"/>
      <w:bookmarkEnd w:id="48"/>
      <w:bookmarkEnd w:id="49"/>
      <w:bookmarkEnd w:id="50"/>
      <w:bookmarkEnd w:id="51"/>
      <w:bookmarkEnd w:id="52"/>
      <w:bookmarkEnd w:id="53"/>
      <w:bookmarkEnd w:id="54"/>
      <w:bookmarkEnd w:id="55"/>
      <w:bookmarkEnd w:id="56"/>
      <w:bookmarkEnd w:id="57"/>
    </w:p>
    <w:p w14:paraId="573E884C">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bCs/>
          <w:color w:val="auto"/>
          <w:kern w:val="0"/>
          <w:sz w:val="28"/>
          <w:szCs w:val="32"/>
          <w:u w:val="none" w:color="auto"/>
        </w:rPr>
      </w:pPr>
      <w:bookmarkStart w:id="58" w:name="_Toc499545544"/>
      <w:bookmarkStart w:id="59" w:name="_Toc496532219"/>
      <w:bookmarkStart w:id="60" w:name="_Toc3728123"/>
      <w:bookmarkStart w:id="61" w:name="_Toc492576138"/>
      <w:bookmarkStart w:id="62" w:name="_Toc492078193"/>
      <w:bookmarkStart w:id="63" w:name="_Toc496532775"/>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.2.1评价目的</w:t>
      </w:r>
      <w:bookmarkEnd w:id="58"/>
      <w:bookmarkEnd w:id="59"/>
      <w:bookmarkEnd w:id="60"/>
      <w:bookmarkEnd w:id="61"/>
      <w:bookmarkEnd w:id="62"/>
      <w:bookmarkEnd w:id="63"/>
    </w:p>
    <w:p w14:paraId="7740B969">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1）通过对项目所在地周围环境现状调查，明确评价范围内的环境敏感目标；通过环境质量现状的监测和调查，了解项目周围环境质量现状，说明区域目前存在的主要环境问题，并为项目的建设期和运行期的环境影响分析提供背景资料。</w:t>
      </w:r>
    </w:p>
    <w:p w14:paraId="7AF4BB45">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（2）通过调研、类比分析和物料平衡等手段，弄清本次项目的“三废”产排污量和排放规律，核定项目污染物排放总量，同时，为项目的环境影响预测及评价提供基础资料。</w:t>
      </w:r>
    </w:p>
    <w:p w14:paraId="43F68F41">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（3）预测和评价项目实施后对项目所在区域环境的影响范围及程度。</w:t>
      </w:r>
    </w:p>
    <w:p w14:paraId="471CFCE3">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（4）根据环境影响分析预测，有针对性的提出项目建设与营运过程中减轻污染切实可行的环保工程措施及环境管理措施;</w:t>
      </w:r>
    </w:p>
    <w:p w14:paraId="27A46120">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5）分析论证建设项目与国家产业发展政策、环境保护政策、环境保护规划以及地方城市发展总体规划的相容性，从环境保护角度对本项目建设的可行性做出明确结论，为当地环保管理部门和建设单位进行环境管理提供科学的依据、为建设单位和设计单位优化设计提供科学的依据。</w:t>
      </w:r>
    </w:p>
    <w:p w14:paraId="78C620B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64" w:name="_Toc499545545"/>
      <w:bookmarkStart w:id="65" w:name="_Toc492078194"/>
      <w:bookmarkStart w:id="66" w:name="_Toc496532220"/>
      <w:bookmarkStart w:id="67" w:name="_Toc492576139"/>
      <w:bookmarkStart w:id="68" w:name="_Toc496532776"/>
      <w:bookmarkStart w:id="69" w:name="_Toc3728124"/>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.2.2评价原则</w:t>
      </w:r>
      <w:bookmarkEnd w:id="64"/>
      <w:bookmarkEnd w:id="65"/>
      <w:bookmarkEnd w:id="66"/>
      <w:bookmarkEnd w:id="67"/>
      <w:bookmarkEnd w:id="68"/>
      <w:bookmarkEnd w:id="69"/>
    </w:p>
    <w:p w14:paraId="698472D2">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（1）严格遵循《中华人民共和国环境影响评价法》和国家现行有关环境保护法律、法规，认真贯彻执行国家产业发展政策和规划；</w:t>
      </w:r>
    </w:p>
    <w:p w14:paraId="6D0F6CCA">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（2）认真贯彻执行“污染源达标排放”及“污染物排放总量控制”等环境保护政策、法规及规定；</w:t>
      </w:r>
    </w:p>
    <w:p w14:paraId="5B2157A1">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（3）坚持为工程项目建设的优化和决策服务，为环境管理服务，注重环评工作的政策性、针对性、公正性及实用性；</w:t>
      </w:r>
    </w:p>
    <w:p w14:paraId="73A9463E">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（4）评价内容要重点突出、结论明确、对策可行。</w:t>
      </w:r>
    </w:p>
    <w:p w14:paraId="6CE2ACB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70" w:name="_Toc3728125"/>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.2.3评价重点</w:t>
      </w:r>
      <w:bookmarkEnd w:id="70"/>
    </w:p>
    <w:p w14:paraId="7026C4B1">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根据工程的环境影响特点和区域环境情况，确定本项目评价重点如下：</w:t>
      </w:r>
    </w:p>
    <w:p w14:paraId="32B9896E">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1）工程分析；</w:t>
      </w:r>
    </w:p>
    <w:p w14:paraId="2AF8379B">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2）环保措施分析；</w:t>
      </w:r>
    </w:p>
    <w:p w14:paraId="609DF0AF">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3）大气环境影响评价；</w:t>
      </w:r>
    </w:p>
    <w:p w14:paraId="36F67C08">
      <w:pPr>
        <w:autoSpaceDE w:val="0"/>
        <w:autoSpaceDN w:val="0"/>
        <w:spacing w:line="360" w:lineRule="auto"/>
        <w:ind w:firstLine="48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4）环境风险评价。</w:t>
      </w:r>
    </w:p>
    <w:p w14:paraId="237A2D7E">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71" w:name="_Toc11226"/>
      <w:bookmarkStart w:id="72" w:name="_Toc3728131"/>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rPr>
        <w:t>3</w:t>
      </w:r>
      <w:r>
        <w:rPr>
          <w:rFonts w:ascii="Times New Roman" w:hAnsi="Times New Roman" w:eastAsia="宋体" w:cs="Times New Roman"/>
          <w:b/>
          <w:color w:val="auto"/>
          <w:kern w:val="0"/>
          <w:sz w:val="32"/>
          <w:szCs w:val="32"/>
          <w:u w:val="none" w:color="auto"/>
        </w:rPr>
        <w:t>评价因子</w:t>
      </w:r>
      <w:bookmarkEnd w:id="71"/>
      <w:bookmarkEnd w:id="72"/>
    </w:p>
    <w:p w14:paraId="64270AF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73" w:name="_Toc3728132"/>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.1环境影响识别</w:t>
      </w:r>
      <w:bookmarkEnd w:id="73"/>
    </w:p>
    <w:p w14:paraId="5DB60DB9">
      <w:pPr>
        <w:autoSpaceDE w:val="0"/>
        <w:autoSpaceDN w:val="0"/>
        <w:spacing w:line="360" w:lineRule="auto"/>
        <w:ind w:firstLine="480" w:firstLineChars="200"/>
        <w:jc w:val="left"/>
        <w:rPr>
          <w:rFonts w:ascii="Times New Roman" w:hAnsi="Times New Roman" w:eastAsia="宋体" w:cs="Times New Roman"/>
          <w:color w:val="auto"/>
          <w:kern w:val="0"/>
          <w:sz w:val="24"/>
          <w:u w:val="none" w:color="auto"/>
        </w:rPr>
      </w:pPr>
      <w:r>
        <w:rPr>
          <w:rFonts w:ascii="Times New Roman" w:hAnsi="Times New Roman" w:eastAsia="宋体" w:cs="Times New Roman"/>
          <w:color w:val="auto"/>
          <w:kern w:val="0"/>
          <w:sz w:val="24"/>
          <w:u w:val="none" w:color="auto"/>
        </w:rPr>
        <w:t>根据项目的污染物排放特征及所在区域的环境特征，本项目的环境影响因素识别详见表</w:t>
      </w:r>
      <w:r>
        <w:rPr>
          <w:rFonts w:hint="eastAsia" w:ascii="Times New Roman" w:hAnsi="Times New Roman" w:eastAsia="宋体" w:cs="Times New Roman"/>
          <w:color w:val="auto"/>
          <w:kern w:val="0"/>
          <w:sz w:val="24"/>
          <w:u w:val="none" w:color="auto"/>
        </w:rPr>
        <w:t>1</w:t>
      </w:r>
      <w:r>
        <w:rPr>
          <w:rFonts w:ascii="Times New Roman" w:hAnsi="Times New Roman" w:eastAsia="宋体" w:cs="Times New Roman"/>
          <w:color w:val="auto"/>
          <w:kern w:val="0"/>
          <w:sz w:val="24"/>
          <w:u w:val="none" w:color="auto"/>
        </w:rPr>
        <w:t>.</w:t>
      </w:r>
      <w:r>
        <w:rPr>
          <w:rFonts w:hint="eastAsia" w:ascii="Times New Roman" w:hAnsi="Times New Roman" w:eastAsia="宋体" w:cs="Times New Roman"/>
          <w:color w:val="auto"/>
          <w:kern w:val="0"/>
          <w:sz w:val="24"/>
          <w:u w:val="none" w:color="auto"/>
        </w:rPr>
        <w:t>3</w:t>
      </w:r>
      <w:r>
        <w:rPr>
          <w:rFonts w:ascii="Times New Roman" w:hAnsi="Times New Roman" w:eastAsia="宋体" w:cs="Times New Roman"/>
          <w:color w:val="auto"/>
          <w:kern w:val="0"/>
          <w:sz w:val="24"/>
          <w:u w:val="none" w:color="auto"/>
        </w:rPr>
        <w:t>-1。</w:t>
      </w:r>
    </w:p>
    <w:p w14:paraId="7002B5DF">
      <w:pPr>
        <w:autoSpaceDE w:val="0"/>
        <w:autoSpaceDN w:val="0"/>
        <w:adjustRightIn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表</w:t>
      </w:r>
      <w:r>
        <w:rPr>
          <w:rFonts w:hint="eastAsia" w:ascii="Times New Roman" w:hAnsi="Times New Roman" w:eastAsia="宋体" w:cs="Times New Roman"/>
          <w:b/>
          <w:color w:val="auto"/>
          <w:kern w:val="0"/>
          <w:szCs w:val="20"/>
          <w:u w:val="none" w:color="auto"/>
        </w:rPr>
        <w:t>1</w:t>
      </w:r>
      <w:r>
        <w:rPr>
          <w:rFonts w:ascii="Times New Roman" w:hAnsi="Times New Roman" w:eastAsia="宋体" w:cs="Times New Roman"/>
          <w:b/>
          <w:color w:val="auto"/>
          <w:kern w:val="0"/>
          <w:szCs w:val="20"/>
          <w:u w:val="none" w:color="auto"/>
        </w:rPr>
        <w:t>.</w:t>
      </w:r>
      <w:r>
        <w:rPr>
          <w:rFonts w:hint="eastAsia" w:ascii="Times New Roman" w:hAnsi="Times New Roman" w:eastAsia="宋体" w:cs="Times New Roman"/>
          <w:b/>
          <w:color w:val="auto"/>
          <w:kern w:val="0"/>
          <w:szCs w:val="20"/>
          <w:u w:val="none" w:color="auto"/>
        </w:rPr>
        <w:t>3</w:t>
      </w:r>
      <w:r>
        <w:rPr>
          <w:rFonts w:ascii="Times New Roman" w:hAnsi="Times New Roman" w:eastAsia="宋体" w:cs="Times New Roman"/>
          <w:b/>
          <w:color w:val="auto"/>
          <w:kern w:val="0"/>
          <w:szCs w:val="20"/>
          <w:u w:val="none" w:color="auto"/>
        </w:rPr>
        <w:t>-1环境影响因子识别矩阵表</w:t>
      </w:r>
    </w:p>
    <w:tbl>
      <w:tblPr>
        <w:tblStyle w:val="37"/>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585"/>
        <w:gridCol w:w="1133"/>
        <w:gridCol w:w="1131"/>
        <w:gridCol w:w="1131"/>
        <w:gridCol w:w="1132"/>
        <w:gridCol w:w="1131"/>
      </w:tblGrid>
      <w:tr w14:paraId="5E826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217" w:type="dxa"/>
            <w:tcBorders>
              <w:top w:val="single" w:color="auto" w:sz="4" w:space="0"/>
              <w:left w:val="single" w:color="auto" w:sz="4" w:space="0"/>
              <w:bottom w:val="single" w:color="auto" w:sz="4" w:space="0"/>
              <w:right w:val="single" w:color="auto" w:sz="4" w:space="0"/>
            </w:tcBorders>
            <w:vAlign w:val="center"/>
          </w:tcPr>
          <w:p w14:paraId="5E8EFCC2">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工程</w:t>
            </w:r>
          </w:p>
          <w:p w14:paraId="2808D94D">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阶段</w:t>
            </w:r>
          </w:p>
        </w:tc>
        <w:tc>
          <w:tcPr>
            <w:tcW w:w="1585" w:type="dxa"/>
            <w:tcBorders>
              <w:top w:val="single" w:color="auto" w:sz="4" w:space="0"/>
              <w:left w:val="single" w:color="auto" w:sz="4" w:space="0"/>
              <w:bottom w:val="single" w:color="auto" w:sz="4" w:space="0"/>
              <w:right w:val="single" w:color="auto" w:sz="4" w:space="0"/>
            </w:tcBorders>
            <w:vAlign w:val="center"/>
          </w:tcPr>
          <w:p w14:paraId="18C3E1D9">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影响因素</w:t>
            </w:r>
          </w:p>
        </w:tc>
        <w:tc>
          <w:tcPr>
            <w:tcW w:w="1133" w:type="dxa"/>
            <w:tcBorders>
              <w:top w:val="single" w:color="auto" w:sz="4" w:space="0"/>
              <w:left w:val="single" w:color="auto" w:sz="4" w:space="0"/>
              <w:bottom w:val="single" w:color="auto" w:sz="4" w:space="0"/>
              <w:right w:val="single" w:color="auto" w:sz="4" w:space="0"/>
            </w:tcBorders>
            <w:vAlign w:val="center"/>
          </w:tcPr>
          <w:p w14:paraId="727392D4">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环境</w:t>
            </w:r>
          </w:p>
          <w:p w14:paraId="5195199C">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空气</w:t>
            </w:r>
          </w:p>
        </w:tc>
        <w:tc>
          <w:tcPr>
            <w:tcW w:w="1131" w:type="dxa"/>
            <w:tcBorders>
              <w:top w:val="single" w:color="auto" w:sz="4" w:space="0"/>
              <w:left w:val="single" w:color="auto" w:sz="4" w:space="0"/>
              <w:bottom w:val="single" w:color="auto" w:sz="4" w:space="0"/>
              <w:right w:val="single" w:color="auto" w:sz="4" w:space="0"/>
            </w:tcBorders>
            <w:vAlign w:val="center"/>
          </w:tcPr>
          <w:p w14:paraId="73D8EC1E">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水环境</w:t>
            </w:r>
          </w:p>
        </w:tc>
        <w:tc>
          <w:tcPr>
            <w:tcW w:w="1131" w:type="dxa"/>
            <w:tcBorders>
              <w:top w:val="single" w:color="auto" w:sz="4" w:space="0"/>
              <w:left w:val="single" w:color="auto" w:sz="4" w:space="0"/>
              <w:bottom w:val="single" w:color="auto" w:sz="4" w:space="0"/>
              <w:right w:val="single" w:color="auto" w:sz="4" w:space="0"/>
            </w:tcBorders>
            <w:vAlign w:val="center"/>
          </w:tcPr>
          <w:p w14:paraId="2F521B16">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声环境</w:t>
            </w:r>
          </w:p>
        </w:tc>
        <w:tc>
          <w:tcPr>
            <w:tcW w:w="1132" w:type="dxa"/>
            <w:tcBorders>
              <w:top w:val="single" w:color="auto" w:sz="4" w:space="0"/>
              <w:left w:val="single" w:color="auto" w:sz="4" w:space="0"/>
              <w:bottom w:val="single" w:color="auto" w:sz="4" w:space="0"/>
              <w:right w:val="single" w:color="auto" w:sz="4" w:space="0"/>
            </w:tcBorders>
            <w:vAlign w:val="center"/>
          </w:tcPr>
          <w:p w14:paraId="58899E54">
            <w:pPr>
              <w:autoSpaceDE w:val="0"/>
              <w:autoSpaceDN w:val="0"/>
              <w:jc w:val="center"/>
              <w:rPr>
                <w:rFonts w:ascii="Times New Roman" w:hAnsi="Times New Roman" w:eastAsia="宋体" w:cs="Times New Roman"/>
                <w:b/>
                <w:color w:val="auto"/>
                <w:u w:val="none" w:color="auto"/>
              </w:rPr>
            </w:pPr>
            <w:r>
              <w:rPr>
                <w:rFonts w:hint="eastAsia" w:ascii="Times New Roman" w:hAnsi="Times New Roman" w:eastAsia="宋体" w:cs="Times New Roman"/>
                <w:b/>
                <w:color w:val="auto"/>
                <w:u w:val="none" w:color="auto"/>
              </w:rPr>
              <w:t>土壤环境</w:t>
            </w:r>
          </w:p>
        </w:tc>
        <w:tc>
          <w:tcPr>
            <w:tcW w:w="1131" w:type="dxa"/>
            <w:tcBorders>
              <w:top w:val="single" w:color="auto" w:sz="4" w:space="0"/>
              <w:left w:val="single" w:color="auto" w:sz="4" w:space="0"/>
              <w:bottom w:val="single" w:color="auto" w:sz="4" w:space="0"/>
              <w:right w:val="single" w:color="auto" w:sz="4" w:space="0"/>
            </w:tcBorders>
            <w:vAlign w:val="center"/>
          </w:tcPr>
          <w:p w14:paraId="5F035F54">
            <w:pPr>
              <w:autoSpaceDE w:val="0"/>
              <w:autoSpaceDN w:val="0"/>
              <w:jc w:val="center"/>
              <w:rPr>
                <w:rFonts w:ascii="Times New Roman" w:hAnsi="Times New Roman" w:eastAsia="宋体" w:cs="Times New Roman"/>
                <w:b/>
                <w:color w:val="auto"/>
                <w:u w:val="none" w:color="auto"/>
              </w:rPr>
            </w:pPr>
            <w:r>
              <w:rPr>
                <w:rFonts w:hint="eastAsia" w:ascii="Times New Roman" w:hAnsi="Times New Roman" w:eastAsia="宋体" w:cs="Times New Roman"/>
                <w:b/>
                <w:color w:val="auto"/>
                <w:u w:val="none" w:color="auto"/>
              </w:rPr>
              <w:t>生态环境</w:t>
            </w:r>
          </w:p>
        </w:tc>
      </w:tr>
      <w:tr w14:paraId="026CB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restart"/>
            <w:tcBorders>
              <w:top w:val="single" w:color="auto" w:sz="4" w:space="0"/>
              <w:left w:val="single" w:color="auto" w:sz="4" w:space="0"/>
              <w:bottom w:val="single" w:color="auto" w:sz="4" w:space="0"/>
              <w:right w:val="single" w:color="auto" w:sz="4" w:space="0"/>
            </w:tcBorders>
            <w:vAlign w:val="center"/>
          </w:tcPr>
          <w:p w14:paraId="1D26BD26">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施工期</w:t>
            </w:r>
          </w:p>
        </w:tc>
        <w:tc>
          <w:tcPr>
            <w:tcW w:w="1585" w:type="dxa"/>
            <w:tcBorders>
              <w:top w:val="single" w:color="auto" w:sz="4" w:space="0"/>
              <w:left w:val="single" w:color="auto" w:sz="4" w:space="0"/>
              <w:bottom w:val="single" w:color="auto" w:sz="4" w:space="0"/>
              <w:right w:val="single" w:color="auto" w:sz="4" w:space="0"/>
            </w:tcBorders>
            <w:vAlign w:val="center"/>
          </w:tcPr>
          <w:p w14:paraId="3BF71D2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废水</w:t>
            </w:r>
          </w:p>
        </w:tc>
        <w:tc>
          <w:tcPr>
            <w:tcW w:w="1133" w:type="dxa"/>
            <w:tcBorders>
              <w:top w:val="single" w:color="auto" w:sz="4" w:space="0"/>
              <w:left w:val="single" w:color="auto" w:sz="4" w:space="0"/>
              <w:bottom w:val="single" w:color="auto" w:sz="4" w:space="0"/>
              <w:right w:val="single" w:color="auto" w:sz="4" w:space="0"/>
            </w:tcBorders>
            <w:vAlign w:val="center"/>
          </w:tcPr>
          <w:p w14:paraId="4F6E944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76616A2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6C12AC75">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2FEF269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2D144D0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30190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2E21A5BC">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327944B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废气</w:t>
            </w:r>
          </w:p>
        </w:tc>
        <w:tc>
          <w:tcPr>
            <w:tcW w:w="1133" w:type="dxa"/>
            <w:tcBorders>
              <w:top w:val="single" w:color="auto" w:sz="4" w:space="0"/>
              <w:left w:val="single" w:color="auto" w:sz="4" w:space="0"/>
              <w:bottom w:val="single" w:color="auto" w:sz="4" w:space="0"/>
              <w:right w:val="single" w:color="auto" w:sz="4" w:space="0"/>
            </w:tcBorders>
            <w:vAlign w:val="center"/>
          </w:tcPr>
          <w:p w14:paraId="64D61A4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23EA151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6240FBB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7F38B09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0E6969F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7569A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482A8C7B">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672A65E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噪声</w:t>
            </w:r>
          </w:p>
        </w:tc>
        <w:tc>
          <w:tcPr>
            <w:tcW w:w="1133" w:type="dxa"/>
            <w:tcBorders>
              <w:top w:val="single" w:color="auto" w:sz="4" w:space="0"/>
              <w:left w:val="single" w:color="auto" w:sz="4" w:space="0"/>
              <w:bottom w:val="single" w:color="auto" w:sz="4" w:space="0"/>
              <w:right w:val="single" w:color="auto" w:sz="4" w:space="0"/>
            </w:tcBorders>
            <w:vAlign w:val="center"/>
          </w:tcPr>
          <w:p w14:paraId="1E45CC4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15D43FB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6C60A61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1C1B7687">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009B223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47CB0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7E3228D7">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2EE1E9E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固体废物</w:t>
            </w:r>
          </w:p>
        </w:tc>
        <w:tc>
          <w:tcPr>
            <w:tcW w:w="1133" w:type="dxa"/>
            <w:tcBorders>
              <w:top w:val="single" w:color="auto" w:sz="4" w:space="0"/>
              <w:left w:val="single" w:color="auto" w:sz="4" w:space="0"/>
              <w:bottom w:val="single" w:color="auto" w:sz="4" w:space="0"/>
              <w:right w:val="single" w:color="auto" w:sz="4" w:space="0"/>
            </w:tcBorders>
            <w:vAlign w:val="center"/>
          </w:tcPr>
          <w:p w14:paraId="2C9E602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531D40A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768FE98F">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5362AB0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4889AF3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4C5A2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restart"/>
            <w:tcBorders>
              <w:top w:val="single" w:color="auto" w:sz="4" w:space="0"/>
              <w:left w:val="single" w:color="auto" w:sz="4" w:space="0"/>
              <w:bottom w:val="single" w:color="auto" w:sz="4" w:space="0"/>
              <w:right w:val="single" w:color="auto" w:sz="4" w:space="0"/>
            </w:tcBorders>
            <w:vAlign w:val="center"/>
          </w:tcPr>
          <w:p w14:paraId="738998B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运营期</w:t>
            </w:r>
          </w:p>
        </w:tc>
        <w:tc>
          <w:tcPr>
            <w:tcW w:w="1585" w:type="dxa"/>
            <w:tcBorders>
              <w:top w:val="single" w:color="auto" w:sz="4" w:space="0"/>
              <w:left w:val="single" w:color="auto" w:sz="4" w:space="0"/>
              <w:bottom w:val="single" w:color="auto" w:sz="4" w:space="0"/>
              <w:right w:val="single" w:color="auto" w:sz="4" w:space="0"/>
            </w:tcBorders>
            <w:vAlign w:val="center"/>
          </w:tcPr>
          <w:p w14:paraId="263E96B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废水</w:t>
            </w:r>
          </w:p>
        </w:tc>
        <w:tc>
          <w:tcPr>
            <w:tcW w:w="1133" w:type="dxa"/>
            <w:tcBorders>
              <w:top w:val="single" w:color="auto" w:sz="4" w:space="0"/>
              <w:left w:val="single" w:color="auto" w:sz="4" w:space="0"/>
              <w:bottom w:val="single" w:color="auto" w:sz="4" w:space="0"/>
              <w:right w:val="single" w:color="auto" w:sz="4" w:space="0"/>
            </w:tcBorders>
            <w:vAlign w:val="center"/>
          </w:tcPr>
          <w:p w14:paraId="502706A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76E67BA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732C2A0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6863CEA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131F9BF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467A0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030AFCCB">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7237CE6C">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废气</w:t>
            </w:r>
          </w:p>
        </w:tc>
        <w:tc>
          <w:tcPr>
            <w:tcW w:w="1133" w:type="dxa"/>
            <w:tcBorders>
              <w:top w:val="single" w:color="auto" w:sz="4" w:space="0"/>
              <w:left w:val="single" w:color="auto" w:sz="4" w:space="0"/>
              <w:bottom w:val="single" w:color="auto" w:sz="4" w:space="0"/>
              <w:right w:val="single" w:color="auto" w:sz="4" w:space="0"/>
            </w:tcBorders>
            <w:vAlign w:val="center"/>
          </w:tcPr>
          <w:p w14:paraId="6437361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16339EDC">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244808F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5BB28DD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2F4FCA65">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6A082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478AC0FB">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7280DBD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噪声</w:t>
            </w:r>
          </w:p>
        </w:tc>
        <w:tc>
          <w:tcPr>
            <w:tcW w:w="1133" w:type="dxa"/>
            <w:tcBorders>
              <w:top w:val="single" w:color="auto" w:sz="4" w:space="0"/>
              <w:left w:val="single" w:color="auto" w:sz="4" w:space="0"/>
              <w:bottom w:val="single" w:color="auto" w:sz="4" w:space="0"/>
              <w:right w:val="single" w:color="auto" w:sz="4" w:space="0"/>
            </w:tcBorders>
            <w:vAlign w:val="center"/>
          </w:tcPr>
          <w:p w14:paraId="23C944A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3D1F0EE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5C04CA1F">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462249F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611BD44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r w14:paraId="065C8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217" w:type="dxa"/>
            <w:vMerge w:val="continue"/>
            <w:tcBorders>
              <w:top w:val="single" w:color="auto" w:sz="4" w:space="0"/>
              <w:left w:val="single" w:color="auto" w:sz="4" w:space="0"/>
              <w:bottom w:val="single" w:color="auto" w:sz="4" w:space="0"/>
              <w:right w:val="single" w:color="auto" w:sz="4" w:space="0"/>
            </w:tcBorders>
            <w:vAlign w:val="center"/>
          </w:tcPr>
          <w:p w14:paraId="0F5220BE">
            <w:pPr>
              <w:autoSpaceDE w:val="0"/>
              <w:autoSpaceDN w:val="0"/>
              <w:jc w:val="center"/>
              <w:rPr>
                <w:rFonts w:ascii="Times New Roman" w:hAnsi="Times New Roman" w:eastAsia="宋体" w:cs="Times New Roman"/>
                <w:color w:val="auto"/>
                <w:u w:val="none" w:color="auto"/>
              </w:rPr>
            </w:pPr>
          </w:p>
        </w:tc>
        <w:tc>
          <w:tcPr>
            <w:tcW w:w="1585" w:type="dxa"/>
            <w:tcBorders>
              <w:top w:val="single" w:color="auto" w:sz="4" w:space="0"/>
              <w:left w:val="single" w:color="auto" w:sz="4" w:space="0"/>
              <w:bottom w:val="single" w:color="auto" w:sz="4" w:space="0"/>
              <w:right w:val="single" w:color="auto" w:sz="4" w:space="0"/>
            </w:tcBorders>
            <w:vAlign w:val="center"/>
          </w:tcPr>
          <w:p w14:paraId="14449BE5">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固体废物</w:t>
            </w:r>
          </w:p>
        </w:tc>
        <w:tc>
          <w:tcPr>
            <w:tcW w:w="1133" w:type="dxa"/>
            <w:tcBorders>
              <w:top w:val="single" w:color="auto" w:sz="4" w:space="0"/>
              <w:left w:val="single" w:color="auto" w:sz="4" w:space="0"/>
              <w:bottom w:val="single" w:color="auto" w:sz="4" w:space="0"/>
              <w:right w:val="single" w:color="auto" w:sz="4" w:space="0"/>
            </w:tcBorders>
            <w:vAlign w:val="center"/>
          </w:tcPr>
          <w:p w14:paraId="1A13F28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5CA3D22C">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0BB1B08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02ACCE8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c>
          <w:tcPr>
            <w:tcW w:w="1131" w:type="dxa"/>
            <w:tcBorders>
              <w:top w:val="single" w:color="auto" w:sz="4" w:space="0"/>
              <w:left w:val="single" w:color="auto" w:sz="4" w:space="0"/>
              <w:bottom w:val="single" w:color="auto" w:sz="4" w:space="0"/>
              <w:right w:val="single" w:color="auto" w:sz="4" w:space="0"/>
            </w:tcBorders>
            <w:vAlign w:val="center"/>
          </w:tcPr>
          <w:p w14:paraId="5546EA1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w:t>
            </w:r>
          </w:p>
        </w:tc>
      </w:tr>
    </w:tbl>
    <w:p w14:paraId="6EC8D72C">
      <w:pPr>
        <w:autoSpaceDE w:val="0"/>
        <w:autoSpaceDN w:val="0"/>
        <w:spacing w:line="360" w:lineRule="auto"/>
        <w:jc w:val="left"/>
        <w:rPr>
          <w:rFonts w:ascii="Times New Roman" w:hAnsi="Times New Roman" w:eastAsia="宋体" w:cs="Times New Roman"/>
          <w:color w:val="auto"/>
          <w:kern w:val="0"/>
          <w:sz w:val="18"/>
          <w:szCs w:val="20"/>
          <w:u w:val="none" w:color="auto"/>
        </w:rPr>
      </w:pPr>
      <w:r>
        <w:rPr>
          <w:rFonts w:ascii="Times New Roman" w:hAnsi="Times New Roman" w:eastAsia="宋体" w:cs="Times New Roman"/>
          <w:color w:val="auto"/>
          <w:kern w:val="0"/>
          <w:sz w:val="18"/>
          <w:szCs w:val="20"/>
          <w:u w:val="none" w:color="auto"/>
        </w:rPr>
        <w:t>注：○无影响；◎一般不利影响；●中等不利影响；√严重不利影响。</w:t>
      </w:r>
      <w:bookmarkStart w:id="74" w:name="_Toc450648664"/>
    </w:p>
    <w:p w14:paraId="0B5CAC1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75" w:name="_Toc3728133"/>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.2评价因子筛选</w:t>
      </w:r>
      <w:bookmarkEnd w:id="74"/>
      <w:bookmarkEnd w:id="75"/>
    </w:p>
    <w:p w14:paraId="20030013">
      <w:pPr>
        <w:autoSpaceDE w:val="0"/>
        <w:autoSpaceDN w:val="0"/>
        <w:spacing w:line="360" w:lineRule="auto"/>
        <w:ind w:firstLine="480" w:firstLineChars="200"/>
        <w:jc w:val="left"/>
        <w:rPr>
          <w:rFonts w:ascii="Times New Roman" w:hAnsi="Times New Roman" w:eastAsia="宋体" w:cs="Times New Roman"/>
          <w:color w:val="auto"/>
          <w:kern w:val="0"/>
          <w:sz w:val="24"/>
          <w:u w:val="none" w:color="auto"/>
        </w:rPr>
      </w:pPr>
      <w:r>
        <w:rPr>
          <w:rFonts w:ascii="Times New Roman" w:hAnsi="Times New Roman" w:eastAsia="宋体" w:cs="Times New Roman"/>
          <w:color w:val="auto"/>
          <w:kern w:val="0"/>
          <w:sz w:val="24"/>
          <w:u w:val="none" w:color="auto"/>
        </w:rPr>
        <w:t>根据建设项目污染特征和周围环境因素，确定本项目的环境影响评价因子见表</w:t>
      </w:r>
      <w:r>
        <w:rPr>
          <w:rFonts w:hint="eastAsia" w:ascii="Times New Roman" w:hAnsi="Times New Roman" w:eastAsia="宋体" w:cs="Times New Roman"/>
          <w:color w:val="auto"/>
          <w:kern w:val="0"/>
          <w:sz w:val="24"/>
          <w:u w:val="none" w:color="auto"/>
        </w:rPr>
        <w:t>1</w:t>
      </w:r>
      <w:r>
        <w:rPr>
          <w:rFonts w:ascii="Times New Roman" w:hAnsi="Times New Roman" w:eastAsia="宋体" w:cs="Times New Roman"/>
          <w:color w:val="auto"/>
          <w:kern w:val="0"/>
          <w:sz w:val="24"/>
          <w:u w:val="none" w:color="auto"/>
        </w:rPr>
        <w:t>.</w:t>
      </w:r>
      <w:r>
        <w:rPr>
          <w:rFonts w:hint="eastAsia" w:ascii="Times New Roman" w:hAnsi="Times New Roman" w:eastAsia="宋体" w:cs="Times New Roman"/>
          <w:color w:val="auto"/>
          <w:kern w:val="0"/>
          <w:sz w:val="24"/>
          <w:u w:val="none" w:color="auto"/>
        </w:rPr>
        <w:t>3</w:t>
      </w:r>
      <w:r>
        <w:rPr>
          <w:rFonts w:ascii="Times New Roman" w:hAnsi="Times New Roman" w:eastAsia="宋体" w:cs="Times New Roman"/>
          <w:color w:val="auto"/>
          <w:kern w:val="0"/>
          <w:sz w:val="24"/>
          <w:u w:val="none" w:color="auto"/>
        </w:rPr>
        <w:t>-2。</w:t>
      </w:r>
    </w:p>
    <w:p w14:paraId="37477BFC">
      <w:pPr>
        <w:autoSpaceDE w:val="0"/>
        <w:autoSpaceDN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表</w:t>
      </w:r>
      <w:r>
        <w:rPr>
          <w:rFonts w:hint="eastAsia" w:ascii="Times New Roman" w:hAnsi="Times New Roman" w:eastAsia="宋体" w:cs="Times New Roman"/>
          <w:b/>
          <w:color w:val="auto"/>
          <w:kern w:val="0"/>
          <w:szCs w:val="20"/>
          <w:u w:val="none" w:color="auto"/>
        </w:rPr>
        <w:t>1</w:t>
      </w:r>
      <w:r>
        <w:rPr>
          <w:rFonts w:ascii="Times New Roman" w:hAnsi="Times New Roman" w:eastAsia="宋体" w:cs="Times New Roman"/>
          <w:b/>
          <w:color w:val="auto"/>
          <w:kern w:val="0"/>
          <w:szCs w:val="20"/>
          <w:u w:val="none" w:color="auto"/>
        </w:rPr>
        <w:t>.</w:t>
      </w:r>
      <w:r>
        <w:rPr>
          <w:rFonts w:hint="eastAsia" w:ascii="Times New Roman" w:hAnsi="Times New Roman" w:eastAsia="宋体" w:cs="Times New Roman"/>
          <w:b/>
          <w:color w:val="auto"/>
          <w:kern w:val="0"/>
          <w:szCs w:val="20"/>
          <w:u w:val="none" w:color="auto"/>
        </w:rPr>
        <w:t>3</w:t>
      </w:r>
      <w:r>
        <w:rPr>
          <w:rFonts w:ascii="Times New Roman" w:hAnsi="Times New Roman" w:eastAsia="宋体" w:cs="Times New Roman"/>
          <w:b/>
          <w:color w:val="auto"/>
          <w:kern w:val="0"/>
          <w:szCs w:val="20"/>
          <w:u w:val="none" w:color="auto"/>
        </w:rPr>
        <w:t>-2评价因子筛选表</w:t>
      </w:r>
    </w:p>
    <w:tbl>
      <w:tblPr>
        <w:tblStyle w:val="3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1457"/>
        <w:gridCol w:w="5913"/>
      </w:tblGrid>
      <w:tr w14:paraId="191F4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tcBorders>
              <w:top w:val="single" w:color="auto" w:sz="4" w:space="0"/>
              <w:left w:val="single" w:color="auto" w:sz="4" w:space="0"/>
              <w:bottom w:val="single" w:color="auto" w:sz="4" w:space="0"/>
              <w:right w:val="single" w:color="auto" w:sz="4" w:space="0"/>
            </w:tcBorders>
            <w:vAlign w:val="center"/>
          </w:tcPr>
          <w:p w14:paraId="18984486">
            <w:pPr>
              <w:autoSpaceDE w:val="0"/>
              <w:autoSpaceDN w:val="0"/>
              <w:jc w:val="center"/>
              <w:rPr>
                <w:rFonts w:ascii="Times New Roman" w:hAnsi="Times New Roman" w:eastAsia="宋体" w:cs="Times New Roman"/>
                <w:b/>
                <w:color w:val="auto"/>
                <w:kern w:val="0"/>
                <w:u w:val="none" w:color="auto"/>
              </w:rPr>
            </w:pPr>
            <w:r>
              <w:rPr>
                <w:rFonts w:ascii="Times New Roman" w:hAnsi="Times New Roman" w:eastAsia="宋体" w:cs="Times New Roman"/>
                <w:b/>
                <w:color w:val="auto"/>
                <w:kern w:val="0"/>
                <w:u w:val="none" w:color="auto"/>
              </w:rPr>
              <w:t>环境要素</w:t>
            </w:r>
          </w:p>
        </w:tc>
        <w:tc>
          <w:tcPr>
            <w:tcW w:w="1457" w:type="dxa"/>
            <w:tcBorders>
              <w:top w:val="single" w:color="auto" w:sz="4" w:space="0"/>
              <w:left w:val="single" w:color="auto" w:sz="4" w:space="0"/>
              <w:bottom w:val="single" w:color="auto" w:sz="4" w:space="0"/>
              <w:right w:val="single" w:color="auto" w:sz="4" w:space="0"/>
            </w:tcBorders>
            <w:vAlign w:val="center"/>
          </w:tcPr>
          <w:p w14:paraId="02B5AE30">
            <w:pPr>
              <w:autoSpaceDE w:val="0"/>
              <w:autoSpaceDN w:val="0"/>
              <w:jc w:val="center"/>
              <w:rPr>
                <w:rFonts w:ascii="Times New Roman" w:hAnsi="Times New Roman" w:eastAsia="宋体" w:cs="Times New Roman"/>
                <w:b/>
                <w:color w:val="auto"/>
                <w:kern w:val="0"/>
                <w:u w:val="none" w:color="auto"/>
              </w:rPr>
            </w:pPr>
            <w:r>
              <w:rPr>
                <w:rFonts w:ascii="Times New Roman" w:hAnsi="Times New Roman" w:eastAsia="宋体" w:cs="Times New Roman"/>
                <w:b/>
                <w:color w:val="auto"/>
                <w:kern w:val="0"/>
                <w:u w:val="none" w:color="auto"/>
              </w:rPr>
              <w:t>评价类别</w:t>
            </w:r>
          </w:p>
        </w:tc>
        <w:tc>
          <w:tcPr>
            <w:tcW w:w="5913" w:type="dxa"/>
            <w:tcBorders>
              <w:top w:val="single" w:color="auto" w:sz="4" w:space="0"/>
              <w:left w:val="single" w:color="auto" w:sz="4" w:space="0"/>
              <w:bottom w:val="single" w:color="auto" w:sz="4" w:space="0"/>
              <w:right w:val="single" w:color="auto" w:sz="4" w:space="0"/>
            </w:tcBorders>
            <w:vAlign w:val="center"/>
          </w:tcPr>
          <w:p w14:paraId="4EB4D4F3">
            <w:pPr>
              <w:autoSpaceDE w:val="0"/>
              <w:autoSpaceDN w:val="0"/>
              <w:jc w:val="center"/>
              <w:rPr>
                <w:rFonts w:ascii="Times New Roman" w:hAnsi="Times New Roman" w:eastAsia="宋体" w:cs="Times New Roman"/>
                <w:b/>
                <w:color w:val="auto"/>
                <w:kern w:val="0"/>
                <w:u w:val="none" w:color="auto"/>
              </w:rPr>
            </w:pPr>
            <w:r>
              <w:rPr>
                <w:rFonts w:ascii="Times New Roman" w:hAnsi="Times New Roman" w:eastAsia="宋体" w:cs="Times New Roman"/>
                <w:b/>
                <w:color w:val="auto"/>
                <w:kern w:val="0"/>
                <w:u w:val="none" w:color="auto"/>
              </w:rPr>
              <w:t>评价因子</w:t>
            </w:r>
          </w:p>
        </w:tc>
      </w:tr>
      <w:tr w14:paraId="55EA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restart"/>
            <w:tcBorders>
              <w:top w:val="single" w:color="auto" w:sz="4" w:space="0"/>
              <w:left w:val="single" w:color="auto" w:sz="4" w:space="0"/>
              <w:bottom w:val="single" w:color="auto" w:sz="4" w:space="0"/>
              <w:right w:val="single" w:color="auto" w:sz="4" w:space="0"/>
            </w:tcBorders>
            <w:vAlign w:val="center"/>
          </w:tcPr>
          <w:p w14:paraId="385FFC78">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大气</w:t>
            </w:r>
          </w:p>
        </w:tc>
        <w:tc>
          <w:tcPr>
            <w:tcW w:w="1457" w:type="dxa"/>
            <w:tcBorders>
              <w:top w:val="single" w:color="auto" w:sz="4" w:space="0"/>
              <w:left w:val="single" w:color="auto" w:sz="4" w:space="0"/>
              <w:bottom w:val="single" w:color="auto" w:sz="4" w:space="0"/>
              <w:right w:val="single" w:color="auto" w:sz="4" w:space="0"/>
            </w:tcBorders>
            <w:vAlign w:val="center"/>
          </w:tcPr>
          <w:p w14:paraId="56856293">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现状评价</w:t>
            </w:r>
          </w:p>
        </w:tc>
        <w:tc>
          <w:tcPr>
            <w:tcW w:w="5913" w:type="dxa"/>
            <w:tcBorders>
              <w:top w:val="single" w:color="auto" w:sz="4" w:space="0"/>
              <w:left w:val="single" w:color="auto" w:sz="4" w:space="0"/>
              <w:bottom w:val="single" w:color="auto" w:sz="4" w:space="0"/>
              <w:right w:val="single" w:color="auto" w:sz="4" w:space="0"/>
            </w:tcBorders>
            <w:vAlign w:val="center"/>
          </w:tcPr>
          <w:p w14:paraId="2E502E6A">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SO</w:t>
            </w:r>
            <w:r>
              <w:rPr>
                <w:rFonts w:ascii="Times New Roman" w:hAnsi="Times New Roman" w:eastAsia="宋体" w:cs="Times New Roman"/>
                <w:color w:val="auto"/>
                <w:kern w:val="0"/>
                <w:szCs w:val="20"/>
                <w:u w:val="none" w:color="auto"/>
                <w:vertAlign w:val="subscript"/>
              </w:rPr>
              <w:t>2</w:t>
            </w:r>
            <w:r>
              <w:rPr>
                <w:rFonts w:ascii="Times New Roman" w:hAnsi="Times New Roman" w:eastAsia="宋体" w:cs="Times New Roman"/>
                <w:color w:val="auto"/>
                <w:kern w:val="0"/>
                <w:szCs w:val="20"/>
                <w:u w:val="none" w:color="auto"/>
              </w:rPr>
              <w:t>、NO</w:t>
            </w:r>
            <w:r>
              <w:rPr>
                <w:rFonts w:ascii="Times New Roman" w:hAnsi="Times New Roman" w:eastAsia="宋体" w:cs="Times New Roman"/>
                <w:color w:val="auto"/>
                <w:kern w:val="0"/>
                <w:szCs w:val="20"/>
                <w:u w:val="none" w:color="auto"/>
                <w:vertAlign w:val="subscript"/>
              </w:rPr>
              <w:t>2</w:t>
            </w:r>
            <w:r>
              <w:rPr>
                <w:rFonts w:ascii="Times New Roman" w:hAnsi="Times New Roman" w:eastAsia="宋体" w:cs="Times New Roman"/>
                <w:color w:val="auto"/>
                <w:kern w:val="0"/>
                <w:szCs w:val="20"/>
                <w:u w:val="none" w:color="auto"/>
              </w:rPr>
              <w:t>、CO、O</w:t>
            </w:r>
            <w:r>
              <w:rPr>
                <w:rFonts w:ascii="Times New Roman" w:hAnsi="Times New Roman" w:eastAsia="宋体" w:cs="Times New Roman"/>
                <w:color w:val="auto"/>
                <w:kern w:val="0"/>
                <w:szCs w:val="20"/>
                <w:u w:val="none" w:color="auto"/>
                <w:vertAlign w:val="subscript"/>
              </w:rPr>
              <w:t>3</w:t>
            </w:r>
            <w:r>
              <w:rPr>
                <w:rFonts w:ascii="Times New Roman" w:hAnsi="Times New Roman" w:eastAsia="宋体" w:cs="Times New Roman"/>
                <w:color w:val="auto"/>
                <w:kern w:val="0"/>
                <w:szCs w:val="20"/>
                <w:u w:val="none" w:color="auto"/>
              </w:rPr>
              <w:t>、TSP、PM</w:t>
            </w:r>
            <w:r>
              <w:rPr>
                <w:rFonts w:ascii="Times New Roman" w:hAnsi="Times New Roman" w:eastAsia="宋体" w:cs="Times New Roman"/>
                <w:color w:val="auto"/>
                <w:kern w:val="0"/>
                <w:szCs w:val="20"/>
                <w:u w:val="none" w:color="auto"/>
                <w:vertAlign w:val="subscript"/>
              </w:rPr>
              <w:t>10</w:t>
            </w:r>
            <w:r>
              <w:rPr>
                <w:rFonts w:ascii="Times New Roman" w:hAnsi="Times New Roman" w:eastAsia="宋体" w:cs="Times New Roman"/>
                <w:color w:val="auto"/>
                <w:kern w:val="0"/>
                <w:szCs w:val="20"/>
                <w:u w:val="none" w:color="auto"/>
              </w:rPr>
              <w:t>、PM</w:t>
            </w:r>
            <w:r>
              <w:rPr>
                <w:rFonts w:ascii="Times New Roman" w:hAnsi="Times New Roman" w:eastAsia="宋体" w:cs="Times New Roman"/>
                <w:color w:val="auto"/>
                <w:kern w:val="0"/>
                <w:szCs w:val="20"/>
                <w:u w:val="none" w:color="auto"/>
                <w:vertAlign w:val="subscript"/>
              </w:rPr>
              <w:t>2.5</w:t>
            </w:r>
            <w:r>
              <w:rPr>
                <w:rFonts w:ascii="Times New Roman" w:hAnsi="Times New Roman" w:eastAsia="宋体" w:cs="Times New Roman"/>
                <w:color w:val="auto"/>
                <w:kern w:val="0"/>
                <w:szCs w:val="20"/>
                <w:u w:val="none" w:color="auto"/>
              </w:rPr>
              <w:t>、非甲烷总烃、</w:t>
            </w:r>
            <w:r>
              <w:rPr>
                <w:rFonts w:hint="eastAsia" w:ascii="Times New Roman" w:hAnsi="Times New Roman" w:eastAsia="宋体" w:cs="Times New Roman"/>
                <w:color w:val="auto"/>
                <w:kern w:val="0"/>
                <w:szCs w:val="20"/>
                <w:u w:val="none" w:color="auto"/>
              </w:rPr>
              <w:t>甲苯、二甲苯</w:t>
            </w:r>
          </w:p>
        </w:tc>
      </w:tr>
      <w:tr w14:paraId="10BBC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1DB6082E">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248248C3">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影响预测</w:t>
            </w:r>
          </w:p>
        </w:tc>
        <w:tc>
          <w:tcPr>
            <w:tcW w:w="5913" w:type="dxa"/>
            <w:tcBorders>
              <w:top w:val="single" w:color="auto" w:sz="4" w:space="0"/>
              <w:left w:val="single" w:color="auto" w:sz="4" w:space="0"/>
              <w:bottom w:val="single" w:color="auto" w:sz="4" w:space="0"/>
              <w:right w:val="single" w:color="auto" w:sz="4" w:space="0"/>
            </w:tcBorders>
            <w:vAlign w:val="center"/>
          </w:tcPr>
          <w:p w14:paraId="33ACDAA8">
            <w:pPr>
              <w:autoSpaceDE w:val="0"/>
              <w:autoSpaceDN w:val="0"/>
              <w:jc w:val="center"/>
              <w:rPr>
                <w:rFonts w:hint="eastAsia" w:ascii="Times New Roman" w:hAnsi="Times New Roman" w:eastAsia="宋体" w:cs="Times New Roman"/>
                <w:color w:val="auto"/>
                <w:kern w:val="0"/>
                <w:szCs w:val="20"/>
                <w:u w:val="none" w:color="auto"/>
                <w:lang w:eastAsia="zh-CN"/>
              </w:rPr>
            </w:pPr>
            <w:r>
              <w:rPr>
                <w:rFonts w:ascii="Times New Roman" w:hAnsi="Times New Roman" w:eastAsia="宋体" w:cs="Times New Roman"/>
                <w:color w:val="auto"/>
                <w:kern w:val="0"/>
                <w:szCs w:val="20"/>
                <w:u w:val="none" w:color="auto"/>
              </w:rPr>
              <w:t>TSP、 PM</w:t>
            </w:r>
            <w:r>
              <w:rPr>
                <w:rFonts w:ascii="Times New Roman" w:hAnsi="Times New Roman" w:eastAsia="宋体" w:cs="Times New Roman"/>
                <w:color w:val="auto"/>
                <w:kern w:val="0"/>
                <w:szCs w:val="20"/>
                <w:u w:val="none" w:color="auto"/>
                <w:vertAlign w:val="subscript"/>
              </w:rPr>
              <w:t>10</w:t>
            </w:r>
            <w:r>
              <w:rPr>
                <w:rFonts w:ascii="Times New Roman" w:hAnsi="Times New Roman" w:eastAsia="宋体" w:cs="Times New Roman"/>
                <w:color w:val="auto"/>
                <w:kern w:val="0"/>
                <w:szCs w:val="20"/>
                <w:u w:val="none" w:color="auto"/>
              </w:rPr>
              <w:t>、</w:t>
            </w:r>
            <w:r>
              <w:rPr>
                <w:rFonts w:hint="eastAsia" w:ascii="Times New Roman" w:hAnsi="Times New Roman" w:eastAsia="宋体" w:cs="Times New Roman"/>
                <w:color w:val="auto"/>
                <w:kern w:val="0"/>
                <w:szCs w:val="20"/>
                <w:u w:val="none" w:color="auto"/>
              </w:rPr>
              <w:t>甲苯、二甲苯、非甲烷总烃</w:t>
            </w:r>
          </w:p>
        </w:tc>
      </w:tr>
      <w:tr w14:paraId="17CB1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47591029">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15B0CBB4">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总量因子</w:t>
            </w:r>
          </w:p>
        </w:tc>
        <w:tc>
          <w:tcPr>
            <w:tcW w:w="5913" w:type="dxa"/>
            <w:tcBorders>
              <w:top w:val="single" w:color="auto" w:sz="4" w:space="0"/>
              <w:left w:val="single" w:color="auto" w:sz="4" w:space="0"/>
              <w:bottom w:val="single" w:color="auto" w:sz="4" w:space="0"/>
              <w:right w:val="single" w:color="auto" w:sz="4" w:space="0"/>
            </w:tcBorders>
            <w:vAlign w:val="center"/>
          </w:tcPr>
          <w:p w14:paraId="3E85A0C0">
            <w:pPr>
              <w:autoSpaceDE w:val="0"/>
              <w:autoSpaceDN w:val="0"/>
              <w:jc w:val="center"/>
              <w:rPr>
                <w:rFonts w:hint="default" w:ascii="Times New Roman" w:hAnsi="Times New Roman" w:eastAsia="宋体" w:cs="Times New Roman"/>
                <w:color w:val="auto"/>
                <w:kern w:val="0"/>
                <w:szCs w:val="20"/>
                <w:u w:val="none" w:color="auto"/>
                <w:lang w:val="en-US" w:eastAsia="zh-CN"/>
              </w:rPr>
            </w:pPr>
            <w:r>
              <w:rPr>
                <w:rFonts w:hint="eastAsia" w:ascii="Times New Roman" w:hAnsi="Times New Roman" w:eastAsia="宋体" w:cs="Times New Roman"/>
                <w:color w:val="auto"/>
                <w:kern w:val="0"/>
                <w:szCs w:val="20"/>
                <w:u w:val="none" w:color="auto"/>
              </w:rPr>
              <w:t>VOCs</w:t>
            </w:r>
          </w:p>
        </w:tc>
      </w:tr>
      <w:tr w14:paraId="6EF0B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restart"/>
            <w:tcBorders>
              <w:top w:val="single" w:color="auto" w:sz="4" w:space="0"/>
              <w:left w:val="single" w:color="auto" w:sz="4" w:space="0"/>
              <w:bottom w:val="single" w:color="auto" w:sz="4" w:space="0"/>
              <w:right w:val="single" w:color="auto" w:sz="4" w:space="0"/>
            </w:tcBorders>
            <w:vAlign w:val="center"/>
          </w:tcPr>
          <w:p w14:paraId="0A57B926">
            <w:pPr>
              <w:autoSpaceDE w:val="0"/>
              <w:autoSpaceDN w:val="0"/>
              <w:jc w:val="center"/>
              <w:rPr>
                <w:rFonts w:ascii="Times New Roman" w:hAnsi="Times New Roman" w:eastAsia="宋体" w:cs="Times New Roman"/>
                <w:color w:val="auto"/>
                <w:kern w:val="0"/>
                <w:szCs w:val="20"/>
                <w:u w:val="none" w:color="auto"/>
              </w:rPr>
            </w:pPr>
            <w:r>
              <w:rPr>
                <w:rFonts w:hint="eastAsia" w:ascii="Times New Roman" w:hAnsi="Times New Roman" w:eastAsia="宋体" w:cs="Times New Roman"/>
                <w:color w:val="auto"/>
                <w:kern w:val="0"/>
                <w:szCs w:val="20"/>
                <w:u w:val="none" w:color="auto"/>
              </w:rPr>
              <w:t>地下水</w:t>
            </w:r>
          </w:p>
        </w:tc>
        <w:tc>
          <w:tcPr>
            <w:tcW w:w="1457" w:type="dxa"/>
            <w:tcBorders>
              <w:top w:val="single" w:color="auto" w:sz="4" w:space="0"/>
              <w:left w:val="single" w:color="auto" w:sz="4" w:space="0"/>
              <w:bottom w:val="single" w:color="auto" w:sz="4" w:space="0"/>
              <w:right w:val="single" w:color="auto" w:sz="4" w:space="0"/>
            </w:tcBorders>
            <w:vAlign w:val="center"/>
          </w:tcPr>
          <w:p w14:paraId="286BFA26">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现状评价</w:t>
            </w:r>
          </w:p>
        </w:tc>
        <w:tc>
          <w:tcPr>
            <w:tcW w:w="5913" w:type="dxa"/>
            <w:tcBorders>
              <w:top w:val="single" w:color="auto" w:sz="4" w:space="0"/>
              <w:left w:val="single" w:color="auto" w:sz="4" w:space="0"/>
              <w:bottom w:val="single" w:color="auto" w:sz="4" w:space="0"/>
              <w:right w:val="single" w:color="auto" w:sz="4" w:space="0"/>
            </w:tcBorders>
            <w:vAlign w:val="center"/>
          </w:tcPr>
          <w:p w14:paraId="009FFDAC">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 xml:space="preserve"> K</w:t>
            </w:r>
            <w:r>
              <w:rPr>
                <w:rFonts w:ascii="Times New Roman" w:hAnsi="Times New Roman" w:eastAsia="宋体" w:cs="Times New Roman"/>
                <w:color w:val="auto"/>
                <w:kern w:val="0"/>
                <w:szCs w:val="20"/>
                <w:u w:val="none" w:color="auto"/>
                <w:vertAlign w:val="superscript"/>
              </w:rPr>
              <w:t>+</w:t>
            </w:r>
            <w:r>
              <w:rPr>
                <w:rFonts w:ascii="Times New Roman" w:hAnsi="Times New Roman" w:eastAsia="宋体" w:cs="Times New Roman"/>
                <w:color w:val="auto"/>
                <w:kern w:val="0"/>
                <w:szCs w:val="20"/>
                <w:u w:val="none" w:color="auto"/>
              </w:rPr>
              <w:t>、Na</w:t>
            </w:r>
            <w:r>
              <w:rPr>
                <w:rFonts w:ascii="Times New Roman" w:hAnsi="Times New Roman" w:eastAsia="宋体" w:cs="Times New Roman"/>
                <w:color w:val="auto"/>
                <w:kern w:val="0"/>
                <w:szCs w:val="20"/>
                <w:u w:val="none" w:color="auto"/>
                <w:vertAlign w:val="superscript"/>
              </w:rPr>
              <w:t>+</w:t>
            </w:r>
            <w:r>
              <w:rPr>
                <w:rFonts w:ascii="Times New Roman" w:hAnsi="Times New Roman" w:eastAsia="宋体" w:cs="Times New Roman"/>
                <w:color w:val="auto"/>
                <w:kern w:val="0"/>
                <w:szCs w:val="20"/>
                <w:u w:val="none" w:color="auto"/>
              </w:rPr>
              <w:t>、Ca</w:t>
            </w:r>
            <w:r>
              <w:rPr>
                <w:rFonts w:ascii="Times New Roman" w:hAnsi="Times New Roman" w:eastAsia="宋体" w:cs="Times New Roman"/>
                <w:color w:val="auto"/>
                <w:kern w:val="0"/>
                <w:szCs w:val="20"/>
                <w:u w:val="none" w:color="auto"/>
                <w:vertAlign w:val="superscript"/>
              </w:rPr>
              <w:t>2+</w:t>
            </w:r>
            <w:r>
              <w:rPr>
                <w:rFonts w:ascii="Times New Roman" w:hAnsi="Times New Roman" w:eastAsia="宋体" w:cs="Times New Roman"/>
                <w:color w:val="auto"/>
                <w:kern w:val="0"/>
                <w:szCs w:val="20"/>
                <w:u w:val="none" w:color="auto"/>
              </w:rPr>
              <w:t>、Mg</w:t>
            </w:r>
            <w:r>
              <w:rPr>
                <w:rFonts w:ascii="Times New Roman" w:hAnsi="Times New Roman" w:eastAsia="宋体" w:cs="Times New Roman"/>
                <w:color w:val="auto"/>
                <w:kern w:val="0"/>
                <w:szCs w:val="20"/>
                <w:u w:val="none" w:color="auto"/>
                <w:vertAlign w:val="superscript"/>
              </w:rPr>
              <w:t>2+</w:t>
            </w:r>
            <w:r>
              <w:rPr>
                <w:rFonts w:ascii="Times New Roman" w:hAnsi="Times New Roman" w:eastAsia="宋体" w:cs="Times New Roman"/>
                <w:color w:val="auto"/>
                <w:kern w:val="0"/>
                <w:szCs w:val="20"/>
                <w:u w:val="none" w:color="auto"/>
              </w:rPr>
              <w:t>、CO</w:t>
            </w:r>
            <w:r>
              <w:rPr>
                <w:rFonts w:ascii="Times New Roman" w:hAnsi="Times New Roman" w:eastAsia="宋体" w:cs="Times New Roman"/>
                <w:color w:val="auto"/>
                <w:kern w:val="0"/>
                <w:szCs w:val="20"/>
                <w:u w:val="none" w:color="auto"/>
                <w:vertAlign w:val="subscript"/>
              </w:rPr>
              <w:t>3</w:t>
            </w:r>
            <w:r>
              <w:rPr>
                <w:rFonts w:ascii="Times New Roman" w:hAnsi="Times New Roman" w:eastAsia="宋体" w:cs="Times New Roman"/>
                <w:color w:val="auto"/>
                <w:kern w:val="0"/>
                <w:szCs w:val="20"/>
                <w:u w:val="none" w:color="auto"/>
                <w:vertAlign w:val="superscript"/>
              </w:rPr>
              <w:t>2-</w:t>
            </w:r>
            <w:r>
              <w:rPr>
                <w:rFonts w:ascii="Times New Roman" w:hAnsi="Times New Roman" w:eastAsia="宋体" w:cs="Times New Roman"/>
                <w:color w:val="auto"/>
                <w:kern w:val="0"/>
                <w:szCs w:val="20"/>
                <w:u w:val="none" w:color="auto"/>
              </w:rPr>
              <w:t>、HCO</w:t>
            </w:r>
            <w:r>
              <w:rPr>
                <w:rFonts w:ascii="Times New Roman" w:hAnsi="Times New Roman" w:eastAsia="宋体" w:cs="Times New Roman"/>
                <w:color w:val="auto"/>
                <w:kern w:val="0"/>
                <w:szCs w:val="20"/>
                <w:u w:val="none" w:color="auto"/>
                <w:vertAlign w:val="subscript"/>
              </w:rPr>
              <w:t>3</w:t>
            </w:r>
            <w:r>
              <w:rPr>
                <w:rFonts w:ascii="Times New Roman" w:hAnsi="Times New Roman" w:eastAsia="宋体" w:cs="Times New Roman"/>
                <w:color w:val="auto"/>
                <w:kern w:val="0"/>
                <w:szCs w:val="20"/>
                <w:u w:val="none" w:color="auto"/>
                <w:vertAlign w:val="superscript"/>
              </w:rPr>
              <w:t>-</w:t>
            </w:r>
            <w:r>
              <w:rPr>
                <w:rFonts w:ascii="Times New Roman" w:hAnsi="Times New Roman" w:eastAsia="宋体" w:cs="Times New Roman"/>
                <w:color w:val="auto"/>
                <w:kern w:val="0"/>
                <w:szCs w:val="20"/>
                <w:u w:val="none" w:color="auto"/>
              </w:rPr>
              <w:t>、Cl</w:t>
            </w:r>
            <w:r>
              <w:rPr>
                <w:rFonts w:ascii="Times New Roman" w:hAnsi="Times New Roman" w:eastAsia="宋体" w:cs="Times New Roman"/>
                <w:color w:val="auto"/>
                <w:kern w:val="0"/>
                <w:szCs w:val="20"/>
                <w:u w:val="none" w:color="auto"/>
                <w:vertAlign w:val="superscript"/>
              </w:rPr>
              <w:t>-</w:t>
            </w:r>
            <w:r>
              <w:rPr>
                <w:rFonts w:ascii="Times New Roman" w:hAnsi="Times New Roman" w:eastAsia="宋体" w:cs="Times New Roman"/>
                <w:color w:val="auto"/>
                <w:kern w:val="0"/>
                <w:szCs w:val="20"/>
                <w:u w:val="none" w:color="auto"/>
              </w:rPr>
              <w:t>、SO</w:t>
            </w:r>
            <w:r>
              <w:rPr>
                <w:rFonts w:ascii="Times New Roman" w:hAnsi="Times New Roman" w:eastAsia="宋体" w:cs="Times New Roman"/>
                <w:color w:val="auto"/>
                <w:kern w:val="0"/>
                <w:szCs w:val="20"/>
                <w:u w:val="none" w:color="auto"/>
                <w:vertAlign w:val="subscript"/>
              </w:rPr>
              <w:t>4</w:t>
            </w:r>
            <w:r>
              <w:rPr>
                <w:rFonts w:ascii="Times New Roman" w:hAnsi="Times New Roman" w:eastAsia="宋体" w:cs="Times New Roman"/>
                <w:color w:val="auto"/>
                <w:kern w:val="0"/>
                <w:szCs w:val="20"/>
                <w:u w:val="none" w:color="auto"/>
                <w:vertAlign w:val="superscript"/>
              </w:rPr>
              <w:t>2-</w:t>
            </w:r>
            <w:r>
              <w:rPr>
                <w:rFonts w:ascii="Times New Roman" w:hAnsi="Times New Roman" w:eastAsia="宋体" w:cs="Times New Roman"/>
                <w:color w:val="auto"/>
                <w:kern w:val="0"/>
                <w:szCs w:val="20"/>
                <w:u w:val="none" w:color="auto"/>
              </w:rPr>
              <w:t>、pH、氨氮、总硬度、溶解性总固体、硝酸盐、亚硝酸盐、铁、锰、铜、甲苯、二甲苯</w:t>
            </w:r>
          </w:p>
        </w:tc>
      </w:tr>
      <w:tr w14:paraId="41CE3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26B2C9D9">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50968F05">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影响预测</w:t>
            </w:r>
          </w:p>
        </w:tc>
        <w:tc>
          <w:tcPr>
            <w:tcW w:w="5913" w:type="dxa"/>
            <w:tcBorders>
              <w:top w:val="single" w:color="auto" w:sz="4" w:space="0"/>
              <w:left w:val="single" w:color="auto" w:sz="4" w:space="0"/>
              <w:bottom w:val="single" w:color="auto" w:sz="4" w:space="0"/>
              <w:right w:val="single" w:color="auto" w:sz="4" w:space="0"/>
            </w:tcBorders>
            <w:vAlign w:val="center"/>
          </w:tcPr>
          <w:p w14:paraId="745A8151">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甲苯、二甲苯</w:t>
            </w:r>
          </w:p>
        </w:tc>
      </w:tr>
      <w:tr w14:paraId="04EB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1BDA42FC">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1FFF7105">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总量因子</w:t>
            </w:r>
          </w:p>
        </w:tc>
        <w:tc>
          <w:tcPr>
            <w:tcW w:w="5913" w:type="dxa"/>
            <w:tcBorders>
              <w:top w:val="single" w:color="auto" w:sz="4" w:space="0"/>
              <w:left w:val="single" w:color="auto" w:sz="4" w:space="0"/>
              <w:bottom w:val="single" w:color="auto" w:sz="4" w:space="0"/>
              <w:right w:val="single" w:color="auto" w:sz="4" w:space="0"/>
            </w:tcBorders>
            <w:vAlign w:val="center"/>
          </w:tcPr>
          <w:p w14:paraId="06343DEC">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w:t>
            </w:r>
          </w:p>
        </w:tc>
      </w:tr>
      <w:tr w14:paraId="38D7F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1158" w:type="dxa"/>
            <w:vMerge w:val="restart"/>
            <w:tcBorders>
              <w:left w:val="single" w:color="auto" w:sz="4" w:space="0"/>
              <w:right w:val="single" w:color="auto" w:sz="4" w:space="0"/>
            </w:tcBorders>
            <w:vAlign w:val="center"/>
          </w:tcPr>
          <w:p w14:paraId="59B5B6EB">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土壤</w:t>
            </w:r>
          </w:p>
        </w:tc>
        <w:tc>
          <w:tcPr>
            <w:tcW w:w="1457" w:type="dxa"/>
            <w:tcBorders>
              <w:top w:val="single" w:color="auto" w:sz="4" w:space="0"/>
              <w:left w:val="single" w:color="auto" w:sz="4" w:space="0"/>
              <w:bottom w:val="single" w:color="auto" w:sz="4" w:space="0"/>
              <w:right w:val="single" w:color="auto" w:sz="4" w:space="0"/>
            </w:tcBorders>
            <w:vAlign w:val="center"/>
          </w:tcPr>
          <w:p w14:paraId="3153AC93">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现状评价</w:t>
            </w:r>
          </w:p>
        </w:tc>
        <w:tc>
          <w:tcPr>
            <w:tcW w:w="5913" w:type="dxa"/>
            <w:tcBorders>
              <w:top w:val="single" w:color="auto" w:sz="4" w:space="0"/>
              <w:left w:val="single" w:color="auto" w:sz="4" w:space="0"/>
              <w:bottom w:val="single" w:color="auto" w:sz="4" w:space="0"/>
              <w:right w:val="single" w:color="auto" w:sz="4" w:space="0"/>
            </w:tcBorders>
            <w:vAlign w:val="center"/>
          </w:tcPr>
          <w:p w14:paraId="6F31E5DB">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镉、汞、砷、铅、铬、铜、镍以及挥发性有机物和半挥发有机物</w:t>
            </w:r>
            <w:r>
              <w:rPr>
                <w:rFonts w:hint="eastAsia" w:ascii="Times New Roman" w:hAnsi="Times New Roman" w:eastAsia="宋体" w:cs="Times New Roman"/>
                <w:color w:val="auto"/>
                <w:kern w:val="0"/>
                <w:szCs w:val="20"/>
                <w:u w:val="single" w:color="auto"/>
                <w:lang w:eastAsia="zh-CN"/>
              </w:rPr>
              <w:t>、</w:t>
            </w:r>
            <w:r>
              <w:rPr>
                <w:rFonts w:hint="eastAsia" w:ascii="Times New Roman" w:hAnsi="Times New Roman" w:eastAsia="宋体" w:cs="Times New Roman"/>
                <w:color w:val="auto"/>
                <w:kern w:val="0"/>
                <w:szCs w:val="20"/>
                <w:u w:val="single" w:color="auto"/>
                <w:lang w:val="en-US" w:eastAsia="zh-CN"/>
              </w:rPr>
              <w:t>石油烃</w:t>
            </w:r>
            <w:r>
              <w:rPr>
                <w:rFonts w:ascii="Times New Roman" w:hAnsi="Times New Roman" w:eastAsia="宋体" w:cs="Times New Roman"/>
                <w:color w:val="auto"/>
                <w:kern w:val="0"/>
                <w:szCs w:val="20"/>
                <w:u w:val="none" w:color="auto"/>
              </w:rPr>
              <w:t>共计45项</w:t>
            </w:r>
          </w:p>
        </w:tc>
      </w:tr>
      <w:tr w14:paraId="50E7E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blHeader/>
        </w:trPr>
        <w:tc>
          <w:tcPr>
            <w:tcW w:w="1158" w:type="dxa"/>
            <w:vMerge w:val="continue"/>
            <w:tcBorders>
              <w:left w:val="single" w:color="auto" w:sz="4" w:space="0"/>
              <w:bottom w:val="single" w:color="auto" w:sz="4" w:space="0"/>
              <w:right w:val="single" w:color="auto" w:sz="4" w:space="0"/>
            </w:tcBorders>
            <w:vAlign w:val="center"/>
          </w:tcPr>
          <w:p w14:paraId="38FC8981">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1E9B0FDA">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影响分析</w:t>
            </w:r>
          </w:p>
        </w:tc>
        <w:tc>
          <w:tcPr>
            <w:tcW w:w="5913" w:type="dxa"/>
            <w:tcBorders>
              <w:top w:val="single" w:color="auto" w:sz="4" w:space="0"/>
              <w:left w:val="single" w:color="auto" w:sz="4" w:space="0"/>
              <w:bottom w:val="single" w:color="auto" w:sz="4" w:space="0"/>
              <w:right w:val="single" w:color="auto" w:sz="4" w:space="0"/>
            </w:tcBorders>
            <w:vAlign w:val="center"/>
          </w:tcPr>
          <w:p w14:paraId="55112174">
            <w:pPr>
              <w:autoSpaceDE w:val="0"/>
              <w:autoSpaceDN w:val="0"/>
              <w:jc w:val="center"/>
              <w:rPr>
                <w:rFonts w:ascii="Times New Roman" w:hAnsi="Times New Roman" w:eastAsia="宋体" w:cs="Times New Roman"/>
                <w:color w:val="auto"/>
                <w:kern w:val="0"/>
                <w:szCs w:val="20"/>
                <w:u w:val="none" w:color="auto"/>
              </w:rPr>
            </w:pPr>
            <w:r>
              <w:rPr>
                <w:rFonts w:hint="eastAsia" w:ascii="宋体" w:hAnsi="宋体" w:eastAsia="宋体" w:cs="宋体"/>
                <w:color w:val="auto"/>
                <w:spacing w:val="-2"/>
                <w:kern w:val="0"/>
                <w:szCs w:val="21"/>
                <w:u w:val="none" w:color="auto"/>
              </w:rPr>
              <w:t>甲苯、二甲苯</w:t>
            </w:r>
          </w:p>
        </w:tc>
      </w:tr>
      <w:tr w14:paraId="3DF1F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restart"/>
            <w:tcBorders>
              <w:top w:val="single" w:color="auto" w:sz="4" w:space="0"/>
              <w:left w:val="single" w:color="auto" w:sz="4" w:space="0"/>
              <w:bottom w:val="single" w:color="auto" w:sz="4" w:space="0"/>
              <w:right w:val="single" w:color="auto" w:sz="4" w:space="0"/>
            </w:tcBorders>
            <w:vAlign w:val="center"/>
          </w:tcPr>
          <w:p w14:paraId="7FC09883">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噪声</w:t>
            </w:r>
          </w:p>
        </w:tc>
        <w:tc>
          <w:tcPr>
            <w:tcW w:w="1457" w:type="dxa"/>
            <w:tcBorders>
              <w:top w:val="single" w:color="auto" w:sz="4" w:space="0"/>
              <w:left w:val="single" w:color="auto" w:sz="4" w:space="0"/>
              <w:bottom w:val="single" w:color="auto" w:sz="4" w:space="0"/>
              <w:right w:val="single" w:color="auto" w:sz="4" w:space="0"/>
            </w:tcBorders>
            <w:vAlign w:val="center"/>
          </w:tcPr>
          <w:p w14:paraId="70838B89">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现状评价</w:t>
            </w:r>
          </w:p>
        </w:tc>
        <w:tc>
          <w:tcPr>
            <w:tcW w:w="5913" w:type="dxa"/>
            <w:vMerge w:val="restart"/>
            <w:tcBorders>
              <w:top w:val="single" w:color="auto" w:sz="4" w:space="0"/>
              <w:left w:val="single" w:color="auto" w:sz="4" w:space="0"/>
              <w:right w:val="single" w:color="auto" w:sz="4" w:space="0"/>
            </w:tcBorders>
            <w:vAlign w:val="center"/>
          </w:tcPr>
          <w:p w14:paraId="6EE2178F">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等效连续A声级LeqdB（A）</w:t>
            </w:r>
          </w:p>
        </w:tc>
      </w:tr>
      <w:tr w14:paraId="48200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39DB620A">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3B8DC5B2">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影响分析</w:t>
            </w:r>
          </w:p>
        </w:tc>
        <w:tc>
          <w:tcPr>
            <w:tcW w:w="5913" w:type="dxa"/>
            <w:vMerge w:val="continue"/>
            <w:tcBorders>
              <w:left w:val="single" w:color="auto" w:sz="4" w:space="0"/>
              <w:bottom w:val="single" w:color="auto" w:sz="4" w:space="0"/>
              <w:right w:val="single" w:color="auto" w:sz="4" w:space="0"/>
            </w:tcBorders>
            <w:vAlign w:val="center"/>
          </w:tcPr>
          <w:p w14:paraId="5CF35B43">
            <w:pPr>
              <w:autoSpaceDE w:val="0"/>
              <w:autoSpaceDN w:val="0"/>
              <w:jc w:val="center"/>
              <w:rPr>
                <w:rFonts w:ascii="Times New Roman" w:hAnsi="Times New Roman" w:eastAsia="宋体" w:cs="Times New Roman"/>
                <w:color w:val="auto"/>
                <w:kern w:val="0"/>
                <w:szCs w:val="20"/>
                <w:u w:val="none" w:color="auto"/>
              </w:rPr>
            </w:pPr>
          </w:p>
        </w:tc>
      </w:tr>
      <w:tr w14:paraId="7AF96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restart"/>
            <w:tcBorders>
              <w:top w:val="single" w:color="auto" w:sz="4" w:space="0"/>
              <w:left w:val="single" w:color="auto" w:sz="4" w:space="0"/>
              <w:bottom w:val="single" w:color="auto" w:sz="4" w:space="0"/>
              <w:right w:val="single" w:color="auto" w:sz="4" w:space="0"/>
            </w:tcBorders>
            <w:vAlign w:val="center"/>
          </w:tcPr>
          <w:p w14:paraId="123A471F">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固体</w:t>
            </w:r>
          </w:p>
          <w:p w14:paraId="06D60C00">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废物</w:t>
            </w:r>
          </w:p>
        </w:tc>
        <w:tc>
          <w:tcPr>
            <w:tcW w:w="1457" w:type="dxa"/>
            <w:tcBorders>
              <w:top w:val="single" w:color="auto" w:sz="4" w:space="0"/>
              <w:left w:val="single" w:color="auto" w:sz="4" w:space="0"/>
              <w:bottom w:val="single" w:color="auto" w:sz="4" w:space="0"/>
              <w:right w:val="single" w:color="auto" w:sz="4" w:space="0"/>
            </w:tcBorders>
            <w:vAlign w:val="center"/>
          </w:tcPr>
          <w:p w14:paraId="11D94AD4">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现状评价</w:t>
            </w:r>
          </w:p>
        </w:tc>
        <w:tc>
          <w:tcPr>
            <w:tcW w:w="5913" w:type="dxa"/>
            <w:vMerge w:val="restart"/>
            <w:tcBorders>
              <w:top w:val="single" w:color="auto" w:sz="4" w:space="0"/>
              <w:left w:val="single" w:color="auto" w:sz="4" w:space="0"/>
              <w:right w:val="single" w:color="auto" w:sz="4" w:space="0"/>
            </w:tcBorders>
            <w:vAlign w:val="center"/>
          </w:tcPr>
          <w:p w14:paraId="472D0DFB">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一般工业固体废物、危险固体废物、生活垃圾</w:t>
            </w:r>
          </w:p>
        </w:tc>
      </w:tr>
      <w:tr w14:paraId="49757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58" w:type="dxa"/>
            <w:vMerge w:val="continue"/>
            <w:tcBorders>
              <w:top w:val="single" w:color="auto" w:sz="4" w:space="0"/>
              <w:left w:val="single" w:color="auto" w:sz="4" w:space="0"/>
              <w:bottom w:val="single" w:color="auto" w:sz="4" w:space="0"/>
              <w:right w:val="single" w:color="auto" w:sz="4" w:space="0"/>
            </w:tcBorders>
            <w:vAlign w:val="center"/>
          </w:tcPr>
          <w:p w14:paraId="4BEB260B">
            <w:pPr>
              <w:autoSpaceDE w:val="0"/>
              <w:autoSpaceDN w:val="0"/>
              <w:jc w:val="center"/>
              <w:rPr>
                <w:rFonts w:ascii="Times New Roman" w:hAnsi="Times New Roman" w:eastAsia="宋体" w:cs="Times New Roman"/>
                <w:color w:val="auto"/>
                <w:kern w:val="0"/>
                <w:szCs w:val="20"/>
                <w:u w:val="none" w:color="auto"/>
              </w:rPr>
            </w:pPr>
          </w:p>
        </w:tc>
        <w:tc>
          <w:tcPr>
            <w:tcW w:w="1457" w:type="dxa"/>
            <w:tcBorders>
              <w:top w:val="single" w:color="auto" w:sz="4" w:space="0"/>
              <w:left w:val="single" w:color="auto" w:sz="4" w:space="0"/>
              <w:bottom w:val="single" w:color="auto" w:sz="4" w:space="0"/>
              <w:right w:val="single" w:color="auto" w:sz="4" w:space="0"/>
            </w:tcBorders>
            <w:vAlign w:val="center"/>
          </w:tcPr>
          <w:p w14:paraId="48B5113E">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影响分析</w:t>
            </w:r>
          </w:p>
        </w:tc>
        <w:tc>
          <w:tcPr>
            <w:tcW w:w="5913" w:type="dxa"/>
            <w:vMerge w:val="continue"/>
            <w:tcBorders>
              <w:left w:val="single" w:color="auto" w:sz="4" w:space="0"/>
              <w:right w:val="single" w:color="auto" w:sz="4" w:space="0"/>
            </w:tcBorders>
            <w:vAlign w:val="center"/>
          </w:tcPr>
          <w:p w14:paraId="78055334">
            <w:pPr>
              <w:autoSpaceDE w:val="0"/>
              <w:autoSpaceDN w:val="0"/>
              <w:jc w:val="center"/>
              <w:rPr>
                <w:rFonts w:ascii="Times New Roman" w:hAnsi="Times New Roman" w:eastAsia="宋体" w:cs="Times New Roman"/>
                <w:color w:val="auto"/>
                <w:kern w:val="0"/>
                <w:szCs w:val="20"/>
                <w:u w:val="none" w:color="auto"/>
              </w:rPr>
            </w:pPr>
          </w:p>
        </w:tc>
      </w:tr>
      <w:tr w14:paraId="75341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615" w:type="dxa"/>
            <w:gridSpan w:val="2"/>
            <w:tcBorders>
              <w:top w:val="single" w:color="auto" w:sz="4" w:space="0"/>
              <w:left w:val="single" w:color="auto" w:sz="4" w:space="0"/>
              <w:bottom w:val="single" w:color="auto" w:sz="4" w:space="0"/>
              <w:right w:val="single" w:color="auto" w:sz="4" w:space="0"/>
            </w:tcBorders>
            <w:vAlign w:val="center"/>
          </w:tcPr>
          <w:p w14:paraId="0F4F5874">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风险因子</w:t>
            </w:r>
          </w:p>
        </w:tc>
        <w:tc>
          <w:tcPr>
            <w:tcW w:w="5913" w:type="dxa"/>
            <w:tcBorders>
              <w:left w:val="single" w:color="auto" w:sz="4" w:space="0"/>
              <w:bottom w:val="single" w:color="auto" w:sz="4" w:space="0"/>
              <w:right w:val="single" w:color="auto" w:sz="4" w:space="0"/>
            </w:tcBorders>
            <w:vAlign w:val="center"/>
          </w:tcPr>
          <w:p w14:paraId="7C54406C">
            <w:pPr>
              <w:autoSpaceDE w:val="0"/>
              <w:autoSpaceDN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w:t>
            </w:r>
          </w:p>
        </w:tc>
      </w:tr>
    </w:tbl>
    <w:p w14:paraId="174609B8">
      <w:pPr>
        <w:autoSpaceDE w:val="0"/>
        <w:autoSpaceDN w:val="0"/>
        <w:spacing w:line="360" w:lineRule="auto"/>
        <w:jc w:val="left"/>
        <w:outlineLvl w:val="1"/>
        <w:rPr>
          <w:rFonts w:ascii="Times New Roman" w:hAnsi="Times New Roman" w:eastAsia="宋体" w:cs="Times New Roman"/>
          <w:color w:val="auto"/>
          <w:spacing w:val="10"/>
          <w:sz w:val="24"/>
          <w:szCs w:val="24"/>
          <w:u w:val="none" w:color="auto"/>
        </w:rPr>
      </w:pPr>
      <w:bookmarkStart w:id="76" w:name="_Toc468369157"/>
      <w:bookmarkStart w:id="77" w:name="_Toc418779135"/>
      <w:bookmarkStart w:id="78" w:name="_Toc3728126"/>
      <w:bookmarkStart w:id="79" w:name="_Toc530130409"/>
      <w:bookmarkStart w:id="80" w:name="_Toc30800"/>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rPr>
        <w:t>4</w:t>
      </w:r>
      <w:r>
        <w:rPr>
          <w:rFonts w:ascii="Times New Roman" w:hAnsi="Times New Roman" w:eastAsia="宋体" w:cs="Times New Roman"/>
          <w:b/>
          <w:color w:val="auto"/>
          <w:kern w:val="0"/>
          <w:sz w:val="32"/>
          <w:szCs w:val="32"/>
          <w:u w:val="none" w:color="auto"/>
        </w:rPr>
        <w:t>环境功能区划</w:t>
      </w:r>
      <w:bookmarkEnd w:id="76"/>
      <w:bookmarkEnd w:id="77"/>
      <w:r>
        <w:rPr>
          <w:rFonts w:ascii="Times New Roman" w:hAnsi="Times New Roman" w:eastAsia="宋体" w:cs="Times New Roman"/>
          <w:b/>
          <w:color w:val="auto"/>
          <w:kern w:val="0"/>
          <w:sz w:val="32"/>
          <w:szCs w:val="32"/>
          <w:u w:val="none" w:color="auto"/>
        </w:rPr>
        <w:t>及执行标准</w:t>
      </w:r>
      <w:bookmarkEnd w:id="78"/>
      <w:bookmarkEnd w:id="79"/>
      <w:bookmarkEnd w:id="80"/>
      <w:bookmarkStart w:id="81" w:name="_Toc3728127"/>
    </w:p>
    <w:p w14:paraId="6CFF49F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.1环境空气</w:t>
      </w:r>
      <w:bookmarkEnd w:id="81"/>
    </w:p>
    <w:p w14:paraId="59FAEF92">
      <w:pPr>
        <w:autoSpaceDE w:val="0"/>
        <w:autoSpaceDN w:val="0"/>
        <w:spacing w:line="360" w:lineRule="auto"/>
        <w:ind w:firstLine="520" w:firstLineChars="200"/>
        <w:rPr>
          <w:color w:val="auto"/>
          <w:u w:val="none" w:color="auto"/>
        </w:rPr>
      </w:pPr>
      <w:bookmarkStart w:id="82" w:name="_Hlk536362617"/>
      <w:r>
        <w:rPr>
          <w:rFonts w:ascii="Times New Roman" w:hAnsi="Times New Roman" w:eastAsia="宋体" w:cs="Times New Roman"/>
          <w:color w:val="auto"/>
          <w:spacing w:val="10"/>
          <w:sz w:val="24"/>
          <w:szCs w:val="24"/>
          <w:u w:val="none" w:color="auto"/>
        </w:rPr>
        <w:t>项目周围环境空气为二类功能区</w:t>
      </w:r>
      <w:r>
        <w:rPr>
          <w:rFonts w:hint="eastAsia" w:ascii="Times New Roman" w:hAnsi="Times New Roman" w:eastAsia="宋体" w:cs="Times New Roman"/>
          <w:color w:val="auto"/>
          <w:spacing w:val="10"/>
          <w:sz w:val="24"/>
          <w:szCs w:val="24"/>
          <w:u w:val="none" w:color="auto"/>
        </w:rPr>
        <w:t>，</w:t>
      </w:r>
      <w:r>
        <w:rPr>
          <w:rFonts w:ascii="Times New Roman" w:hAnsi="Times New Roman" w:eastAsia="宋体" w:cs="Times New Roman"/>
          <w:color w:val="auto"/>
          <w:spacing w:val="10"/>
          <w:sz w:val="24"/>
          <w:szCs w:val="24"/>
          <w:u w:val="none" w:color="auto"/>
        </w:rPr>
        <w:t>环境空气执行《环境空气质量标准》(GB3095-2012)中二级标准</w:t>
      </w:r>
      <w:r>
        <w:rPr>
          <w:rFonts w:hint="eastAsia" w:ascii="Times New Roman" w:hAnsi="Times New Roman" w:eastAsia="宋体" w:cs="Times New Roman"/>
          <w:color w:val="auto"/>
          <w:spacing w:val="10"/>
          <w:sz w:val="24"/>
          <w:szCs w:val="24"/>
          <w:u w:val="none" w:color="auto"/>
        </w:rPr>
        <w:t>，甲苯、二甲苯执行《</w:t>
      </w:r>
      <w:r>
        <w:rPr>
          <w:rFonts w:ascii="Times New Roman" w:hAnsi="Times New Roman" w:eastAsia="宋体" w:cs="Times New Roman"/>
          <w:color w:val="auto"/>
          <w:kern w:val="0"/>
          <w:sz w:val="24"/>
          <w:szCs w:val="20"/>
          <w:u w:val="none" w:color="auto"/>
        </w:rPr>
        <w:t>环境影响评价技术导则 大气环境》（HJ2.2-2018）</w:t>
      </w:r>
      <w:r>
        <w:rPr>
          <w:rFonts w:hint="eastAsia" w:ascii="Times New Roman" w:hAnsi="Times New Roman" w:eastAsia="宋体" w:cs="Times New Roman"/>
          <w:color w:val="auto"/>
          <w:kern w:val="0"/>
          <w:sz w:val="24"/>
          <w:szCs w:val="20"/>
          <w:u w:val="none" w:color="auto"/>
        </w:rPr>
        <w:t>附录D中标准</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single" w:color="auto"/>
          <w:lang w:val="en-US" w:eastAsia="zh-CN"/>
        </w:rPr>
        <w:t>臭气浓度参照执行《恶臭污染物排放标准》（GB14554-93）中表1的新扩改建项目厂界二级标准值</w:t>
      </w:r>
      <w:r>
        <w:rPr>
          <w:rFonts w:hint="eastAsia" w:ascii="Times New Roman" w:hAnsi="Times New Roman" w:eastAsia="宋体" w:cs="Times New Roman"/>
          <w:color w:val="auto"/>
          <w:kern w:val="0"/>
          <w:sz w:val="24"/>
          <w:szCs w:val="20"/>
          <w:u w:val="single" w:color="auto"/>
        </w:rPr>
        <w:t>。</w:t>
      </w:r>
      <w:r>
        <w:rPr>
          <w:rFonts w:hint="eastAsia" w:ascii="Times New Roman" w:hAnsi="Times New Roman" w:eastAsia="宋体" w:cs="Times New Roman"/>
          <w:color w:val="auto"/>
          <w:kern w:val="0"/>
          <w:sz w:val="24"/>
          <w:szCs w:val="20"/>
          <w:u w:val="none" w:color="auto"/>
        </w:rPr>
        <w:t>参考《排污许可证申请与核发技术规范 铁路、船舶、航空航天和其他运输设备制造业》，采用非甲烷总烃作为挥发性有机物排放的综合控制指标，因此环评以非甲烷总烃表征挥发性有机物VOCs总体排放情况。</w:t>
      </w:r>
      <w:r>
        <w:rPr>
          <w:rFonts w:ascii="Times New Roman" w:hAnsi="Times New Roman" w:eastAsia="宋体" w:cs="Times New Roman"/>
          <w:color w:val="auto"/>
          <w:kern w:val="0"/>
          <w:sz w:val="24"/>
          <w:szCs w:val="24"/>
          <w:u w:val="single" w:color="auto"/>
        </w:rPr>
        <w:t>非甲烷总烃参照执行《大气污染物综合排放标准详解》</w:t>
      </w:r>
      <w:r>
        <w:rPr>
          <w:rFonts w:hint="eastAsia" w:ascii="Times New Roman" w:hAnsi="Times New Roman" w:eastAsia="宋体" w:cs="Times New Roman"/>
          <w:color w:val="auto"/>
          <w:kern w:val="0"/>
          <w:sz w:val="24"/>
          <w:szCs w:val="24"/>
          <w:u w:val="single" w:color="auto"/>
          <w:lang w:val="en-US" w:eastAsia="zh-CN"/>
        </w:rPr>
        <w:t>推荐</w:t>
      </w:r>
      <w:r>
        <w:rPr>
          <w:rFonts w:ascii="Times New Roman" w:hAnsi="Times New Roman" w:eastAsia="宋体" w:cs="Times New Roman"/>
          <w:color w:val="auto"/>
          <w:kern w:val="0"/>
          <w:sz w:val="24"/>
          <w:szCs w:val="24"/>
          <w:u w:val="single" w:color="auto"/>
        </w:rPr>
        <w:t>值2.0mg/m</w:t>
      </w:r>
      <w:r>
        <w:rPr>
          <w:rFonts w:ascii="Times New Roman" w:hAnsi="Times New Roman" w:eastAsia="宋体" w:cs="Times New Roman"/>
          <w:color w:val="auto"/>
          <w:kern w:val="0"/>
          <w:sz w:val="24"/>
          <w:szCs w:val="24"/>
          <w:u w:val="single" w:color="auto"/>
          <w:vertAlign w:val="superscript"/>
        </w:rPr>
        <w:t>3</w:t>
      </w:r>
      <w:r>
        <w:rPr>
          <w:rFonts w:ascii="Times New Roman" w:hAnsi="Times New Roman" w:eastAsia="宋体" w:cs="Times New Roman"/>
          <w:color w:val="auto"/>
          <w:kern w:val="0"/>
          <w:sz w:val="24"/>
          <w:szCs w:val="24"/>
          <w:u w:val="single" w:color="auto"/>
        </w:rPr>
        <w:t>要求</w:t>
      </w:r>
      <w:r>
        <w:rPr>
          <w:rFonts w:ascii="Times New Roman" w:hAnsi="Times New Roman" w:eastAsia="宋体" w:cs="Times New Roman"/>
          <w:color w:val="auto"/>
          <w:spacing w:val="10"/>
          <w:sz w:val="24"/>
          <w:szCs w:val="24"/>
          <w:u w:val="single" w:color="auto"/>
        </w:rPr>
        <w:t>。</w:t>
      </w:r>
      <w:bookmarkStart w:id="83" w:name="_Hlk536625803"/>
      <w:r>
        <w:rPr>
          <w:rFonts w:hint="eastAsia" w:ascii="Times New Roman" w:hAnsi="Times New Roman" w:eastAsia="宋体" w:cs="Times New Roman"/>
          <w:color w:val="auto"/>
          <w:spacing w:val="10"/>
          <w:sz w:val="24"/>
          <w:szCs w:val="24"/>
          <w:u w:val="single" w:color="auto"/>
          <w:lang w:val="en-US" w:eastAsia="zh-CN"/>
        </w:rPr>
        <w:t>本项目不属于《关于加强重点行业涉新污染物建设项目环境影响评价工作的意见》（环环评[2025]28号）中提到的石化、涂料、纺织印刷、橡胶、农药、医药等重点行业建设项目，因此，不需要开展相关工作。</w:t>
      </w:r>
      <w:r>
        <w:rPr>
          <w:rFonts w:ascii="Times New Roman" w:hAnsi="Times New Roman" w:eastAsia="宋体" w:cs="Times New Roman"/>
          <w:color w:val="auto"/>
          <w:kern w:val="0"/>
          <w:sz w:val="24"/>
          <w:szCs w:val="24"/>
          <w:u w:val="none" w:color="auto"/>
        </w:rPr>
        <w:t>具体标准限值见表</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4</w:t>
      </w:r>
      <w:r>
        <w:rPr>
          <w:rFonts w:ascii="Times New Roman" w:hAnsi="Times New Roman" w:eastAsia="宋体" w:cs="Times New Roman"/>
          <w:color w:val="auto"/>
          <w:kern w:val="0"/>
          <w:sz w:val="24"/>
          <w:szCs w:val="24"/>
          <w:u w:val="none" w:color="auto"/>
        </w:rPr>
        <w:t>-1。</w:t>
      </w:r>
    </w:p>
    <w:bookmarkEnd w:id="83"/>
    <w:p w14:paraId="3CFD3E89">
      <w:pPr>
        <w:widowControl/>
        <w:autoSpaceDE w:val="0"/>
        <w:autoSpaceDN w:val="0"/>
        <w:jc w:val="center"/>
        <w:rPr>
          <w:rFonts w:ascii="Times New Roman" w:hAnsi="Times New Roman" w:eastAsia="宋体" w:cs="Times New Roman"/>
          <w:b/>
          <w:bCs/>
          <w:color w:val="auto"/>
          <w:kern w:val="0"/>
          <w:szCs w:val="24"/>
          <w:u w:val="none" w:color="auto"/>
        </w:rPr>
      </w:pPr>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1</w:t>
      </w:r>
      <w:r>
        <w:rPr>
          <w:rFonts w:ascii="Times New Roman" w:hAnsi="Times New Roman" w:eastAsia="宋体" w:cs="Times New Roman"/>
          <w:b/>
          <w:bCs/>
          <w:color w:val="auto"/>
          <w:kern w:val="0"/>
          <w:szCs w:val="24"/>
          <w:u w:val="none" w:color="auto"/>
        </w:rPr>
        <w:t>.</w:t>
      </w:r>
      <w:r>
        <w:rPr>
          <w:rFonts w:hint="eastAsia" w:ascii="Times New Roman" w:hAnsi="Times New Roman" w:eastAsia="宋体" w:cs="Times New Roman"/>
          <w:b/>
          <w:bCs/>
          <w:color w:val="auto"/>
          <w:kern w:val="0"/>
          <w:szCs w:val="24"/>
          <w:u w:val="none" w:color="auto"/>
        </w:rPr>
        <w:t>4</w:t>
      </w:r>
      <w:r>
        <w:rPr>
          <w:rFonts w:ascii="Times New Roman" w:hAnsi="Times New Roman" w:eastAsia="宋体" w:cs="Times New Roman"/>
          <w:b/>
          <w:bCs/>
          <w:color w:val="auto"/>
          <w:kern w:val="0"/>
          <w:szCs w:val="24"/>
          <w:u w:val="none" w:color="auto"/>
        </w:rPr>
        <w:t>-1 环境空气质量标准</w:t>
      </w:r>
    </w:p>
    <w:tbl>
      <w:tblPr>
        <w:tblStyle w:val="3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1582"/>
        <w:gridCol w:w="1077"/>
        <w:gridCol w:w="1092"/>
        <w:gridCol w:w="3279"/>
      </w:tblGrid>
      <w:tr w14:paraId="53792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tcBorders>
              <w:top w:val="single" w:color="auto" w:sz="4" w:space="0"/>
              <w:left w:val="single" w:color="auto" w:sz="4" w:space="0"/>
              <w:bottom w:val="single" w:color="auto" w:sz="4" w:space="0"/>
              <w:right w:val="single" w:color="auto" w:sz="4" w:space="0"/>
            </w:tcBorders>
            <w:vAlign w:val="center"/>
          </w:tcPr>
          <w:p w14:paraId="22E26433">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污染物名称</w:t>
            </w:r>
          </w:p>
        </w:tc>
        <w:tc>
          <w:tcPr>
            <w:tcW w:w="1582" w:type="dxa"/>
            <w:tcBorders>
              <w:top w:val="single" w:color="auto" w:sz="4" w:space="0"/>
              <w:left w:val="single" w:color="auto" w:sz="4" w:space="0"/>
              <w:bottom w:val="single" w:color="auto" w:sz="4" w:space="0"/>
              <w:right w:val="single" w:color="auto" w:sz="4" w:space="0"/>
            </w:tcBorders>
            <w:vAlign w:val="center"/>
          </w:tcPr>
          <w:p w14:paraId="03981447">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取值时间</w:t>
            </w:r>
          </w:p>
        </w:tc>
        <w:tc>
          <w:tcPr>
            <w:tcW w:w="1077" w:type="dxa"/>
            <w:tcBorders>
              <w:top w:val="single" w:color="auto" w:sz="4" w:space="0"/>
              <w:left w:val="single" w:color="auto" w:sz="4" w:space="0"/>
              <w:bottom w:val="single" w:color="auto" w:sz="4" w:space="0"/>
              <w:right w:val="single" w:color="auto" w:sz="4" w:space="0"/>
            </w:tcBorders>
            <w:vAlign w:val="center"/>
          </w:tcPr>
          <w:p w14:paraId="49C0B80A">
            <w:pPr>
              <w:autoSpaceDE w:val="0"/>
              <w:autoSpaceDN w:val="0"/>
              <w:jc w:val="center"/>
              <w:rPr>
                <w:rFonts w:ascii="Times New Roman" w:hAnsi="Times New Roman" w:eastAsia="宋体" w:cs="Times New Roman"/>
                <w:b/>
                <w:color w:val="auto"/>
                <w:kern w:val="0"/>
                <w:szCs w:val="21"/>
                <w:u w:val="none" w:color="auto"/>
              </w:rPr>
            </w:pPr>
            <w:r>
              <w:rPr>
                <w:rFonts w:hint="eastAsia" w:ascii="Times New Roman" w:hAnsi="Times New Roman" w:eastAsia="宋体" w:cs="Times New Roman"/>
                <w:b/>
                <w:color w:val="auto"/>
                <w:kern w:val="0"/>
                <w:szCs w:val="21"/>
                <w:u w:val="none" w:color="auto"/>
              </w:rPr>
              <w:t>一级</w:t>
            </w:r>
          </w:p>
        </w:tc>
        <w:tc>
          <w:tcPr>
            <w:tcW w:w="1092" w:type="dxa"/>
            <w:tcBorders>
              <w:top w:val="single" w:color="auto" w:sz="4" w:space="0"/>
              <w:left w:val="single" w:color="auto" w:sz="4" w:space="0"/>
              <w:bottom w:val="single" w:color="auto" w:sz="4" w:space="0"/>
              <w:right w:val="single" w:color="auto" w:sz="4" w:space="0"/>
            </w:tcBorders>
            <w:vAlign w:val="center"/>
          </w:tcPr>
          <w:p w14:paraId="56E32230">
            <w:pPr>
              <w:autoSpaceDE w:val="0"/>
              <w:autoSpaceDN w:val="0"/>
              <w:jc w:val="center"/>
              <w:rPr>
                <w:rFonts w:ascii="Times New Roman" w:hAnsi="Times New Roman" w:eastAsia="宋体" w:cs="Times New Roman"/>
                <w:b/>
                <w:color w:val="auto"/>
                <w:kern w:val="0"/>
                <w:szCs w:val="21"/>
                <w:u w:val="none" w:color="auto"/>
              </w:rPr>
            </w:pPr>
            <w:r>
              <w:rPr>
                <w:rFonts w:hint="eastAsia" w:ascii="Times New Roman" w:hAnsi="Times New Roman" w:eastAsia="宋体" w:cs="Times New Roman"/>
                <w:b/>
                <w:color w:val="auto"/>
                <w:kern w:val="0"/>
                <w:szCs w:val="21"/>
                <w:u w:val="none" w:color="auto"/>
              </w:rPr>
              <w:t>二级</w:t>
            </w:r>
          </w:p>
        </w:tc>
        <w:tc>
          <w:tcPr>
            <w:tcW w:w="3279" w:type="dxa"/>
            <w:tcBorders>
              <w:top w:val="single" w:color="auto" w:sz="4" w:space="0"/>
              <w:left w:val="single" w:color="auto" w:sz="4" w:space="0"/>
              <w:bottom w:val="single" w:color="auto" w:sz="4" w:space="0"/>
              <w:right w:val="single" w:color="auto" w:sz="4" w:space="0"/>
            </w:tcBorders>
            <w:vAlign w:val="center"/>
          </w:tcPr>
          <w:p w14:paraId="66BEC209">
            <w:pPr>
              <w:autoSpaceDE w:val="0"/>
              <w:autoSpaceDN w:val="0"/>
              <w:spacing w:line="360" w:lineRule="auto"/>
              <w:ind w:right="210"/>
              <w:jc w:val="center"/>
              <w:rPr>
                <w:rFonts w:hint="eastAsia" w:ascii="Times New Roman" w:hAnsi="Times New Roman" w:eastAsia="宋体" w:cs="Times New Roman"/>
                <w:b/>
                <w:color w:val="auto"/>
                <w:kern w:val="0"/>
                <w:szCs w:val="21"/>
                <w:u w:val="none" w:color="auto"/>
                <w:lang w:val="en-US" w:eastAsia="zh-CN"/>
              </w:rPr>
            </w:pPr>
            <w:r>
              <w:rPr>
                <w:rFonts w:ascii="Times New Roman" w:hAnsi="Times New Roman" w:eastAsia="宋体" w:cs="Times New Roman"/>
                <w:b/>
                <w:color w:val="auto"/>
                <w:kern w:val="0"/>
                <w:szCs w:val="21"/>
                <w:u w:val="none" w:color="auto"/>
              </w:rPr>
              <w:t>标准单位：mg/m³</w:t>
            </w:r>
            <w:r>
              <w:rPr>
                <w:rFonts w:hint="eastAsia" w:ascii="Times New Roman" w:hAnsi="Times New Roman" w:eastAsia="宋体" w:cs="Times New Roman"/>
                <w:b/>
                <w:color w:val="auto"/>
                <w:kern w:val="0"/>
                <w:szCs w:val="21"/>
                <w:u w:val="none" w:color="auto"/>
                <w:lang w:val="en-US" w:eastAsia="zh-CN"/>
              </w:rPr>
              <w:t>,</w:t>
            </w:r>
          </w:p>
          <w:p w14:paraId="73EE0BBF">
            <w:pPr>
              <w:autoSpaceDE w:val="0"/>
              <w:autoSpaceDN w:val="0"/>
              <w:spacing w:line="360" w:lineRule="auto"/>
              <w:ind w:right="210"/>
              <w:jc w:val="center"/>
              <w:rPr>
                <w:rFonts w:hint="default" w:ascii="Times New Roman" w:hAnsi="Times New Roman" w:eastAsia="宋体" w:cs="Times New Roman"/>
                <w:b/>
                <w:color w:val="auto"/>
                <w:kern w:val="0"/>
                <w:szCs w:val="21"/>
                <w:u w:val="none" w:color="auto"/>
                <w:lang w:val="en-US" w:eastAsia="zh-CN"/>
              </w:rPr>
            </w:pPr>
            <w:r>
              <w:rPr>
                <w:rFonts w:hint="eastAsia" w:ascii="Times New Roman" w:hAnsi="Times New Roman" w:eastAsia="宋体" w:cs="Times New Roman"/>
                <w:b/>
                <w:color w:val="auto"/>
                <w:kern w:val="0"/>
                <w:szCs w:val="21"/>
                <w:u w:val="none" w:color="auto"/>
                <w:lang w:val="en-US" w:eastAsia="zh-CN"/>
              </w:rPr>
              <w:t>臭气浓度无量纲</w:t>
            </w:r>
          </w:p>
        </w:tc>
      </w:tr>
      <w:tr w14:paraId="40B0F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bottom w:val="single" w:color="auto" w:sz="4" w:space="0"/>
              <w:right w:val="single" w:color="auto" w:sz="4" w:space="0"/>
            </w:tcBorders>
            <w:vAlign w:val="center"/>
          </w:tcPr>
          <w:p w14:paraId="7838906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SO</w:t>
            </w:r>
            <w:r>
              <w:rPr>
                <w:rFonts w:ascii="Times New Roman" w:hAnsi="Times New Roman" w:eastAsia="宋体" w:cs="Times New Roman"/>
                <w:color w:val="auto"/>
                <w:kern w:val="0"/>
                <w:szCs w:val="21"/>
                <w:u w:val="none" w:color="auto"/>
                <w:vertAlign w:val="subscript"/>
              </w:rPr>
              <w:t>2</w:t>
            </w:r>
          </w:p>
        </w:tc>
        <w:tc>
          <w:tcPr>
            <w:tcW w:w="1582" w:type="dxa"/>
            <w:tcBorders>
              <w:top w:val="single" w:color="auto" w:sz="4" w:space="0"/>
              <w:left w:val="single" w:color="auto" w:sz="4" w:space="0"/>
              <w:bottom w:val="single" w:color="auto" w:sz="4" w:space="0"/>
              <w:right w:val="single" w:color="auto" w:sz="4" w:space="0"/>
            </w:tcBorders>
            <w:vAlign w:val="center"/>
          </w:tcPr>
          <w:p w14:paraId="324B2B0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05EDBD4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0.15</w:t>
            </w:r>
          </w:p>
        </w:tc>
        <w:tc>
          <w:tcPr>
            <w:tcW w:w="1092" w:type="dxa"/>
            <w:tcBorders>
              <w:top w:val="single" w:color="auto" w:sz="4" w:space="0"/>
              <w:left w:val="single" w:color="auto" w:sz="4" w:space="0"/>
              <w:bottom w:val="single" w:color="auto" w:sz="4" w:space="0"/>
              <w:right w:val="single" w:color="auto" w:sz="4" w:space="0"/>
            </w:tcBorders>
            <w:vAlign w:val="center"/>
          </w:tcPr>
          <w:p w14:paraId="1519C56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c>
          <w:tcPr>
            <w:tcW w:w="3279" w:type="dxa"/>
            <w:vMerge w:val="restart"/>
            <w:tcBorders>
              <w:top w:val="single" w:color="auto" w:sz="4" w:space="0"/>
              <w:left w:val="single" w:color="auto" w:sz="4" w:space="0"/>
              <w:right w:val="single" w:color="auto" w:sz="4" w:space="0"/>
            </w:tcBorders>
            <w:vAlign w:val="center"/>
          </w:tcPr>
          <w:p w14:paraId="5FD1986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《环境空气质量标准》（GB3095-2012）</w:t>
            </w:r>
          </w:p>
        </w:tc>
      </w:tr>
      <w:tr w14:paraId="121A2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top w:val="single" w:color="auto" w:sz="4" w:space="0"/>
              <w:left w:val="single" w:color="auto" w:sz="4" w:space="0"/>
              <w:bottom w:val="single" w:color="auto" w:sz="4" w:space="0"/>
              <w:right w:val="single" w:color="auto" w:sz="4" w:space="0"/>
            </w:tcBorders>
            <w:vAlign w:val="center"/>
          </w:tcPr>
          <w:p w14:paraId="563A8497">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3502D13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68E96C3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0.05</w:t>
            </w:r>
          </w:p>
        </w:tc>
        <w:tc>
          <w:tcPr>
            <w:tcW w:w="1092" w:type="dxa"/>
            <w:tcBorders>
              <w:top w:val="single" w:color="auto" w:sz="4" w:space="0"/>
              <w:left w:val="single" w:color="auto" w:sz="4" w:space="0"/>
              <w:bottom w:val="single" w:color="auto" w:sz="4" w:space="0"/>
              <w:right w:val="single" w:color="auto" w:sz="4" w:space="0"/>
            </w:tcBorders>
            <w:vAlign w:val="center"/>
          </w:tcPr>
          <w:p w14:paraId="228D926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0.15</w:t>
            </w:r>
          </w:p>
        </w:tc>
        <w:tc>
          <w:tcPr>
            <w:tcW w:w="3279" w:type="dxa"/>
            <w:vMerge w:val="continue"/>
            <w:tcBorders>
              <w:left w:val="single" w:color="auto" w:sz="4" w:space="0"/>
              <w:right w:val="single" w:color="auto" w:sz="4" w:space="0"/>
            </w:tcBorders>
            <w:vAlign w:val="center"/>
          </w:tcPr>
          <w:p w14:paraId="6CD81210">
            <w:pPr>
              <w:autoSpaceDE w:val="0"/>
              <w:autoSpaceDN w:val="0"/>
              <w:jc w:val="center"/>
              <w:rPr>
                <w:rFonts w:ascii="Times New Roman" w:hAnsi="Times New Roman" w:eastAsia="宋体" w:cs="Times New Roman"/>
                <w:color w:val="auto"/>
                <w:kern w:val="0"/>
                <w:szCs w:val="21"/>
                <w:u w:val="none" w:color="auto"/>
              </w:rPr>
            </w:pPr>
          </w:p>
        </w:tc>
      </w:tr>
      <w:tr w14:paraId="0E0C0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top w:val="single" w:color="auto" w:sz="4" w:space="0"/>
              <w:left w:val="single" w:color="auto" w:sz="4" w:space="0"/>
              <w:bottom w:val="single" w:color="auto" w:sz="4" w:space="0"/>
              <w:right w:val="single" w:color="auto" w:sz="4" w:space="0"/>
            </w:tcBorders>
            <w:vAlign w:val="center"/>
          </w:tcPr>
          <w:p w14:paraId="494B1189">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143DF7A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年平均</w:t>
            </w:r>
          </w:p>
        </w:tc>
        <w:tc>
          <w:tcPr>
            <w:tcW w:w="1077" w:type="dxa"/>
            <w:tcBorders>
              <w:top w:val="single" w:color="auto" w:sz="4" w:space="0"/>
              <w:left w:val="single" w:color="auto" w:sz="4" w:space="0"/>
              <w:bottom w:val="single" w:color="auto" w:sz="4" w:space="0"/>
              <w:right w:val="single" w:color="auto" w:sz="4" w:space="0"/>
            </w:tcBorders>
            <w:vAlign w:val="center"/>
          </w:tcPr>
          <w:p w14:paraId="0B086094">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0.02</w:t>
            </w:r>
          </w:p>
        </w:tc>
        <w:tc>
          <w:tcPr>
            <w:tcW w:w="1092" w:type="dxa"/>
            <w:tcBorders>
              <w:top w:val="single" w:color="auto" w:sz="4" w:space="0"/>
              <w:left w:val="single" w:color="auto" w:sz="4" w:space="0"/>
              <w:bottom w:val="single" w:color="auto" w:sz="4" w:space="0"/>
              <w:right w:val="single" w:color="auto" w:sz="4" w:space="0"/>
            </w:tcBorders>
            <w:vAlign w:val="center"/>
          </w:tcPr>
          <w:p w14:paraId="482C73AC">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0.06</w:t>
            </w:r>
          </w:p>
        </w:tc>
        <w:tc>
          <w:tcPr>
            <w:tcW w:w="3279" w:type="dxa"/>
            <w:vMerge w:val="continue"/>
            <w:tcBorders>
              <w:left w:val="single" w:color="auto" w:sz="4" w:space="0"/>
              <w:right w:val="single" w:color="auto" w:sz="4" w:space="0"/>
            </w:tcBorders>
            <w:vAlign w:val="center"/>
          </w:tcPr>
          <w:p w14:paraId="7F41A60F">
            <w:pPr>
              <w:autoSpaceDE w:val="0"/>
              <w:autoSpaceDN w:val="0"/>
              <w:jc w:val="center"/>
              <w:rPr>
                <w:rFonts w:ascii="Times New Roman" w:hAnsi="Times New Roman" w:eastAsia="宋体" w:cs="Times New Roman"/>
                <w:color w:val="auto"/>
                <w:kern w:val="0"/>
                <w:szCs w:val="21"/>
                <w:u w:val="none" w:color="auto"/>
              </w:rPr>
            </w:pPr>
          </w:p>
        </w:tc>
      </w:tr>
      <w:tr w14:paraId="5873A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bottom w:val="single" w:color="auto" w:sz="4" w:space="0"/>
              <w:right w:val="single" w:color="auto" w:sz="4" w:space="0"/>
            </w:tcBorders>
            <w:vAlign w:val="center"/>
          </w:tcPr>
          <w:p w14:paraId="4F0A04D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NO</w:t>
            </w:r>
            <w:r>
              <w:rPr>
                <w:rFonts w:ascii="Times New Roman" w:hAnsi="Times New Roman" w:eastAsia="宋体" w:cs="Times New Roman"/>
                <w:color w:val="auto"/>
                <w:kern w:val="0"/>
                <w:szCs w:val="21"/>
                <w:u w:val="none" w:color="auto"/>
                <w:vertAlign w:val="subscript"/>
              </w:rPr>
              <w:t>2</w:t>
            </w:r>
          </w:p>
        </w:tc>
        <w:tc>
          <w:tcPr>
            <w:tcW w:w="1582" w:type="dxa"/>
            <w:tcBorders>
              <w:top w:val="single" w:color="auto" w:sz="4" w:space="0"/>
              <w:left w:val="single" w:color="auto" w:sz="4" w:space="0"/>
              <w:bottom w:val="single" w:color="auto" w:sz="4" w:space="0"/>
              <w:right w:val="single" w:color="auto" w:sz="4" w:space="0"/>
            </w:tcBorders>
            <w:vAlign w:val="center"/>
          </w:tcPr>
          <w:p w14:paraId="1D68987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1B4E5156">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0.20</w:t>
            </w:r>
          </w:p>
        </w:tc>
        <w:tc>
          <w:tcPr>
            <w:tcW w:w="1092" w:type="dxa"/>
            <w:tcBorders>
              <w:top w:val="single" w:color="auto" w:sz="4" w:space="0"/>
              <w:left w:val="single" w:color="auto" w:sz="4" w:space="0"/>
              <w:bottom w:val="single" w:color="auto" w:sz="4" w:space="0"/>
              <w:right w:val="single" w:color="auto" w:sz="4" w:space="0"/>
            </w:tcBorders>
            <w:vAlign w:val="center"/>
          </w:tcPr>
          <w:p w14:paraId="2147591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0.20</w:t>
            </w:r>
          </w:p>
        </w:tc>
        <w:tc>
          <w:tcPr>
            <w:tcW w:w="3279" w:type="dxa"/>
            <w:vMerge w:val="continue"/>
            <w:tcBorders>
              <w:left w:val="single" w:color="auto" w:sz="4" w:space="0"/>
              <w:right w:val="single" w:color="auto" w:sz="4" w:space="0"/>
            </w:tcBorders>
            <w:vAlign w:val="center"/>
          </w:tcPr>
          <w:p w14:paraId="776F9388">
            <w:pPr>
              <w:autoSpaceDE w:val="0"/>
              <w:autoSpaceDN w:val="0"/>
              <w:jc w:val="center"/>
              <w:rPr>
                <w:rFonts w:ascii="Times New Roman" w:hAnsi="Times New Roman" w:eastAsia="宋体" w:cs="Times New Roman"/>
                <w:color w:val="auto"/>
                <w:kern w:val="0"/>
                <w:szCs w:val="21"/>
                <w:u w:val="none" w:color="auto"/>
              </w:rPr>
            </w:pPr>
          </w:p>
        </w:tc>
      </w:tr>
      <w:tr w14:paraId="7B6D7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top w:val="single" w:color="auto" w:sz="4" w:space="0"/>
              <w:left w:val="single" w:color="auto" w:sz="4" w:space="0"/>
              <w:bottom w:val="single" w:color="auto" w:sz="4" w:space="0"/>
              <w:right w:val="single" w:color="auto" w:sz="4" w:space="0"/>
            </w:tcBorders>
            <w:vAlign w:val="center"/>
          </w:tcPr>
          <w:p w14:paraId="2671977F">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76519CE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544DCE3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0.08</w:t>
            </w:r>
          </w:p>
        </w:tc>
        <w:tc>
          <w:tcPr>
            <w:tcW w:w="1092" w:type="dxa"/>
            <w:tcBorders>
              <w:top w:val="single" w:color="auto" w:sz="4" w:space="0"/>
              <w:left w:val="single" w:color="auto" w:sz="4" w:space="0"/>
              <w:bottom w:val="single" w:color="auto" w:sz="4" w:space="0"/>
              <w:right w:val="single" w:color="auto" w:sz="4" w:space="0"/>
            </w:tcBorders>
            <w:vAlign w:val="center"/>
          </w:tcPr>
          <w:p w14:paraId="65E3E91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0.08</w:t>
            </w:r>
          </w:p>
        </w:tc>
        <w:tc>
          <w:tcPr>
            <w:tcW w:w="3279" w:type="dxa"/>
            <w:vMerge w:val="continue"/>
            <w:tcBorders>
              <w:left w:val="single" w:color="auto" w:sz="4" w:space="0"/>
              <w:right w:val="single" w:color="auto" w:sz="4" w:space="0"/>
            </w:tcBorders>
            <w:vAlign w:val="center"/>
          </w:tcPr>
          <w:p w14:paraId="1AC41500">
            <w:pPr>
              <w:autoSpaceDE w:val="0"/>
              <w:autoSpaceDN w:val="0"/>
              <w:jc w:val="center"/>
              <w:rPr>
                <w:rFonts w:ascii="Times New Roman" w:hAnsi="Times New Roman" w:eastAsia="宋体" w:cs="Times New Roman"/>
                <w:color w:val="auto"/>
                <w:kern w:val="0"/>
                <w:szCs w:val="21"/>
                <w:u w:val="none" w:color="auto"/>
              </w:rPr>
            </w:pPr>
          </w:p>
        </w:tc>
      </w:tr>
      <w:tr w14:paraId="73574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top w:val="single" w:color="auto" w:sz="4" w:space="0"/>
              <w:left w:val="single" w:color="auto" w:sz="4" w:space="0"/>
              <w:bottom w:val="single" w:color="auto" w:sz="4" w:space="0"/>
              <w:right w:val="single" w:color="auto" w:sz="4" w:space="0"/>
            </w:tcBorders>
            <w:vAlign w:val="center"/>
          </w:tcPr>
          <w:p w14:paraId="09BA8AE0">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4DF491B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年平均</w:t>
            </w:r>
          </w:p>
        </w:tc>
        <w:tc>
          <w:tcPr>
            <w:tcW w:w="1077" w:type="dxa"/>
            <w:tcBorders>
              <w:top w:val="single" w:color="auto" w:sz="4" w:space="0"/>
              <w:left w:val="single" w:color="auto" w:sz="4" w:space="0"/>
              <w:bottom w:val="single" w:color="auto" w:sz="4" w:space="0"/>
              <w:right w:val="single" w:color="auto" w:sz="4" w:space="0"/>
            </w:tcBorders>
            <w:vAlign w:val="center"/>
          </w:tcPr>
          <w:p w14:paraId="4E49E790">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0.04</w:t>
            </w:r>
          </w:p>
        </w:tc>
        <w:tc>
          <w:tcPr>
            <w:tcW w:w="1092" w:type="dxa"/>
            <w:tcBorders>
              <w:top w:val="single" w:color="auto" w:sz="4" w:space="0"/>
              <w:left w:val="single" w:color="auto" w:sz="4" w:space="0"/>
              <w:bottom w:val="single" w:color="auto" w:sz="4" w:space="0"/>
              <w:right w:val="single" w:color="auto" w:sz="4" w:space="0"/>
            </w:tcBorders>
            <w:vAlign w:val="center"/>
          </w:tcPr>
          <w:p w14:paraId="61C571C6">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0.04</w:t>
            </w:r>
          </w:p>
        </w:tc>
        <w:tc>
          <w:tcPr>
            <w:tcW w:w="3279" w:type="dxa"/>
            <w:vMerge w:val="continue"/>
            <w:tcBorders>
              <w:left w:val="single" w:color="auto" w:sz="4" w:space="0"/>
              <w:right w:val="single" w:color="auto" w:sz="4" w:space="0"/>
            </w:tcBorders>
            <w:vAlign w:val="center"/>
          </w:tcPr>
          <w:p w14:paraId="44CF06BF">
            <w:pPr>
              <w:autoSpaceDE w:val="0"/>
              <w:autoSpaceDN w:val="0"/>
              <w:jc w:val="center"/>
              <w:rPr>
                <w:rFonts w:ascii="Times New Roman" w:hAnsi="Times New Roman" w:eastAsia="宋体" w:cs="Times New Roman"/>
                <w:color w:val="auto"/>
                <w:kern w:val="0"/>
                <w:szCs w:val="21"/>
                <w:u w:val="none" w:color="auto"/>
              </w:rPr>
            </w:pPr>
          </w:p>
        </w:tc>
      </w:tr>
      <w:tr w14:paraId="025E3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bottom w:val="single" w:color="auto" w:sz="4" w:space="0"/>
              <w:right w:val="single" w:color="auto" w:sz="4" w:space="0"/>
            </w:tcBorders>
            <w:vAlign w:val="center"/>
          </w:tcPr>
          <w:p w14:paraId="2940EEC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PM</w:t>
            </w:r>
            <w:r>
              <w:rPr>
                <w:rFonts w:ascii="Times New Roman" w:hAnsi="Times New Roman" w:eastAsia="宋体" w:cs="Times New Roman"/>
                <w:color w:val="auto"/>
                <w:kern w:val="0"/>
                <w:szCs w:val="21"/>
                <w:u w:val="none" w:color="auto"/>
                <w:vertAlign w:val="subscript"/>
              </w:rPr>
              <w:t>10</w:t>
            </w:r>
          </w:p>
        </w:tc>
        <w:tc>
          <w:tcPr>
            <w:tcW w:w="1582" w:type="dxa"/>
            <w:tcBorders>
              <w:top w:val="single" w:color="auto" w:sz="4" w:space="0"/>
              <w:left w:val="single" w:color="auto" w:sz="4" w:space="0"/>
              <w:bottom w:val="single" w:color="auto" w:sz="4" w:space="0"/>
              <w:right w:val="single" w:color="auto" w:sz="4" w:space="0"/>
            </w:tcBorders>
            <w:vAlign w:val="center"/>
          </w:tcPr>
          <w:p w14:paraId="16490E2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4C5E55C8">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0.05</w:t>
            </w:r>
          </w:p>
        </w:tc>
        <w:tc>
          <w:tcPr>
            <w:tcW w:w="1092" w:type="dxa"/>
            <w:tcBorders>
              <w:top w:val="single" w:color="auto" w:sz="4" w:space="0"/>
              <w:left w:val="single" w:color="auto" w:sz="4" w:space="0"/>
              <w:bottom w:val="single" w:color="auto" w:sz="4" w:space="0"/>
              <w:right w:val="single" w:color="auto" w:sz="4" w:space="0"/>
            </w:tcBorders>
            <w:vAlign w:val="center"/>
          </w:tcPr>
          <w:p w14:paraId="1ACCD02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0.15</w:t>
            </w:r>
          </w:p>
        </w:tc>
        <w:tc>
          <w:tcPr>
            <w:tcW w:w="3279" w:type="dxa"/>
            <w:vMerge w:val="continue"/>
            <w:tcBorders>
              <w:left w:val="single" w:color="auto" w:sz="4" w:space="0"/>
              <w:right w:val="single" w:color="auto" w:sz="4" w:space="0"/>
            </w:tcBorders>
            <w:vAlign w:val="center"/>
          </w:tcPr>
          <w:p w14:paraId="3E1A1871">
            <w:pPr>
              <w:autoSpaceDE w:val="0"/>
              <w:autoSpaceDN w:val="0"/>
              <w:jc w:val="center"/>
              <w:rPr>
                <w:rFonts w:ascii="Times New Roman" w:hAnsi="Times New Roman" w:eastAsia="宋体" w:cs="Times New Roman"/>
                <w:color w:val="auto"/>
                <w:kern w:val="0"/>
                <w:szCs w:val="21"/>
                <w:u w:val="none" w:color="auto"/>
              </w:rPr>
            </w:pPr>
          </w:p>
        </w:tc>
      </w:tr>
      <w:tr w14:paraId="5E10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left w:val="single" w:color="auto" w:sz="4" w:space="0"/>
              <w:right w:val="single" w:color="auto" w:sz="4" w:space="0"/>
            </w:tcBorders>
            <w:vAlign w:val="center"/>
          </w:tcPr>
          <w:p w14:paraId="751ECA99">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7130504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年平均</w:t>
            </w:r>
          </w:p>
        </w:tc>
        <w:tc>
          <w:tcPr>
            <w:tcW w:w="1077" w:type="dxa"/>
            <w:tcBorders>
              <w:top w:val="single" w:color="auto" w:sz="4" w:space="0"/>
              <w:left w:val="single" w:color="auto" w:sz="4" w:space="0"/>
              <w:bottom w:val="single" w:color="auto" w:sz="4" w:space="0"/>
              <w:right w:val="single" w:color="auto" w:sz="4" w:space="0"/>
            </w:tcBorders>
            <w:vAlign w:val="center"/>
          </w:tcPr>
          <w:p w14:paraId="0108D42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0.04</w:t>
            </w:r>
          </w:p>
        </w:tc>
        <w:tc>
          <w:tcPr>
            <w:tcW w:w="1092" w:type="dxa"/>
            <w:tcBorders>
              <w:top w:val="single" w:color="auto" w:sz="4" w:space="0"/>
              <w:left w:val="single" w:color="auto" w:sz="4" w:space="0"/>
              <w:bottom w:val="single" w:color="auto" w:sz="4" w:space="0"/>
              <w:right w:val="single" w:color="auto" w:sz="4" w:space="0"/>
            </w:tcBorders>
            <w:vAlign w:val="center"/>
          </w:tcPr>
          <w:p w14:paraId="1400E7F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0.07</w:t>
            </w:r>
          </w:p>
        </w:tc>
        <w:tc>
          <w:tcPr>
            <w:tcW w:w="3279" w:type="dxa"/>
            <w:vMerge w:val="continue"/>
            <w:tcBorders>
              <w:left w:val="single" w:color="auto" w:sz="4" w:space="0"/>
              <w:right w:val="single" w:color="auto" w:sz="4" w:space="0"/>
            </w:tcBorders>
            <w:vAlign w:val="center"/>
          </w:tcPr>
          <w:p w14:paraId="676C031F">
            <w:pPr>
              <w:autoSpaceDE w:val="0"/>
              <w:autoSpaceDN w:val="0"/>
              <w:jc w:val="center"/>
              <w:rPr>
                <w:rFonts w:ascii="Times New Roman" w:hAnsi="Times New Roman" w:eastAsia="宋体" w:cs="Times New Roman"/>
                <w:color w:val="auto"/>
                <w:kern w:val="0"/>
                <w:szCs w:val="21"/>
                <w:u w:val="none" w:color="auto"/>
              </w:rPr>
            </w:pPr>
          </w:p>
        </w:tc>
      </w:tr>
      <w:tr w14:paraId="4C3AC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left w:val="single" w:color="auto" w:sz="4" w:space="0"/>
              <w:right w:val="single" w:color="auto" w:sz="4" w:space="0"/>
            </w:tcBorders>
            <w:vAlign w:val="center"/>
          </w:tcPr>
          <w:p w14:paraId="4CFD18E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PM</w:t>
            </w:r>
            <w:r>
              <w:rPr>
                <w:rFonts w:ascii="Times New Roman" w:hAnsi="Times New Roman" w:eastAsia="宋体" w:cs="Times New Roman"/>
                <w:color w:val="auto"/>
                <w:kern w:val="0"/>
                <w:szCs w:val="21"/>
                <w:u w:val="none" w:color="auto"/>
                <w:vertAlign w:val="subscript"/>
              </w:rPr>
              <w:t>2.5</w:t>
            </w:r>
          </w:p>
        </w:tc>
        <w:tc>
          <w:tcPr>
            <w:tcW w:w="1582" w:type="dxa"/>
            <w:tcBorders>
              <w:top w:val="single" w:color="auto" w:sz="4" w:space="0"/>
              <w:left w:val="single" w:color="auto" w:sz="4" w:space="0"/>
              <w:bottom w:val="single" w:color="auto" w:sz="4" w:space="0"/>
              <w:right w:val="single" w:color="auto" w:sz="4" w:space="0"/>
            </w:tcBorders>
            <w:vAlign w:val="center"/>
          </w:tcPr>
          <w:p w14:paraId="21FD9B2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4489E7A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0.035</w:t>
            </w:r>
          </w:p>
        </w:tc>
        <w:tc>
          <w:tcPr>
            <w:tcW w:w="1092" w:type="dxa"/>
            <w:tcBorders>
              <w:top w:val="single" w:color="auto" w:sz="4" w:space="0"/>
              <w:left w:val="single" w:color="auto" w:sz="4" w:space="0"/>
              <w:bottom w:val="single" w:color="auto" w:sz="4" w:space="0"/>
              <w:right w:val="single" w:color="auto" w:sz="4" w:space="0"/>
            </w:tcBorders>
            <w:vAlign w:val="center"/>
          </w:tcPr>
          <w:p w14:paraId="26DAA1F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0.075</w:t>
            </w:r>
          </w:p>
        </w:tc>
        <w:tc>
          <w:tcPr>
            <w:tcW w:w="3279" w:type="dxa"/>
            <w:vMerge w:val="continue"/>
            <w:tcBorders>
              <w:left w:val="single" w:color="auto" w:sz="4" w:space="0"/>
              <w:right w:val="single" w:color="auto" w:sz="4" w:space="0"/>
            </w:tcBorders>
            <w:vAlign w:val="center"/>
          </w:tcPr>
          <w:p w14:paraId="67D9E882">
            <w:pPr>
              <w:autoSpaceDE w:val="0"/>
              <w:autoSpaceDN w:val="0"/>
              <w:jc w:val="center"/>
              <w:rPr>
                <w:rFonts w:ascii="Times New Roman" w:hAnsi="Times New Roman" w:eastAsia="宋体" w:cs="Times New Roman"/>
                <w:color w:val="auto"/>
                <w:kern w:val="0"/>
                <w:szCs w:val="21"/>
                <w:u w:val="none" w:color="auto"/>
              </w:rPr>
            </w:pPr>
          </w:p>
        </w:tc>
      </w:tr>
      <w:tr w14:paraId="2B923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left w:val="single" w:color="auto" w:sz="4" w:space="0"/>
              <w:right w:val="single" w:color="auto" w:sz="4" w:space="0"/>
            </w:tcBorders>
            <w:vAlign w:val="center"/>
          </w:tcPr>
          <w:p w14:paraId="4FE9C573">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4EF9DA2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年平均</w:t>
            </w:r>
          </w:p>
        </w:tc>
        <w:tc>
          <w:tcPr>
            <w:tcW w:w="1077" w:type="dxa"/>
            <w:tcBorders>
              <w:top w:val="single" w:color="auto" w:sz="4" w:space="0"/>
              <w:left w:val="single" w:color="auto" w:sz="4" w:space="0"/>
              <w:bottom w:val="single" w:color="auto" w:sz="4" w:space="0"/>
              <w:right w:val="single" w:color="auto" w:sz="4" w:space="0"/>
            </w:tcBorders>
            <w:vAlign w:val="center"/>
          </w:tcPr>
          <w:p w14:paraId="143FCA6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0.015</w:t>
            </w:r>
          </w:p>
        </w:tc>
        <w:tc>
          <w:tcPr>
            <w:tcW w:w="1092" w:type="dxa"/>
            <w:tcBorders>
              <w:top w:val="single" w:color="auto" w:sz="4" w:space="0"/>
              <w:left w:val="single" w:color="auto" w:sz="4" w:space="0"/>
              <w:bottom w:val="single" w:color="auto" w:sz="4" w:space="0"/>
              <w:right w:val="single" w:color="auto" w:sz="4" w:space="0"/>
            </w:tcBorders>
            <w:vAlign w:val="center"/>
          </w:tcPr>
          <w:p w14:paraId="7BE60F5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0.035</w:t>
            </w:r>
          </w:p>
        </w:tc>
        <w:tc>
          <w:tcPr>
            <w:tcW w:w="3279" w:type="dxa"/>
            <w:vMerge w:val="continue"/>
            <w:tcBorders>
              <w:left w:val="single" w:color="auto" w:sz="4" w:space="0"/>
              <w:right w:val="single" w:color="auto" w:sz="4" w:space="0"/>
            </w:tcBorders>
            <w:vAlign w:val="center"/>
          </w:tcPr>
          <w:p w14:paraId="7F1CD819">
            <w:pPr>
              <w:autoSpaceDE w:val="0"/>
              <w:autoSpaceDN w:val="0"/>
              <w:jc w:val="center"/>
              <w:rPr>
                <w:rFonts w:ascii="Times New Roman" w:hAnsi="Times New Roman" w:eastAsia="宋体" w:cs="Times New Roman"/>
                <w:color w:val="auto"/>
                <w:kern w:val="0"/>
                <w:szCs w:val="21"/>
                <w:u w:val="none" w:color="auto"/>
              </w:rPr>
            </w:pPr>
          </w:p>
        </w:tc>
      </w:tr>
      <w:tr w14:paraId="05C2B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right w:val="single" w:color="auto" w:sz="4" w:space="0"/>
            </w:tcBorders>
            <w:vAlign w:val="center"/>
          </w:tcPr>
          <w:p w14:paraId="65BD513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O</w:t>
            </w:r>
            <w:r>
              <w:rPr>
                <w:rFonts w:ascii="Times New Roman" w:hAnsi="Times New Roman" w:eastAsia="宋体" w:cs="Times New Roman"/>
                <w:color w:val="auto"/>
                <w:kern w:val="0"/>
                <w:szCs w:val="21"/>
                <w:u w:val="none" w:color="auto"/>
                <w:vertAlign w:val="subscript"/>
              </w:rPr>
              <w:t>3</w:t>
            </w:r>
          </w:p>
        </w:tc>
        <w:tc>
          <w:tcPr>
            <w:tcW w:w="1582" w:type="dxa"/>
            <w:tcBorders>
              <w:top w:val="single" w:color="auto" w:sz="4" w:space="0"/>
              <w:left w:val="single" w:color="auto" w:sz="4" w:space="0"/>
              <w:bottom w:val="single" w:color="auto" w:sz="4" w:space="0"/>
              <w:right w:val="single" w:color="auto" w:sz="4" w:space="0"/>
            </w:tcBorders>
            <w:vAlign w:val="center"/>
          </w:tcPr>
          <w:p w14:paraId="195361C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40DCF101">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0.16</w:t>
            </w:r>
          </w:p>
        </w:tc>
        <w:tc>
          <w:tcPr>
            <w:tcW w:w="1092" w:type="dxa"/>
            <w:tcBorders>
              <w:top w:val="single" w:color="auto" w:sz="4" w:space="0"/>
              <w:left w:val="single" w:color="auto" w:sz="4" w:space="0"/>
              <w:bottom w:val="single" w:color="auto" w:sz="4" w:space="0"/>
              <w:right w:val="single" w:color="auto" w:sz="4" w:space="0"/>
            </w:tcBorders>
            <w:vAlign w:val="center"/>
          </w:tcPr>
          <w:p w14:paraId="1F579D2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0.20</w:t>
            </w:r>
          </w:p>
        </w:tc>
        <w:tc>
          <w:tcPr>
            <w:tcW w:w="3279" w:type="dxa"/>
            <w:vMerge w:val="continue"/>
            <w:tcBorders>
              <w:left w:val="single" w:color="auto" w:sz="4" w:space="0"/>
              <w:right w:val="single" w:color="auto" w:sz="4" w:space="0"/>
            </w:tcBorders>
            <w:vAlign w:val="center"/>
          </w:tcPr>
          <w:p w14:paraId="683FDF2F">
            <w:pPr>
              <w:autoSpaceDE w:val="0"/>
              <w:autoSpaceDN w:val="0"/>
              <w:jc w:val="center"/>
              <w:rPr>
                <w:rFonts w:ascii="Times New Roman" w:hAnsi="Times New Roman" w:eastAsia="宋体" w:cs="Times New Roman"/>
                <w:color w:val="auto"/>
                <w:kern w:val="0"/>
                <w:szCs w:val="21"/>
                <w:u w:val="none" w:color="auto"/>
              </w:rPr>
            </w:pPr>
          </w:p>
        </w:tc>
      </w:tr>
      <w:tr w14:paraId="6E962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left w:val="single" w:color="auto" w:sz="4" w:space="0"/>
              <w:bottom w:val="single" w:color="auto" w:sz="4" w:space="0"/>
              <w:right w:val="single" w:color="auto" w:sz="4" w:space="0"/>
            </w:tcBorders>
            <w:vAlign w:val="center"/>
          </w:tcPr>
          <w:p w14:paraId="17984E8F">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4836A39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8小时平均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6214516E">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0.10</w:t>
            </w:r>
          </w:p>
        </w:tc>
        <w:tc>
          <w:tcPr>
            <w:tcW w:w="1092" w:type="dxa"/>
            <w:tcBorders>
              <w:top w:val="single" w:color="auto" w:sz="4" w:space="0"/>
              <w:left w:val="single" w:color="auto" w:sz="4" w:space="0"/>
              <w:bottom w:val="single" w:color="auto" w:sz="4" w:space="0"/>
              <w:right w:val="single" w:color="auto" w:sz="4" w:space="0"/>
            </w:tcBorders>
            <w:vAlign w:val="center"/>
          </w:tcPr>
          <w:p w14:paraId="1785C94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0.16</w:t>
            </w:r>
          </w:p>
        </w:tc>
        <w:tc>
          <w:tcPr>
            <w:tcW w:w="3279" w:type="dxa"/>
            <w:vMerge w:val="continue"/>
            <w:tcBorders>
              <w:left w:val="single" w:color="auto" w:sz="4" w:space="0"/>
              <w:right w:val="single" w:color="auto" w:sz="4" w:space="0"/>
            </w:tcBorders>
            <w:vAlign w:val="center"/>
          </w:tcPr>
          <w:p w14:paraId="25F99A9E">
            <w:pPr>
              <w:autoSpaceDE w:val="0"/>
              <w:autoSpaceDN w:val="0"/>
              <w:jc w:val="center"/>
              <w:rPr>
                <w:rFonts w:ascii="Times New Roman" w:hAnsi="Times New Roman" w:eastAsia="宋体" w:cs="Times New Roman"/>
                <w:color w:val="auto"/>
                <w:kern w:val="0"/>
                <w:szCs w:val="21"/>
                <w:u w:val="none" w:color="auto"/>
              </w:rPr>
            </w:pPr>
          </w:p>
        </w:tc>
      </w:tr>
      <w:tr w14:paraId="68FFC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bottom w:val="single" w:color="auto" w:sz="4" w:space="0"/>
              <w:right w:val="single" w:color="auto" w:sz="4" w:space="0"/>
            </w:tcBorders>
            <w:vAlign w:val="center"/>
          </w:tcPr>
          <w:p w14:paraId="7F82EDA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TSP</w:t>
            </w:r>
          </w:p>
        </w:tc>
        <w:tc>
          <w:tcPr>
            <w:tcW w:w="1582" w:type="dxa"/>
            <w:tcBorders>
              <w:top w:val="single" w:color="auto" w:sz="4" w:space="0"/>
              <w:left w:val="single" w:color="auto" w:sz="4" w:space="0"/>
              <w:bottom w:val="single" w:color="auto" w:sz="4" w:space="0"/>
              <w:right w:val="single" w:color="auto" w:sz="4" w:space="0"/>
            </w:tcBorders>
            <w:vAlign w:val="center"/>
          </w:tcPr>
          <w:p w14:paraId="00FEEEE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54BC2A8C">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0.12</w:t>
            </w:r>
          </w:p>
        </w:tc>
        <w:tc>
          <w:tcPr>
            <w:tcW w:w="1092" w:type="dxa"/>
            <w:tcBorders>
              <w:top w:val="single" w:color="auto" w:sz="4" w:space="0"/>
              <w:left w:val="single" w:color="auto" w:sz="4" w:space="0"/>
              <w:bottom w:val="single" w:color="auto" w:sz="4" w:space="0"/>
              <w:right w:val="single" w:color="auto" w:sz="4" w:space="0"/>
            </w:tcBorders>
            <w:vAlign w:val="center"/>
          </w:tcPr>
          <w:p w14:paraId="4A4883A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0.30</w:t>
            </w:r>
          </w:p>
        </w:tc>
        <w:tc>
          <w:tcPr>
            <w:tcW w:w="3279" w:type="dxa"/>
            <w:vMerge w:val="continue"/>
            <w:tcBorders>
              <w:left w:val="single" w:color="auto" w:sz="4" w:space="0"/>
              <w:right w:val="single" w:color="auto" w:sz="4" w:space="0"/>
            </w:tcBorders>
            <w:vAlign w:val="center"/>
          </w:tcPr>
          <w:p w14:paraId="60AC84FA">
            <w:pPr>
              <w:autoSpaceDE w:val="0"/>
              <w:autoSpaceDN w:val="0"/>
              <w:jc w:val="center"/>
              <w:rPr>
                <w:rFonts w:ascii="Times New Roman" w:hAnsi="Times New Roman" w:eastAsia="宋体" w:cs="Times New Roman"/>
                <w:color w:val="auto"/>
                <w:kern w:val="0"/>
                <w:szCs w:val="21"/>
                <w:u w:val="none" w:color="auto"/>
              </w:rPr>
            </w:pPr>
          </w:p>
        </w:tc>
      </w:tr>
      <w:tr w14:paraId="35C5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top w:val="single" w:color="auto" w:sz="4" w:space="0"/>
              <w:left w:val="single" w:color="auto" w:sz="4" w:space="0"/>
              <w:bottom w:val="single" w:color="auto" w:sz="4" w:space="0"/>
              <w:right w:val="single" w:color="auto" w:sz="4" w:space="0"/>
            </w:tcBorders>
            <w:vAlign w:val="center"/>
          </w:tcPr>
          <w:p w14:paraId="3FB6AF19">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28C4723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年平均</w:t>
            </w:r>
          </w:p>
        </w:tc>
        <w:tc>
          <w:tcPr>
            <w:tcW w:w="1077" w:type="dxa"/>
            <w:tcBorders>
              <w:top w:val="single" w:color="auto" w:sz="4" w:space="0"/>
              <w:left w:val="single" w:color="auto" w:sz="4" w:space="0"/>
              <w:bottom w:val="single" w:color="auto" w:sz="4" w:space="0"/>
              <w:right w:val="single" w:color="auto" w:sz="4" w:space="0"/>
            </w:tcBorders>
            <w:vAlign w:val="center"/>
          </w:tcPr>
          <w:p w14:paraId="3AAD0524">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0.08</w:t>
            </w:r>
          </w:p>
        </w:tc>
        <w:tc>
          <w:tcPr>
            <w:tcW w:w="1092" w:type="dxa"/>
            <w:tcBorders>
              <w:top w:val="single" w:color="auto" w:sz="4" w:space="0"/>
              <w:left w:val="single" w:color="auto" w:sz="4" w:space="0"/>
              <w:bottom w:val="single" w:color="auto" w:sz="4" w:space="0"/>
              <w:right w:val="single" w:color="auto" w:sz="4" w:space="0"/>
            </w:tcBorders>
            <w:vAlign w:val="center"/>
          </w:tcPr>
          <w:p w14:paraId="05B9CC0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0.20</w:t>
            </w:r>
          </w:p>
        </w:tc>
        <w:tc>
          <w:tcPr>
            <w:tcW w:w="3279" w:type="dxa"/>
            <w:vMerge w:val="continue"/>
            <w:tcBorders>
              <w:left w:val="single" w:color="auto" w:sz="4" w:space="0"/>
              <w:right w:val="single" w:color="auto" w:sz="4" w:space="0"/>
            </w:tcBorders>
            <w:vAlign w:val="center"/>
          </w:tcPr>
          <w:p w14:paraId="5D826536">
            <w:pPr>
              <w:autoSpaceDE w:val="0"/>
              <w:autoSpaceDN w:val="0"/>
              <w:jc w:val="center"/>
              <w:rPr>
                <w:rFonts w:ascii="Times New Roman" w:hAnsi="Times New Roman" w:eastAsia="宋体" w:cs="Times New Roman"/>
                <w:color w:val="auto"/>
                <w:kern w:val="0"/>
                <w:szCs w:val="21"/>
                <w:u w:val="none" w:color="auto"/>
              </w:rPr>
            </w:pPr>
          </w:p>
        </w:tc>
      </w:tr>
      <w:tr w14:paraId="56E4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restart"/>
            <w:tcBorders>
              <w:top w:val="single" w:color="auto" w:sz="4" w:space="0"/>
              <w:left w:val="single" w:color="auto" w:sz="4" w:space="0"/>
              <w:right w:val="single" w:color="auto" w:sz="4" w:space="0"/>
            </w:tcBorders>
            <w:vAlign w:val="center"/>
          </w:tcPr>
          <w:p w14:paraId="315741F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CO</w:t>
            </w:r>
          </w:p>
        </w:tc>
        <w:tc>
          <w:tcPr>
            <w:tcW w:w="1582" w:type="dxa"/>
            <w:tcBorders>
              <w:top w:val="single" w:color="auto" w:sz="4" w:space="0"/>
              <w:left w:val="single" w:color="auto" w:sz="4" w:space="0"/>
              <w:bottom w:val="single" w:color="auto" w:sz="4" w:space="0"/>
              <w:right w:val="single" w:color="auto" w:sz="4" w:space="0"/>
            </w:tcBorders>
            <w:vAlign w:val="center"/>
          </w:tcPr>
          <w:p w14:paraId="046B2AD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7A323E00">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10</w:t>
            </w:r>
          </w:p>
        </w:tc>
        <w:tc>
          <w:tcPr>
            <w:tcW w:w="1092" w:type="dxa"/>
            <w:tcBorders>
              <w:top w:val="single" w:color="auto" w:sz="4" w:space="0"/>
              <w:left w:val="single" w:color="auto" w:sz="4" w:space="0"/>
              <w:bottom w:val="single" w:color="auto" w:sz="4" w:space="0"/>
              <w:right w:val="single" w:color="auto" w:sz="4" w:space="0"/>
            </w:tcBorders>
            <w:vAlign w:val="center"/>
          </w:tcPr>
          <w:p w14:paraId="57CF3DBF">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10</w:t>
            </w:r>
          </w:p>
        </w:tc>
        <w:tc>
          <w:tcPr>
            <w:tcW w:w="3279" w:type="dxa"/>
            <w:vMerge w:val="continue"/>
            <w:tcBorders>
              <w:left w:val="single" w:color="auto" w:sz="4" w:space="0"/>
              <w:right w:val="single" w:color="auto" w:sz="4" w:space="0"/>
            </w:tcBorders>
            <w:vAlign w:val="center"/>
          </w:tcPr>
          <w:p w14:paraId="11FE3083">
            <w:pPr>
              <w:autoSpaceDE w:val="0"/>
              <w:autoSpaceDN w:val="0"/>
              <w:jc w:val="center"/>
              <w:rPr>
                <w:rFonts w:ascii="Times New Roman" w:hAnsi="Times New Roman" w:eastAsia="宋体" w:cs="Times New Roman"/>
                <w:color w:val="auto"/>
                <w:kern w:val="0"/>
                <w:szCs w:val="21"/>
                <w:u w:val="none" w:color="auto"/>
              </w:rPr>
            </w:pPr>
          </w:p>
        </w:tc>
      </w:tr>
      <w:tr w14:paraId="4C28E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vMerge w:val="continue"/>
            <w:tcBorders>
              <w:left w:val="single" w:color="auto" w:sz="4" w:space="0"/>
              <w:bottom w:val="single" w:color="auto" w:sz="4" w:space="0"/>
              <w:right w:val="single" w:color="auto" w:sz="4" w:space="0"/>
            </w:tcBorders>
            <w:vAlign w:val="center"/>
          </w:tcPr>
          <w:p w14:paraId="33C0CFDF">
            <w:pPr>
              <w:autoSpaceDE w:val="0"/>
              <w:autoSpaceDN w:val="0"/>
              <w:jc w:val="center"/>
              <w:rPr>
                <w:rFonts w:ascii="Times New Roman" w:hAnsi="Times New Roman" w:eastAsia="宋体" w:cs="Times New Roman"/>
                <w:color w:val="auto"/>
                <w:kern w:val="0"/>
                <w:szCs w:val="21"/>
                <w:u w:val="none" w:color="auto"/>
              </w:rPr>
            </w:pPr>
          </w:p>
        </w:tc>
        <w:tc>
          <w:tcPr>
            <w:tcW w:w="1582" w:type="dxa"/>
            <w:tcBorders>
              <w:top w:val="single" w:color="auto" w:sz="4" w:space="0"/>
              <w:left w:val="single" w:color="auto" w:sz="4" w:space="0"/>
              <w:bottom w:val="single" w:color="auto" w:sz="4" w:space="0"/>
              <w:right w:val="single" w:color="auto" w:sz="4" w:space="0"/>
            </w:tcBorders>
            <w:vAlign w:val="center"/>
          </w:tcPr>
          <w:p w14:paraId="48BDB48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24小时平均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461850F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4</w:t>
            </w:r>
          </w:p>
        </w:tc>
        <w:tc>
          <w:tcPr>
            <w:tcW w:w="1092" w:type="dxa"/>
            <w:tcBorders>
              <w:top w:val="single" w:color="auto" w:sz="4" w:space="0"/>
              <w:left w:val="single" w:color="auto" w:sz="4" w:space="0"/>
              <w:bottom w:val="single" w:color="auto" w:sz="4" w:space="0"/>
              <w:right w:val="single" w:color="auto" w:sz="4" w:space="0"/>
            </w:tcBorders>
            <w:vAlign w:val="center"/>
          </w:tcPr>
          <w:p w14:paraId="1787F95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4</w:t>
            </w:r>
          </w:p>
        </w:tc>
        <w:tc>
          <w:tcPr>
            <w:tcW w:w="3279" w:type="dxa"/>
            <w:vMerge w:val="continue"/>
            <w:tcBorders>
              <w:left w:val="single" w:color="auto" w:sz="4" w:space="0"/>
              <w:right w:val="single" w:color="auto" w:sz="4" w:space="0"/>
            </w:tcBorders>
            <w:vAlign w:val="center"/>
          </w:tcPr>
          <w:p w14:paraId="2D2EC865">
            <w:pPr>
              <w:autoSpaceDE w:val="0"/>
              <w:autoSpaceDN w:val="0"/>
              <w:jc w:val="center"/>
              <w:rPr>
                <w:rFonts w:ascii="Times New Roman" w:hAnsi="Times New Roman" w:eastAsia="宋体" w:cs="Times New Roman"/>
                <w:color w:val="auto"/>
                <w:kern w:val="0"/>
                <w:szCs w:val="21"/>
                <w:u w:val="none" w:color="auto"/>
              </w:rPr>
            </w:pPr>
          </w:p>
        </w:tc>
      </w:tr>
      <w:tr w14:paraId="58935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tcBorders>
              <w:top w:val="single" w:color="auto" w:sz="4" w:space="0"/>
              <w:left w:val="single" w:color="auto" w:sz="4" w:space="0"/>
              <w:bottom w:val="single" w:color="auto" w:sz="4" w:space="0"/>
              <w:right w:val="single" w:color="auto" w:sz="4" w:space="0"/>
            </w:tcBorders>
            <w:vAlign w:val="center"/>
          </w:tcPr>
          <w:p w14:paraId="0EBE4825">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甲苯</w:t>
            </w:r>
          </w:p>
        </w:tc>
        <w:tc>
          <w:tcPr>
            <w:tcW w:w="1582" w:type="dxa"/>
            <w:tcBorders>
              <w:top w:val="single" w:color="auto" w:sz="4" w:space="0"/>
              <w:left w:val="single" w:color="auto" w:sz="4" w:space="0"/>
              <w:bottom w:val="single" w:color="auto" w:sz="4" w:space="0"/>
              <w:right w:val="single" w:color="auto" w:sz="4" w:space="0"/>
            </w:tcBorders>
            <w:vAlign w:val="center"/>
          </w:tcPr>
          <w:p w14:paraId="1916F88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389DDF2C">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w:t>
            </w:r>
          </w:p>
        </w:tc>
        <w:tc>
          <w:tcPr>
            <w:tcW w:w="1092" w:type="dxa"/>
            <w:tcBorders>
              <w:top w:val="single" w:color="auto" w:sz="4" w:space="0"/>
              <w:left w:val="single" w:color="auto" w:sz="4" w:space="0"/>
              <w:bottom w:val="single" w:color="auto" w:sz="4" w:space="0"/>
              <w:right w:val="single" w:color="auto" w:sz="4" w:space="0"/>
            </w:tcBorders>
            <w:vAlign w:val="center"/>
          </w:tcPr>
          <w:p w14:paraId="7A7F44B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0.2</w:t>
            </w:r>
          </w:p>
        </w:tc>
        <w:tc>
          <w:tcPr>
            <w:tcW w:w="3279" w:type="dxa"/>
            <w:vMerge w:val="restart"/>
            <w:tcBorders>
              <w:left w:val="single" w:color="auto" w:sz="4" w:space="0"/>
              <w:right w:val="single" w:color="auto" w:sz="4" w:space="0"/>
            </w:tcBorders>
            <w:vAlign w:val="center"/>
          </w:tcPr>
          <w:p w14:paraId="208254E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环境影响评价技术导则 大气环境》（HJ2.2-2018）</w:t>
            </w:r>
            <w:r>
              <w:rPr>
                <w:rFonts w:hint="eastAsia" w:ascii="Times New Roman" w:hAnsi="Times New Roman" w:eastAsia="宋体" w:cs="Times New Roman"/>
                <w:color w:val="auto"/>
                <w:kern w:val="0"/>
                <w:szCs w:val="21"/>
                <w:u w:val="none" w:color="auto"/>
              </w:rPr>
              <w:t>附录D</w:t>
            </w:r>
          </w:p>
        </w:tc>
      </w:tr>
      <w:tr w14:paraId="3FD0A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tcBorders>
              <w:top w:val="single" w:color="auto" w:sz="4" w:space="0"/>
              <w:left w:val="single" w:color="auto" w:sz="4" w:space="0"/>
              <w:bottom w:val="single" w:color="auto" w:sz="4" w:space="0"/>
              <w:right w:val="single" w:color="auto" w:sz="4" w:space="0"/>
            </w:tcBorders>
            <w:vAlign w:val="center"/>
          </w:tcPr>
          <w:p w14:paraId="0808C29A">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二甲苯</w:t>
            </w:r>
          </w:p>
        </w:tc>
        <w:tc>
          <w:tcPr>
            <w:tcW w:w="1582" w:type="dxa"/>
            <w:tcBorders>
              <w:top w:val="single" w:color="auto" w:sz="4" w:space="0"/>
              <w:left w:val="single" w:color="auto" w:sz="4" w:space="0"/>
              <w:bottom w:val="single" w:color="auto" w:sz="4" w:space="0"/>
              <w:right w:val="single" w:color="auto" w:sz="4" w:space="0"/>
            </w:tcBorders>
            <w:vAlign w:val="center"/>
          </w:tcPr>
          <w:p w14:paraId="2525EAF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103316A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w:t>
            </w:r>
          </w:p>
        </w:tc>
        <w:tc>
          <w:tcPr>
            <w:tcW w:w="1092" w:type="dxa"/>
            <w:tcBorders>
              <w:top w:val="single" w:color="auto" w:sz="4" w:space="0"/>
              <w:left w:val="single" w:color="auto" w:sz="4" w:space="0"/>
              <w:bottom w:val="single" w:color="auto" w:sz="4" w:space="0"/>
              <w:right w:val="single" w:color="auto" w:sz="4" w:space="0"/>
            </w:tcBorders>
            <w:vAlign w:val="center"/>
          </w:tcPr>
          <w:p w14:paraId="590783B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0.2</w:t>
            </w:r>
          </w:p>
        </w:tc>
        <w:tc>
          <w:tcPr>
            <w:tcW w:w="3279" w:type="dxa"/>
            <w:vMerge w:val="continue"/>
            <w:tcBorders>
              <w:left w:val="single" w:color="auto" w:sz="4" w:space="0"/>
              <w:right w:val="single" w:color="auto" w:sz="4" w:space="0"/>
            </w:tcBorders>
            <w:vAlign w:val="center"/>
          </w:tcPr>
          <w:p w14:paraId="53ABAD10">
            <w:pPr>
              <w:autoSpaceDE w:val="0"/>
              <w:autoSpaceDN w:val="0"/>
              <w:jc w:val="center"/>
              <w:rPr>
                <w:rFonts w:ascii="Times New Roman" w:hAnsi="Times New Roman" w:eastAsia="宋体" w:cs="Times New Roman"/>
                <w:color w:val="auto"/>
                <w:kern w:val="0"/>
                <w:szCs w:val="21"/>
                <w:u w:val="none" w:color="auto"/>
              </w:rPr>
            </w:pPr>
          </w:p>
        </w:tc>
      </w:tr>
      <w:tr w14:paraId="6FDF5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tcBorders>
              <w:top w:val="single" w:color="auto" w:sz="4" w:space="0"/>
              <w:left w:val="single" w:color="auto" w:sz="4" w:space="0"/>
              <w:bottom w:val="single" w:color="auto" w:sz="4" w:space="0"/>
              <w:right w:val="single" w:color="auto" w:sz="4" w:space="0"/>
            </w:tcBorders>
            <w:vAlign w:val="center"/>
          </w:tcPr>
          <w:p w14:paraId="01DF9985">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非甲烷总烃</w:t>
            </w:r>
          </w:p>
        </w:tc>
        <w:tc>
          <w:tcPr>
            <w:tcW w:w="1582" w:type="dxa"/>
            <w:tcBorders>
              <w:top w:val="single" w:color="auto" w:sz="4" w:space="0"/>
              <w:left w:val="single" w:color="auto" w:sz="4" w:space="0"/>
              <w:bottom w:val="single" w:color="auto" w:sz="4" w:space="0"/>
              <w:right w:val="single" w:color="auto" w:sz="4" w:space="0"/>
            </w:tcBorders>
            <w:vAlign w:val="center"/>
          </w:tcPr>
          <w:p w14:paraId="54AB015F">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1小时平均</w:t>
            </w:r>
          </w:p>
        </w:tc>
        <w:tc>
          <w:tcPr>
            <w:tcW w:w="1077" w:type="dxa"/>
            <w:tcBorders>
              <w:top w:val="single" w:color="auto" w:sz="4" w:space="0"/>
              <w:left w:val="single" w:color="auto" w:sz="4" w:space="0"/>
              <w:bottom w:val="single" w:color="auto" w:sz="4" w:space="0"/>
              <w:right w:val="single" w:color="auto" w:sz="4" w:space="0"/>
            </w:tcBorders>
            <w:vAlign w:val="center"/>
          </w:tcPr>
          <w:p w14:paraId="0CAE754A">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w:t>
            </w:r>
          </w:p>
        </w:tc>
        <w:tc>
          <w:tcPr>
            <w:tcW w:w="1092" w:type="dxa"/>
            <w:tcBorders>
              <w:top w:val="single" w:color="auto" w:sz="4" w:space="0"/>
              <w:left w:val="single" w:color="auto" w:sz="4" w:space="0"/>
              <w:bottom w:val="single" w:color="auto" w:sz="4" w:space="0"/>
              <w:right w:val="single" w:color="auto" w:sz="4" w:space="0"/>
            </w:tcBorders>
            <w:vAlign w:val="center"/>
          </w:tcPr>
          <w:p w14:paraId="48ABFF0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2.0</w:t>
            </w:r>
          </w:p>
        </w:tc>
        <w:tc>
          <w:tcPr>
            <w:tcW w:w="3279" w:type="dxa"/>
            <w:tcBorders>
              <w:left w:val="single" w:color="auto" w:sz="4" w:space="0"/>
              <w:right w:val="single" w:color="auto" w:sz="4" w:space="0"/>
            </w:tcBorders>
            <w:vAlign w:val="center"/>
          </w:tcPr>
          <w:p w14:paraId="38C506F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《大气污染物综合排放标准详解》</w:t>
            </w:r>
          </w:p>
        </w:tc>
      </w:tr>
      <w:tr w14:paraId="39780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89" w:type="dxa"/>
            <w:tcBorders>
              <w:top w:val="single" w:color="auto" w:sz="4" w:space="0"/>
              <w:left w:val="single" w:color="auto" w:sz="4" w:space="0"/>
              <w:bottom w:val="single" w:color="auto" w:sz="4" w:space="0"/>
              <w:right w:val="single" w:color="auto" w:sz="4" w:space="0"/>
            </w:tcBorders>
            <w:vAlign w:val="center"/>
          </w:tcPr>
          <w:p w14:paraId="54AA0F98">
            <w:pPr>
              <w:pStyle w:val="164"/>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Cs w:val="21"/>
                <w:u w:val="single" w:color="auto"/>
              </w:rPr>
            </w:pPr>
            <w:bookmarkStart w:id="84" w:name="_Toc3728128"/>
            <w:r>
              <w:rPr>
                <w:rFonts w:hint="default" w:ascii="Times New Roman" w:hAnsi="Times New Roman" w:eastAsia="宋体" w:cs="Times New Roman"/>
                <w:caps w:val="0"/>
                <w:color w:val="auto"/>
                <w:spacing w:val="0"/>
                <w:position w:val="0"/>
                <w:sz w:val="21"/>
                <w:szCs w:val="21"/>
                <w:highlight w:val="none"/>
                <w:u w:val="single" w:color="auto"/>
                <w:lang w:val="en-US" w:eastAsia="zh-CN"/>
              </w:rPr>
              <w:t>臭气浓度</w:t>
            </w:r>
          </w:p>
        </w:tc>
        <w:tc>
          <w:tcPr>
            <w:tcW w:w="1582" w:type="dxa"/>
            <w:tcBorders>
              <w:top w:val="single" w:color="auto" w:sz="4" w:space="0"/>
              <w:left w:val="single" w:color="auto" w:sz="4" w:space="0"/>
              <w:bottom w:val="single" w:color="auto" w:sz="4" w:space="0"/>
              <w:right w:val="single" w:color="auto" w:sz="4" w:space="0"/>
            </w:tcBorders>
            <w:vAlign w:val="center"/>
          </w:tcPr>
          <w:p w14:paraId="20153238">
            <w:pPr>
              <w:pStyle w:val="164"/>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highlight w:val="none"/>
                <w:u w:val="single" w:color="auto"/>
                <w:lang w:val="en-US" w:eastAsia="zh-CN"/>
              </w:rPr>
              <w:t>一次值</w:t>
            </w:r>
          </w:p>
        </w:tc>
        <w:tc>
          <w:tcPr>
            <w:tcW w:w="1077" w:type="dxa"/>
            <w:tcBorders>
              <w:top w:val="single" w:color="auto" w:sz="4" w:space="0"/>
              <w:left w:val="single" w:color="auto" w:sz="4" w:space="0"/>
              <w:bottom w:val="single" w:color="auto" w:sz="4" w:space="0"/>
              <w:right w:val="single" w:color="auto" w:sz="4" w:space="0"/>
            </w:tcBorders>
            <w:vAlign w:val="center"/>
          </w:tcPr>
          <w:p w14:paraId="16FDF0E3">
            <w:pPr>
              <w:pStyle w:val="164"/>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highlight w:val="none"/>
                <w:u w:val="single" w:color="auto"/>
                <w:lang w:val="en-US" w:eastAsia="zh-CN"/>
              </w:rPr>
              <w:t>/</w:t>
            </w:r>
          </w:p>
        </w:tc>
        <w:tc>
          <w:tcPr>
            <w:tcW w:w="1092" w:type="dxa"/>
            <w:tcBorders>
              <w:top w:val="single" w:color="auto" w:sz="4" w:space="0"/>
              <w:left w:val="single" w:color="auto" w:sz="4" w:space="0"/>
              <w:bottom w:val="single" w:color="auto" w:sz="4" w:space="0"/>
              <w:right w:val="single" w:color="auto" w:sz="4" w:space="0"/>
            </w:tcBorders>
            <w:vAlign w:val="center"/>
          </w:tcPr>
          <w:p w14:paraId="74F7364F">
            <w:pPr>
              <w:pStyle w:val="164"/>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Cs w:val="21"/>
                <w:u w:val="single" w:color="auto"/>
                <w:lang w:val="en-US"/>
              </w:rPr>
            </w:pPr>
            <w:r>
              <w:rPr>
                <w:rFonts w:hint="default" w:ascii="Times New Roman" w:hAnsi="Times New Roman" w:eastAsia="宋体" w:cs="Times New Roman"/>
                <w:caps w:val="0"/>
                <w:color w:val="auto"/>
                <w:spacing w:val="0"/>
                <w:position w:val="0"/>
                <w:sz w:val="21"/>
                <w:szCs w:val="21"/>
                <w:highlight w:val="none"/>
                <w:u w:val="single" w:color="auto"/>
                <w:lang w:val="en-US" w:eastAsia="zh-CN"/>
              </w:rPr>
              <w:t>20</w:t>
            </w:r>
          </w:p>
        </w:tc>
        <w:tc>
          <w:tcPr>
            <w:tcW w:w="3279" w:type="dxa"/>
            <w:tcBorders>
              <w:left w:val="single" w:color="auto" w:sz="4" w:space="0"/>
              <w:right w:val="single" w:color="auto" w:sz="4" w:space="0"/>
            </w:tcBorders>
            <w:vAlign w:val="center"/>
          </w:tcPr>
          <w:p w14:paraId="1FB30707">
            <w:pPr>
              <w:autoSpaceDE w:val="0"/>
              <w:autoSpaceDN w:val="0"/>
              <w:jc w:val="center"/>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aps w:val="0"/>
                <w:color w:val="auto"/>
                <w:spacing w:val="0"/>
                <w:position w:val="0"/>
                <w:sz w:val="21"/>
                <w:szCs w:val="21"/>
                <w:highlight w:val="none"/>
                <w:u w:val="single" w:color="auto"/>
                <w:lang w:val="en-US" w:eastAsia="zh-CN"/>
              </w:rPr>
              <w:t>《恶臭污染物排放标准》（GB14554-93）</w:t>
            </w:r>
          </w:p>
        </w:tc>
      </w:tr>
      <w:bookmarkEnd w:id="82"/>
    </w:tbl>
    <w:p w14:paraId="0841058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.2海水环境</w:t>
      </w:r>
      <w:bookmarkEnd w:id="84"/>
    </w:p>
    <w:p w14:paraId="792F5E91">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项目</w:t>
      </w:r>
      <w:r>
        <w:rPr>
          <w:rFonts w:hint="eastAsia" w:ascii="Times New Roman" w:hAnsi="Times New Roman" w:eastAsia="宋体" w:cs="Times New Roman"/>
          <w:color w:val="auto"/>
          <w:sz w:val="24"/>
          <w:u w:val="single" w:color="auto"/>
        </w:rPr>
        <w:t>生活</w:t>
      </w:r>
      <w:r>
        <w:rPr>
          <w:rFonts w:ascii="Times New Roman" w:hAnsi="Times New Roman" w:eastAsia="宋体" w:cs="Times New Roman"/>
          <w:color w:val="auto"/>
          <w:sz w:val="24"/>
          <w:u w:val="single" w:color="auto"/>
        </w:rPr>
        <w:t>污水</w:t>
      </w:r>
      <w:r>
        <w:rPr>
          <w:rFonts w:hint="eastAsia" w:ascii="Times New Roman" w:hAnsi="Times New Roman" w:eastAsia="宋体" w:cs="Times New Roman"/>
          <w:color w:val="auto"/>
          <w:sz w:val="24"/>
          <w:u w:val="single" w:color="auto"/>
        </w:rPr>
        <w:t>经化粪池处理后</w:t>
      </w:r>
      <w:r>
        <w:rPr>
          <w:rFonts w:ascii="Times New Roman" w:hAnsi="Times New Roman" w:eastAsia="宋体" w:cs="Times New Roman"/>
          <w:color w:val="auto"/>
          <w:sz w:val="24"/>
          <w:u w:val="single" w:color="auto"/>
        </w:rPr>
        <w:t>排入</w:t>
      </w:r>
      <w:r>
        <w:rPr>
          <w:rFonts w:hint="eastAsia" w:ascii="Times New Roman" w:hAnsi="Times New Roman" w:eastAsia="宋体" w:cs="Times New Roman"/>
          <w:color w:val="auto"/>
          <w:sz w:val="24"/>
          <w:u w:val="single" w:color="auto"/>
        </w:rPr>
        <w:t>市政污水管网，经</w:t>
      </w:r>
      <w:r>
        <w:rPr>
          <w:rFonts w:ascii="Times New Roman" w:hAnsi="Times New Roman" w:eastAsia="宋体" w:cs="Times New Roman"/>
          <w:color w:val="auto"/>
          <w:sz w:val="24"/>
          <w:u w:val="single" w:color="auto"/>
        </w:rPr>
        <w:t>大榄坪污水处理厂处理</w:t>
      </w:r>
      <w:r>
        <w:rPr>
          <w:rFonts w:hint="eastAsia" w:ascii="Times New Roman" w:hAnsi="Times New Roman" w:eastAsia="宋体" w:cs="Times New Roman"/>
          <w:color w:val="auto"/>
          <w:sz w:val="24"/>
          <w:u w:val="single" w:color="auto"/>
        </w:rPr>
        <w:t>达标后</w:t>
      </w:r>
      <w:r>
        <w:rPr>
          <w:rFonts w:ascii="Times New Roman" w:hAnsi="Times New Roman" w:eastAsia="宋体" w:cs="Times New Roman"/>
          <w:color w:val="auto"/>
          <w:sz w:val="24"/>
          <w:u w:val="single" w:color="auto"/>
        </w:rPr>
        <w:t>尾水排入钦州港大榄坪</w:t>
      </w:r>
      <w:r>
        <w:rPr>
          <w:rFonts w:hint="eastAsia" w:ascii="Times New Roman" w:hAnsi="Times New Roman" w:eastAsia="宋体" w:cs="Times New Roman"/>
          <w:color w:val="auto"/>
          <w:sz w:val="24"/>
          <w:u w:val="single" w:color="auto"/>
          <w:lang w:val="en-US" w:eastAsia="zh-CN"/>
        </w:rPr>
        <w:t>排污混合</w:t>
      </w:r>
      <w:r>
        <w:rPr>
          <w:rFonts w:ascii="Times New Roman" w:hAnsi="Times New Roman" w:eastAsia="宋体" w:cs="Times New Roman"/>
          <w:color w:val="auto"/>
          <w:sz w:val="24"/>
          <w:u w:val="single" w:color="auto"/>
        </w:rPr>
        <w:t>区（GX0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雨水排入钦州港金鼓江排污混合区</w:t>
      </w:r>
      <w:r>
        <w:rPr>
          <w:rFonts w:ascii="Times New Roman" w:hAnsi="Times New Roman" w:eastAsia="宋体" w:cs="Times New Roman"/>
          <w:color w:val="auto"/>
          <w:sz w:val="24"/>
          <w:u w:val="single" w:color="auto"/>
        </w:rPr>
        <w:t>（GX0</w:t>
      </w:r>
      <w:r>
        <w:rPr>
          <w:rFonts w:hint="eastAsia" w:ascii="Times New Roman" w:hAnsi="Times New Roman" w:eastAsia="宋体" w:cs="Times New Roman"/>
          <w:color w:val="auto"/>
          <w:sz w:val="24"/>
          <w:u w:val="single" w:color="auto"/>
          <w:lang w:val="en-US" w:eastAsia="zh-CN"/>
        </w:rPr>
        <w:t>56</w:t>
      </w:r>
      <w:r>
        <w:rPr>
          <w:rFonts w:ascii="Times New Roman" w:hAnsi="Times New Roman" w:eastAsia="宋体" w:cs="Times New Roman"/>
          <w:color w:val="auto"/>
          <w:sz w:val="24"/>
          <w:u w:val="single" w:color="auto"/>
        </w:rPr>
        <w:t>DⅣ）。根据《广西壮族自治区</w:t>
      </w:r>
      <w:r>
        <w:rPr>
          <w:rFonts w:hint="eastAsia" w:ascii="Times New Roman" w:hAnsi="Times New Roman" w:eastAsia="宋体" w:cs="Times New Roman"/>
          <w:color w:val="auto"/>
          <w:sz w:val="24"/>
          <w:u w:val="single" w:color="auto"/>
          <w:lang w:val="en-US" w:eastAsia="zh-CN"/>
        </w:rPr>
        <w:t>生态环境厅</w:t>
      </w:r>
      <w:r>
        <w:rPr>
          <w:rFonts w:ascii="Times New Roman" w:hAnsi="Times New Roman" w:eastAsia="宋体" w:cs="Times New Roman"/>
          <w:color w:val="auto"/>
          <w:sz w:val="24"/>
          <w:u w:val="single" w:color="auto"/>
        </w:rPr>
        <w:t>关于印发广西壮族自治区近岸海域环境功能区划调整方案的通知》（桂</w:t>
      </w:r>
      <w:r>
        <w:rPr>
          <w:rFonts w:hint="eastAsia" w:ascii="Times New Roman" w:hAnsi="Times New Roman" w:eastAsia="宋体" w:cs="Times New Roman"/>
          <w:color w:val="auto"/>
          <w:sz w:val="24"/>
          <w:u w:val="single" w:color="auto"/>
          <w:lang w:val="en-US" w:eastAsia="zh-CN"/>
        </w:rPr>
        <w:t>环</w:t>
      </w:r>
      <w:r>
        <w:rPr>
          <w:rFonts w:ascii="Times New Roman" w:hAnsi="Times New Roman" w:eastAsia="宋体" w:cs="Times New Roman"/>
          <w:color w:val="auto"/>
          <w:sz w:val="24"/>
          <w:u w:val="single" w:color="auto"/>
        </w:rPr>
        <w:t>发[20</w:t>
      </w:r>
      <w:r>
        <w:rPr>
          <w:rFonts w:hint="eastAsia" w:ascii="Times New Roman" w:hAnsi="Times New Roman" w:eastAsia="宋体" w:cs="Times New Roman"/>
          <w:color w:val="auto"/>
          <w:sz w:val="24"/>
          <w:u w:val="single" w:color="auto"/>
          <w:lang w:val="en-US" w:eastAsia="zh-CN"/>
        </w:rPr>
        <w:t>23</w:t>
      </w:r>
      <w:r>
        <w:rPr>
          <w:rFonts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9</w:t>
      </w:r>
      <w:r>
        <w:rPr>
          <w:rFonts w:ascii="Times New Roman" w:hAnsi="Times New Roman" w:eastAsia="宋体" w:cs="Times New Roman"/>
          <w:color w:val="auto"/>
          <w:sz w:val="24"/>
          <w:u w:val="single" w:color="auto"/>
        </w:rPr>
        <w:t>号），GX0</w:t>
      </w:r>
      <w:r>
        <w:rPr>
          <w:rFonts w:hint="eastAsia" w:ascii="Times New Roman" w:hAnsi="Times New Roman" w:eastAsia="宋体" w:cs="Times New Roman"/>
          <w:color w:val="auto"/>
          <w:sz w:val="24"/>
          <w:u w:val="single" w:color="auto"/>
          <w:lang w:val="en-US" w:eastAsia="zh-CN"/>
        </w:rPr>
        <w:t>56</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sz w:val="24"/>
          <w:u w:val="single" w:color="auto"/>
          <w:lang w:eastAsia="zh-CN"/>
        </w:rPr>
        <w:t>、</w:t>
      </w:r>
      <w:r>
        <w:rPr>
          <w:rFonts w:ascii="Times New Roman" w:hAnsi="Times New Roman" w:eastAsia="宋体" w:cs="Times New Roman"/>
          <w:color w:val="auto"/>
          <w:sz w:val="24"/>
          <w:u w:val="single" w:color="auto"/>
        </w:rPr>
        <w:t>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DⅣ主导功能</w:t>
      </w:r>
      <w:r>
        <w:rPr>
          <w:rFonts w:hint="eastAsia" w:ascii="Times New Roman" w:hAnsi="Times New Roman" w:eastAsia="宋体" w:cs="Times New Roman"/>
          <w:color w:val="auto"/>
          <w:sz w:val="24"/>
          <w:u w:val="single" w:color="auto"/>
          <w:lang w:val="en-US" w:eastAsia="zh-CN"/>
        </w:rPr>
        <w:t>均</w:t>
      </w:r>
      <w:r>
        <w:rPr>
          <w:rFonts w:ascii="Times New Roman" w:hAnsi="Times New Roman" w:eastAsia="宋体" w:cs="Times New Roman"/>
          <w:color w:val="auto"/>
          <w:sz w:val="24"/>
          <w:u w:val="single" w:color="auto"/>
        </w:rPr>
        <w:t>为港口、工业、生活排污用海，属四类环境功能区，执行《海水水质标准》（GB3097-1997）中第四类标准。</w:t>
      </w:r>
    </w:p>
    <w:p w14:paraId="4E095CC9">
      <w:pPr>
        <w:keepNext w:val="0"/>
        <w:keepLines w:val="0"/>
        <w:pageBreakBefore w:val="0"/>
        <w:widowControl w:val="0"/>
        <w:kinsoku/>
        <w:wordWrap/>
        <w:overflowPunct/>
        <w:topLinePunct w:val="0"/>
        <w:autoSpaceDE w:val="0"/>
        <w:autoSpaceDN w:val="0"/>
        <w:bidi w:val="0"/>
        <w:adjustRightInd/>
        <w:snapToGrid/>
        <w:spacing w:line="500" w:lineRule="exact"/>
        <w:ind w:firstLine="0" w:firstLineChars="0"/>
        <w:jc w:val="center"/>
        <w:textAlignment w:val="auto"/>
        <w:rPr>
          <w:rFonts w:ascii="Times New Roman" w:hAnsi="Times New Roman" w:eastAsia="宋体" w:cs="Times New Roman"/>
          <w:b/>
          <w:bCs/>
          <w:color w:val="auto"/>
          <w:kern w:val="0"/>
          <w:szCs w:val="21"/>
          <w:u w:val="none" w:color="auto"/>
        </w:rPr>
      </w:pPr>
      <w:r>
        <w:rPr>
          <w:rFonts w:ascii="Times New Roman" w:hAnsi="Times New Roman" w:eastAsia="宋体" w:cs="Times New Roman"/>
          <w:b/>
          <w:bCs/>
          <w:color w:val="auto"/>
          <w:kern w:val="0"/>
          <w:szCs w:val="21"/>
          <w:u w:val="none" w:color="auto"/>
        </w:rPr>
        <w:t>表</w:t>
      </w:r>
      <w:r>
        <w:rPr>
          <w:rFonts w:hint="eastAsia" w:ascii="Times New Roman" w:hAnsi="Times New Roman" w:eastAsia="宋体" w:cs="Times New Roman"/>
          <w:b/>
          <w:bCs/>
          <w:color w:val="auto"/>
          <w:kern w:val="0"/>
          <w:szCs w:val="21"/>
          <w:u w:val="none" w:color="auto"/>
        </w:rPr>
        <w:t>1</w:t>
      </w:r>
      <w:r>
        <w:rPr>
          <w:rFonts w:ascii="Times New Roman" w:hAnsi="Times New Roman" w:eastAsia="宋体" w:cs="Times New Roman"/>
          <w:b/>
          <w:bCs/>
          <w:color w:val="auto"/>
          <w:kern w:val="0"/>
          <w:szCs w:val="21"/>
          <w:u w:val="none" w:color="auto"/>
        </w:rPr>
        <w:t>.</w:t>
      </w:r>
      <w:r>
        <w:rPr>
          <w:rFonts w:hint="eastAsia" w:ascii="Times New Roman" w:hAnsi="Times New Roman" w:eastAsia="宋体" w:cs="Times New Roman"/>
          <w:b/>
          <w:bCs/>
          <w:color w:val="auto"/>
          <w:kern w:val="0"/>
          <w:szCs w:val="21"/>
          <w:u w:val="none" w:color="auto"/>
        </w:rPr>
        <w:t>4</w:t>
      </w:r>
      <w:r>
        <w:rPr>
          <w:rFonts w:ascii="Times New Roman" w:hAnsi="Times New Roman" w:eastAsia="宋体" w:cs="Times New Roman"/>
          <w:b/>
          <w:bCs/>
          <w:color w:val="auto"/>
          <w:kern w:val="0"/>
          <w:szCs w:val="21"/>
          <w:u w:val="none" w:color="auto"/>
        </w:rPr>
        <w:t>-</w:t>
      </w:r>
      <w:r>
        <w:rPr>
          <w:rFonts w:hint="eastAsia" w:ascii="Times New Roman" w:hAnsi="Times New Roman" w:eastAsia="宋体" w:cs="Times New Roman"/>
          <w:b/>
          <w:bCs/>
          <w:color w:val="auto"/>
          <w:kern w:val="0"/>
          <w:szCs w:val="21"/>
          <w:u w:val="none" w:color="auto"/>
        </w:rPr>
        <w:t>2</w:t>
      </w:r>
      <w:r>
        <w:rPr>
          <w:rFonts w:ascii="Times New Roman" w:hAnsi="Times New Roman" w:eastAsia="宋体" w:cs="Times New Roman"/>
          <w:b/>
          <w:bCs/>
          <w:color w:val="auto"/>
          <w:kern w:val="0"/>
          <w:szCs w:val="21"/>
          <w:u w:val="none" w:color="auto"/>
        </w:rPr>
        <w:t xml:space="preserve"> 海水水质标准</w:t>
      </w:r>
    </w:p>
    <w:tbl>
      <w:tblPr>
        <w:tblStyle w:val="3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1559"/>
        <w:gridCol w:w="1559"/>
        <w:gridCol w:w="1615"/>
        <w:gridCol w:w="1702"/>
      </w:tblGrid>
      <w:tr w14:paraId="4314B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161AF1C2">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项目</w:t>
            </w:r>
          </w:p>
        </w:tc>
        <w:tc>
          <w:tcPr>
            <w:tcW w:w="1559" w:type="dxa"/>
            <w:vAlign w:val="center"/>
          </w:tcPr>
          <w:p w14:paraId="419C01DB">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第一类</w:t>
            </w:r>
          </w:p>
        </w:tc>
        <w:tc>
          <w:tcPr>
            <w:tcW w:w="1559" w:type="dxa"/>
            <w:vAlign w:val="center"/>
          </w:tcPr>
          <w:p w14:paraId="5BF98446">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第二类</w:t>
            </w:r>
          </w:p>
        </w:tc>
        <w:tc>
          <w:tcPr>
            <w:tcW w:w="1615" w:type="dxa"/>
            <w:vAlign w:val="center"/>
          </w:tcPr>
          <w:p w14:paraId="1E86FDDE">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第三类</w:t>
            </w:r>
          </w:p>
        </w:tc>
        <w:tc>
          <w:tcPr>
            <w:tcW w:w="1702" w:type="dxa"/>
            <w:vAlign w:val="center"/>
          </w:tcPr>
          <w:p w14:paraId="30357FE5">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第四类</w:t>
            </w:r>
          </w:p>
        </w:tc>
      </w:tr>
      <w:tr w14:paraId="09782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3E06246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水温</w:t>
            </w:r>
          </w:p>
        </w:tc>
        <w:tc>
          <w:tcPr>
            <w:tcW w:w="3118" w:type="dxa"/>
            <w:gridSpan w:val="2"/>
            <w:vAlign w:val="center"/>
          </w:tcPr>
          <w:p w14:paraId="5FC6497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人为造成水温上升夏季不超过当时当地1℃，其他季节不超过2℃</w:t>
            </w:r>
          </w:p>
        </w:tc>
        <w:tc>
          <w:tcPr>
            <w:tcW w:w="3317" w:type="dxa"/>
            <w:gridSpan w:val="2"/>
            <w:vAlign w:val="center"/>
          </w:tcPr>
          <w:p w14:paraId="1627402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人为造成水温上升不超过当时当地4℃</w:t>
            </w:r>
          </w:p>
        </w:tc>
      </w:tr>
      <w:tr w14:paraId="0AB7A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390240C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pH</w:t>
            </w:r>
          </w:p>
        </w:tc>
        <w:tc>
          <w:tcPr>
            <w:tcW w:w="3118" w:type="dxa"/>
            <w:gridSpan w:val="2"/>
            <w:vAlign w:val="center"/>
          </w:tcPr>
          <w:p w14:paraId="3942CA7C">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7.8~8.5，同时不超过海域正常变动范围0.2pH单位</w:t>
            </w:r>
          </w:p>
        </w:tc>
        <w:tc>
          <w:tcPr>
            <w:tcW w:w="3317" w:type="dxa"/>
            <w:gridSpan w:val="2"/>
            <w:vAlign w:val="center"/>
          </w:tcPr>
          <w:p w14:paraId="0209CA5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6.8~8.8，同时不超过海域正常变动范围0.5pH单位</w:t>
            </w:r>
          </w:p>
        </w:tc>
      </w:tr>
      <w:tr w14:paraId="48567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3D8456A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悬浮物质</w:t>
            </w:r>
          </w:p>
        </w:tc>
        <w:tc>
          <w:tcPr>
            <w:tcW w:w="3118" w:type="dxa"/>
            <w:gridSpan w:val="2"/>
            <w:vAlign w:val="center"/>
          </w:tcPr>
          <w:p w14:paraId="5F02F52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人为造成增加量≤10</w:t>
            </w:r>
          </w:p>
        </w:tc>
        <w:tc>
          <w:tcPr>
            <w:tcW w:w="1615" w:type="dxa"/>
            <w:vAlign w:val="center"/>
          </w:tcPr>
          <w:p w14:paraId="7C133B9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人为造成增加量≤100</w:t>
            </w:r>
          </w:p>
        </w:tc>
        <w:tc>
          <w:tcPr>
            <w:tcW w:w="1702" w:type="dxa"/>
            <w:vAlign w:val="center"/>
          </w:tcPr>
          <w:p w14:paraId="2B4239F6">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人为造成增加量≤150</w:t>
            </w:r>
          </w:p>
        </w:tc>
      </w:tr>
      <w:tr w14:paraId="5F6D2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152387F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溶解氧&gt;</w:t>
            </w:r>
          </w:p>
        </w:tc>
        <w:tc>
          <w:tcPr>
            <w:tcW w:w="1559" w:type="dxa"/>
            <w:vAlign w:val="center"/>
          </w:tcPr>
          <w:p w14:paraId="7F6FD32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6</w:t>
            </w:r>
          </w:p>
        </w:tc>
        <w:tc>
          <w:tcPr>
            <w:tcW w:w="1559" w:type="dxa"/>
            <w:vAlign w:val="center"/>
          </w:tcPr>
          <w:p w14:paraId="555D146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5</w:t>
            </w:r>
          </w:p>
        </w:tc>
        <w:tc>
          <w:tcPr>
            <w:tcW w:w="1615" w:type="dxa"/>
            <w:vAlign w:val="center"/>
          </w:tcPr>
          <w:p w14:paraId="5ECA9A4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4</w:t>
            </w:r>
          </w:p>
        </w:tc>
        <w:tc>
          <w:tcPr>
            <w:tcW w:w="1702" w:type="dxa"/>
            <w:vAlign w:val="center"/>
          </w:tcPr>
          <w:p w14:paraId="2E3AF8E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3</w:t>
            </w:r>
          </w:p>
        </w:tc>
      </w:tr>
      <w:tr w14:paraId="212F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4CB219A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化学需氧量≤</w:t>
            </w:r>
          </w:p>
        </w:tc>
        <w:tc>
          <w:tcPr>
            <w:tcW w:w="1559" w:type="dxa"/>
            <w:vAlign w:val="center"/>
          </w:tcPr>
          <w:p w14:paraId="0942729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w:t>
            </w:r>
          </w:p>
        </w:tc>
        <w:tc>
          <w:tcPr>
            <w:tcW w:w="1559" w:type="dxa"/>
            <w:vAlign w:val="center"/>
          </w:tcPr>
          <w:p w14:paraId="44D8BD7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3</w:t>
            </w:r>
          </w:p>
        </w:tc>
        <w:tc>
          <w:tcPr>
            <w:tcW w:w="1615" w:type="dxa"/>
            <w:vAlign w:val="center"/>
          </w:tcPr>
          <w:p w14:paraId="70418B1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4</w:t>
            </w:r>
          </w:p>
        </w:tc>
        <w:tc>
          <w:tcPr>
            <w:tcW w:w="1702" w:type="dxa"/>
            <w:vAlign w:val="center"/>
          </w:tcPr>
          <w:p w14:paraId="5031F5C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5</w:t>
            </w:r>
          </w:p>
        </w:tc>
      </w:tr>
      <w:tr w14:paraId="26A0F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0B88174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无机氮（以N计）≤</w:t>
            </w:r>
          </w:p>
        </w:tc>
        <w:tc>
          <w:tcPr>
            <w:tcW w:w="1559" w:type="dxa"/>
            <w:vAlign w:val="center"/>
          </w:tcPr>
          <w:p w14:paraId="208F63D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0.20</w:t>
            </w:r>
          </w:p>
        </w:tc>
        <w:tc>
          <w:tcPr>
            <w:tcW w:w="1559" w:type="dxa"/>
            <w:vAlign w:val="center"/>
          </w:tcPr>
          <w:p w14:paraId="0206C49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0.030</w:t>
            </w:r>
          </w:p>
        </w:tc>
        <w:tc>
          <w:tcPr>
            <w:tcW w:w="1615" w:type="dxa"/>
            <w:vAlign w:val="center"/>
          </w:tcPr>
          <w:p w14:paraId="6114A62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0.40</w:t>
            </w:r>
          </w:p>
        </w:tc>
        <w:tc>
          <w:tcPr>
            <w:tcW w:w="1702" w:type="dxa"/>
            <w:vAlign w:val="center"/>
          </w:tcPr>
          <w:p w14:paraId="5156457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r>
      <w:tr w14:paraId="520CA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27D7C64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无机磷（以P计）≤</w:t>
            </w:r>
          </w:p>
        </w:tc>
        <w:tc>
          <w:tcPr>
            <w:tcW w:w="1559" w:type="dxa"/>
            <w:vAlign w:val="center"/>
          </w:tcPr>
          <w:p w14:paraId="1AE242A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0.015</w:t>
            </w:r>
          </w:p>
        </w:tc>
        <w:tc>
          <w:tcPr>
            <w:tcW w:w="3174" w:type="dxa"/>
            <w:gridSpan w:val="2"/>
            <w:vAlign w:val="center"/>
          </w:tcPr>
          <w:p w14:paraId="10BB90A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0.030</w:t>
            </w:r>
          </w:p>
        </w:tc>
        <w:tc>
          <w:tcPr>
            <w:tcW w:w="1702" w:type="dxa"/>
            <w:vAlign w:val="center"/>
          </w:tcPr>
          <w:p w14:paraId="0CDEC11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0.045</w:t>
            </w:r>
          </w:p>
        </w:tc>
      </w:tr>
      <w:tr w14:paraId="3828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594419E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石油类≤</w:t>
            </w:r>
          </w:p>
        </w:tc>
        <w:tc>
          <w:tcPr>
            <w:tcW w:w="3118" w:type="dxa"/>
            <w:gridSpan w:val="2"/>
            <w:vAlign w:val="center"/>
          </w:tcPr>
          <w:p w14:paraId="59DDDEA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w:t>
            </w:r>
          </w:p>
        </w:tc>
        <w:tc>
          <w:tcPr>
            <w:tcW w:w="1615" w:type="dxa"/>
            <w:vAlign w:val="center"/>
          </w:tcPr>
          <w:p w14:paraId="4D1AF67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0.30</w:t>
            </w:r>
          </w:p>
        </w:tc>
        <w:tc>
          <w:tcPr>
            <w:tcW w:w="1702" w:type="dxa"/>
            <w:vAlign w:val="center"/>
          </w:tcPr>
          <w:p w14:paraId="78D5A33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r>
      <w:tr w14:paraId="38AF2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4ADFAAF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挥发性酚≤</w:t>
            </w:r>
          </w:p>
        </w:tc>
        <w:tc>
          <w:tcPr>
            <w:tcW w:w="3118" w:type="dxa"/>
            <w:gridSpan w:val="2"/>
            <w:vAlign w:val="center"/>
          </w:tcPr>
          <w:p w14:paraId="7EF1B74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0.005</w:t>
            </w:r>
          </w:p>
        </w:tc>
        <w:tc>
          <w:tcPr>
            <w:tcW w:w="1615" w:type="dxa"/>
            <w:vAlign w:val="center"/>
          </w:tcPr>
          <w:p w14:paraId="7174410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0.010</w:t>
            </w:r>
          </w:p>
        </w:tc>
        <w:tc>
          <w:tcPr>
            <w:tcW w:w="1702" w:type="dxa"/>
            <w:vAlign w:val="center"/>
          </w:tcPr>
          <w:p w14:paraId="74B6A16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0.050</w:t>
            </w:r>
          </w:p>
        </w:tc>
      </w:tr>
      <w:tr w14:paraId="58BB3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1C7D6DF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铜≤</w:t>
            </w:r>
          </w:p>
        </w:tc>
        <w:tc>
          <w:tcPr>
            <w:tcW w:w="1559" w:type="dxa"/>
            <w:vAlign w:val="center"/>
          </w:tcPr>
          <w:p w14:paraId="3A3D7E16">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0.005</w:t>
            </w:r>
          </w:p>
        </w:tc>
        <w:tc>
          <w:tcPr>
            <w:tcW w:w="1559" w:type="dxa"/>
            <w:vAlign w:val="center"/>
          </w:tcPr>
          <w:p w14:paraId="2798FF7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0.010</w:t>
            </w:r>
          </w:p>
        </w:tc>
        <w:tc>
          <w:tcPr>
            <w:tcW w:w="3317" w:type="dxa"/>
            <w:gridSpan w:val="2"/>
            <w:vAlign w:val="center"/>
          </w:tcPr>
          <w:p w14:paraId="32259EA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0.050</w:t>
            </w:r>
          </w:p>
        </w:tc>
      </w:tr>
      <w:tr w14:paraId="002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4F921A2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铅≤</w:t>
            </w:r>
          </w:p>
        </w:tc>
        <w:tc>
          <w:tcPr>
            <w:tcW w:w="1559" w:type="dxa"/>
            <w:vAlign w:val="center"/>
          </w:tcPr>
          <w:p w14:paraId="4DA9A54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0.001</w:t>
            </w:r>
          </w:p>
        </w:tc>
        <w:tc>
          <w:tcPr>
            <w:tcW w:w="1559" w:type="dxa"/>
            <w:vAlign w:val="center"/>
          </w:tcPr>
          <w:p w14:paraId="0991970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0.005</w:t>
            </w:r>
          </w:p>
        </w:tc>
        <w:tc>
          <w:tcPr>
            <w:tcW w:w="1615" w:type="dxa"/>
            <w:vAlign w:val="center"/>
          </w:tcPr>
          <w:p w14:paraId="14ED717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0.10</w:t>
            </w:r>
          </w:p>
        </w:tc>
        <w:tc>
          <w:tcPr>
            <w:tcW w:w="1702" w:type="dxa"/>
            <w:vAlign w:val="center"/>
          </w:tcPr>
          <w:p w14:paraId="56DE0EF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r>
      <w:tr w14:paraId="79A72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61C963B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锌≤</w:t>
            </w:r>
          </w:p>
        </w:tc>
        <w:tc>
          <w:tcPr>
            <w:tcW w:w="1559" w:type="dxa"/>
            <w:vAlign w:val="center"/>
          </w:tcPr>
          <w:p w14:paraId="023E150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0.020</w:t>
            </w:r>
          </w:p>
        </w:tc>
        <w:tc>
          <w:tcPr>
            <w:tcW w:w="1559" w:type="dxa"/>
            <w:vAlign w:val="center"/>
          </w:tcPr>
          <w:p w14:paraId="2F5DA9CC">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0.050</w:t>
            </w:r>
          </w:p>
        </w:tc>
        <w:tc>
          <w:tcPr>
            <w:tcW w:w="1615" w:type="dxa"/>
            <w:vAlign w:val="center"/>
          </w:tcPr>
          <w:p w14:paraId="26B0193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0.10</w:t>
            </w:r>
          </w:p>
        </w:tc>
        <w:tc>
          <w:tcPr>
            <w:tcW w:w="1702" w:type="dxa"/>
            <w:vAlign w:val="center"/>
          </w:tcPr>
          <w:p w14:paraId="341463F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r>
      <w:tr w14:paraId="40A4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3B24A75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总铬≤</w:t>
            </w:r>
          </w:p>
        </w:tc>
        <w:tc>
          <w:tcPr>
            <w:tcW w:w="1559" w:type="dxa"/>
            <w:vAlign w:val="center"/>
          </w:tcPr>
          <w:p w14:paraId="0EA9988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w:t>
            </w:r>
          </w:p>
        </w:tc>
        <w:tc>
          <w:tcPr>
            <w:tcW w:w="1559" w:type="dxa"/>
            <w:vAlign w:val="center"/>
          </w:tcPr>
          <w:p w14:paraId="6932BBB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0.10</w:t>
            </w:r>
          </w:p>
        </w:tc>
        <w:tc>
          <w:tcPr>
            <w:tcW w:w="1615" w:type="dxa"/>
            <w:vAlign w:val="center"/>
          </w:tcPr>
          <w:p w14:paraId="549AB8B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0.20</w:t>
            </w:r>
          </w:p>
        </w:tc>
        <w:tc>
          <w:tcPr>
            <w:tcW w:w="1702" w:type="dxa"/>
            <w:vAlign w:val="center"/>
          </w:tcPr>
          <w:p w14:paraId="531BCBD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r>
      <w:tr w14:paraId="49D76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4ADE962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硫化物≤（以硫计）</w:t>
            </w:r>
          </w:p>
        </w:tc>
        <w:tc>
          <w:tcPr>
            <w:tcW w:w="1559" w:type="dxa"/>
            <w:vAlign w:val="center"/>
          </w:tcPr>
          <w:p w14:paraId="6C31492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0.02</w:t>
            </w:r>
          </w:p>
        </w:tc>
        <w:tc>
          <w:tcPr>
            <w:tcW w:w="1559" w:type="dxa"/>
            <w:vAlign w:val="center"/>
          </w:tcPr>
          <w:p w14:paraId="58513DC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w:t>
            </w:r>
          </w:p>
        </w:tc>
        <w:tc>
          <w:tcPr>
            <w:tcW w:w="1615" w:type="dxa"/>
            <w:vAlign w:val="center"/>
          </w:tcPr>
          <w:p w14:paraId="4B729E83">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0.10</w:t>
            </w:r>
          </w:p>
        </w:tc>
        <w:tc>
          <w:tcPr>
            <w:tcW w:w="1702" w:type="dxa"/>
            <w:vAlign w:val="center"/>
          </w:tcPr>
          <w:p w14:paraId="1BD3DE0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0.25</w:t>
            </w:r>
          </w:p>
        </w:tc>
      </w:tr>
      <w:tr w14:paraId="50A20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630115FC">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汞≤</w:t>
            </w:r>
          </w:p>
        </w:tc>
        <w:tc>
          <w:tcPr>
            <w:tcW w:w="1559" w:type="dxa"/>
            <w:vAlign w:val="center"/>
          </w:tcPr>
          <w:p w14:paraId="68277AF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0.00005</w:t>
            </w:r>
          </w:p>
        </w:tc>
        <w:tc>
          <w:tcPr>
            <w:tcW w:w="3174" w:type="dxa"/>
            <w:gridSpan w:val="2"/>
            <w:vAlign w:val="center"/>
          </w:tcPr>
          <w:p w14:paraId="6380B17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0.00002</w:t>
            </w:r>
          </w:p>
        </w:tc>
        <w:tc>
          <w:tcPr>
            <w:tcW w:w="1702" w:type="dxa"/>
            <w:vAlign w:val="center"/>
          </w:tcPr>
          <w:p w14:paraId="774AE91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0.0005</w:t>
            </w:r>
          </w:p>
        </w:tc>
      </w:tr>
      <w:tr w14:paraId="4087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2B92A87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砷≤</w:t>
            </w:r>
          </w:p>
        </w:tc>
        <w:tc>
          <w:tcPr>
            <w:tcW w:w="1559" w:type="dxa"/>
            <w:vAlign w:val="center"/>
          </w:tcPr>
          <w:p w14:paraId="1FE32E3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0.020</w:t>
            </w:r>
          </w:p>
        </w:tc>
        <w:tc>
          <w:tcPr>
            <w:tcW w:w="1559" w:type="dxa"/>
            <w:vAlign w:val="center"/>
          </w:tcPr>
          <w:p w14:paraId="67EEECB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0.030</w:t>
            </w:r>
          </w:p>
        </w:tc>
        <w:tc>
          <w:tcPr>
            <w:tcW w:w="3317" w:type="dxa"/>
            <w:gridSpan w:val="2"/>
            <w:vAlign w:val="center"/>
          </w:tcPr>
          <w:p w14:paraId="6043CA3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0.050</w:t>
            </w:r>
          </w:p>
        </w:tc>
      </w:tr>
      <w:tr w14:paraId="78F23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3" w:type="dxa"/>
            <w:vAlign w:val="center"/>
          </w:tcPr>
          <w:p w14:paraId="0C93DA3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镉≤</w:t>
            </w:r>
          </w:p>
        </w:tc>
        <w:tc>
          <w:tcPr>
            <w:tcW w:w="1559" w:type="dxa"/>
            <w:vAlign w:val="center"/>
          </w:tcPr>
          <w:p w14:paraId="4D671AE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0.0001</w:t>
            </w:r>
          </w:p>
        </w:tc>
        <w:tc>
          <w:tcPr>
            <w:tcW w:w="1559" w:type="dxa"/>
            <w:vAlign w:val="center"/>
          </w:tcPr>
          <w:p w14:paraId="5F4E263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0.005</w:t>
            </w:r>
          </w:p>
        </w:tc>
        <w:tc>
          <w:tcPr>
            <w:tcW w:w="3317" w:type="dxa"/>
            <w:gridSpan w:val="2"/>
            <w:vAlign w:val="center"/>
          </w:tcPr>
          <w:p w14:paraId="520DEC06">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0.010</w:t>
            </w:r>
          </w:p>
        </w:tc>
      </w:tr>
    </w:tbl>
    <w:p w14:paraId="3AF904C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85" w:name="_Toc3728129"/>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.3声环境</w:t>
      </w:r>
      <w:bookmarkEnd w:id="85"/>
    </w:p>
    <w:p w14:paraId="71778994">
      <w:pPr>
        <w:autoSpaceDE w:val="0"/>
        <w:autoSpaceDN w:val="0"/>
        <w:spacing w:line="360" w:lineRule="auto"/>
        <w:ind w:firstLine="520" w:firstLineChars="200"/>
        <w:rPr>
          <w:rFonts w:ascii="Times New Roman" w:hAnsi="Times New Roman" w:eastAsia="宋体" w:cs="Times New Roman"/>
          <w:color w:val="auto"/>
          <w:spacing w:val="10"/>
          <w:sz w:val="24"/>
          <w:szCs w:val="24"/>
          <w:u w:val="none" w:color="auto"/>
        </w:rPr>
      </w:pPr>
      <w:r>
        <w:rPr>
          <w:rFonts w:ascii="Times New Roman" w:hAnsi="Times New Roman" w:eastAsia="宋体" w:cs="Times New Roman"/>
          <w:color w:val="auto"/>
          <w:spacing w:val="10"/>
          <w:sz w:val="24"/>
          <w:szCs w:val="24"/>
          <w:u w:val="none" w:color="auto"/>
        </w:rPr>
        <w:t>项目地处工业区，确定项目所在地为3类声环境功能区，执行《声环境质量标准》（GB3096-2008）所规定的3类区标准。</w:t>
      </w:r>
    </w:p>
    <w:p w14:paraId="509BD5CD">
      <w:pPr>
        <w:autoSpaceDE w:val="0"/>
        <w:autoSpaceDN w:val="0"/>
        <w:adjustRightInd w:val="0"/>
        <w:jc w:val="center"/>
        <w:rPr>
          <w:rFonts w:ascii="Times New Roman" w:hAnsi="Times New Roman" w:eastAsia="宋体" w:cs="Times New Roman"/>
          <w:b/>
          <w:bCs/>
          <w:color w:val="auto"/>
          <w:kern w:val="0"/>
          <w:szCs w:val="24"/>
          <w:u w:val="none" w:color="auto"/>
        </w:rPr>
      </w:pPr>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1</w:t>
      </w:r>
      <w:r>
        <w:rPr>
          <w:rFonts w:ascii="Times New Roman" w:hAnsi="Times New Roman" w:eastAsia="宋体" w:cs="Times New Roman"/>
          <w:b/>
          <w:bCs/>
          <w:color w:val="auto"/>
          <w:kern w:val="0"/>
          <w:szCs w:val="24"/>
          <w:u w:val="none" w:color="auto"/>
        </w:rPr>
        <w:t>.</w:t>
      </w:r>
      <w:r>
        <w:rPr>
          <w:rFonts w:hint="eastAsia" w:ascii="Times New Roman" w:hAnsi="Times New Roman" w:eastAsia="宋体" w:cs="Times New Roman"/>
          <w:b/>
          <w:bCs/>
          <w:color w:val="auto"/>
          <w:kern w:val="0"/>
          <w:szCs w:val="24"/>
          <w:u w:val="none" w:color="auto"/>
        </w:rPr>
        <w:t>4</w:t>
      </w:r>
      <w:r>
        <w:rPr>
          <w:rFonts w:ascii="Times New Roman" w:hAnsi="Times New Roman" w:eastAsia="宋体" w:cs="Times New Roman"/>
          <w:b/>
          <w:bCs/>
          <w:color w:val="auto"/>
          <w:kern w:val="0"/>
          <w:szCs w:val="24"/>
          <w:u w:val="none" w:color="auto"/>
        </w:rPr>
        <w:t>-</w:t>
      </w:r>
      <w:r>
        <w:rPr>
          <w:rFonts w:hint="eastAsia" w:ascii="Times New Roman" w:hAnsi="Times New Roman" w:eastAsia="宋体" w:cs="Times New Roman"/>
          <w:b/>
          <w:bCs/>
          <w:color w:val="auto"/>
          <w:kern w:val="0"/>
          <w:szCs w:val="24"/>
          <w:u w:val="none" w:color="auto"/>
        </w:rPr>
        <w:t>3</w:t>
      </w:r>
      <w:r>
        <w:rPr>
          <w:rFonts w:ascii="Times New Roman" w:hAnsi="Times New Roman" w:eastAsia="宋体" w:cs="Times New Roman"/>
          <w:b/>
          <w:bCs/>
          <w:color w:val="auto"/>
          <w:kern w:val="0"/>
          <w:szCs w:val="24"/>
          <w:u w:val="none" w:color="auto"/>
        </w:rPr>
        <w:t xml:space="preserve"> 《声环境质量标准》（GB3096-2008）摘录单位：等效声级Leq[dB（A）]</w:t>
      </w:r>
    </w:p>
    <w:tbl>
      <w:tblPr>
        <w:tblStyle w:val="37"/>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1"/>
        <w:gridCol w:w="875"/>
        <w:gridCol w:w="875"/>
        <w:gridCol w:w="4747"/>
      </w:tblGrid>
      <w:tr w14:paraId="017AA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vAlign w:val="center"/>
          </w:tcPr>
          <w:p w14:paraId="7BAA752D">
            <w:pPr>
              <w:autoSpaceDE w:val="0"/>
              <w:autoSpaceDN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声功能区类别</w:t>
            </w:r>
          </w:p>
        </w:tc>
        <w:tc>
          <w:tcPr>
            <w:tcW w:w="875" w:type="dxa"/>
            <w:vAlign w:val="center"/>
          </w:tcPr>
          <w:p w14:paraId="4FBE033A">
            <w:pPr>
              <w:autoSpaceDE w:val="0"/>
              <w:autoSpaceDN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昼间</w:t>
            </w:r>
          </w:p>
        </w:tc>
        <w:tc>
          <w:tcPr>
            <w:tcW w:w="875" w:type="dxa"/>
            <w:vAlign w:val="center"/>
          </w:tcPr>
          <w:p w14:paraId="75201944">
            <w:pPr>
              <w:autoSpaceDE w:val="0"/>
              <w:autoSpaceDN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夜间</w:t>
            </w:r>
          </w:p>
        </w:tc>
        <w:tc>
          <w:tcPr>
            <w:tcW w:w="4747" w:type="dxa"/>
            <w:vAlign w:val="center"/>
          </w:tcPr>
          <w:p w14:paraId="030F8C5A">
            <w:pPr>
              <w:autoSpaceDE w:val="0"/>
              <w:autoSpaceDN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选用标准</w:t>
            </w:r>
          </w:p>
        </w:tc>
      </w:tr>
      <w:tr w14:paraId="3FE2C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vAlign w:val="center"/>
          </w:tcPr>
          <w:p w14:paraId="3AE2BF6E">
            <w:pPr>
              <w:autoSpaceDE w:val="0"/>
              <w:autoSpaceDN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3类</w:t>
            </w:r>
          </w:p>
        </w:tc>
        <w:tc>
          <w:tcPr>
            <w:tcW w:w="875" w:type="dxa"/>
            <w:vAlign w:val="center"/>
          </w:tcPr>
          <w:p w14:paraId="23579D2B">
            <w:pPr>
              <w:autoSpaceDE w:val="0"/>
              <w:autoSpaceDN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65</w:t>
            </w:r>
          </w:p>
        </w:tc>
        <w:tc>
          <w:tcPr>
            <w:tcW w:w="875" w:type="dxa"/>
            <w:vAlign w:val="center"/>
          </w:tcPr>
          <w:p w14:paraId="7B808BB7">
            <w:pPr>
              <w:autoSpaceDE w:val="0"/>
              <w:autoSpaceDN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55</w:t>
            </w:r>
          </w:p>
        </w:tc>
        <w:tc>
          <w:tcPr>
            <w:tcW w:w="4747" w:type="dxa"/>
            <w:vAlign w:val="center"/>
          </w:tcPr>
          <w:p w14:paraId="49D0E240">
            <w:pPr>
              <w:autoSpaceDE w:val="0"/>
              <w:autoSpaceDN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《声环境质量标准》（GB3096-2008）</w:t>
            </w:r>
          </w:p>
        </w:tc>
      </w:tr>
    </w:tbl>
    <w:p w14:paraId="5B1F0B9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土壤执行标准</w:t>
      </w:r>
    </w:p>
    <w:p w14:paraId="5C123E4B">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项目区域土壤质量标准执行《土壤环境质量建设用地土壤污染风险管控标准》（GB36600-2018）第二类用地筛选值的要求。具体见表</w:t>
      </w:r>
      <w:r>
        <w:rPr>
          <w:rFonts w:hint="eastAsia" w:ascii="Times New Roman" w:hAnsi="Times New Roman" w:eastAsia="宋体" w:cs="Times New Roman"/>
          <w:color w:val="auto"/>
          <w:sz w:val="24"/>
          <w:u w:val="none" w:color="auto"/>
        </w:rPr>
        <w:t>1</w:t>
      </w:r>
      <w:r>
        <w:rPr>
          <w:rFonts w:ascii="Times New Roman" w:hAnsi="Times New Roman" w:eastAsia="宋体" w:cs="Times New Roman"/>
          <w:color w:val="auto"/>
          <w:sz w:val="24"/>
          <w:u w:val="none" w:color="auto"/>
        </w:rPr>
        <w:t>.</w:t>
      </w:r>
      <w:r>
        <w:rPr>
          <w:rFonts w:hint="eastAsia" w:ascii="Times New Roman" w:hAnsi="Times New Roman" w:eastAsia="宋体" w:cs="Times New Roman"/>
          <w:color w:val="auto"/>
          <w:sz w:val="24"/>
          <w:u w:val="none" w:color="auto"/>
        </w:rPr>
        <w:t>4</w:t>
      </w:r>
      <w:r>
        <w:rPr>
          <w:rFonts w:ascii="Times New Roman" w:hAnsi="Times New Roman" w:eastAsia="宋体" w:cs="Times New Roman"/>
          <w:color w:val="auto"/>
          <w:sz w:val="24"/>
          <w:u w:val="none" w:color="auto"/>
        </w:rPr>
        <w:t>-</w:t>
      </w:r>
      <w:r>
        <w:rPr>
          <w:rFonts w:hint="eastAsia" w:ascii="Times New Roman" w:hAnsi="Times New Roman" w:eastAsia="宋体" w:cs="Times New Roman"/>
          <w:color w:val="auto"/>
          <w:sz w:val="24"/>
          <w:u w:val="none" w:color="auto"/>
        </w:rPr>
        <w:t>4</w:t>
      </w:r>
      <w:r>
        <w:rPr>
          <w:rFonts w:ascii="Times New Roman" w:hAnsi="Times New Roman" w:eastAsia="宋体" w:cs="Times New Roman"/>
          <w:color w:val="auto"/>
          <w:sz w:val="24"/>
          <w:u w:val="none" w:color="auto"/>
        </w:rPr>
        <w:t>。</w:t>
      </w:r>
    </w:p>
    <w:p w14:paraId="5EB16946">
      <w:pPr>
        <w:widowControl/>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u w:val="none" w:color="auto"/>
        </w:rPr>
        <w:t>表</w:t>
      </w:r>
      <w:r>
        <w:rPr>
          <w:rFonts w:hint="eastAsia" w:ascii="Times New Roman" w:hAnsi="Times New Roman" w:eastAsia="宋体" w:cs="Times New Roman"/>
          <w:b/>
          <w:color w:val="auto"/>
          <w:u w:val="none" w:color="auto"/>
        </w:rPr>
        <w:t>1</w:t>
      </w:r>
      <w:r>
        <w:rPr>
          <w:rFonts w:ascii="Times New Roman" w:hAnsi="Times New Roman" w:eastAsia="宋体" w:cs="Times New Roman"/>
          <w:b/>
          <w:color w:val="auto"/>
          <w:u w:val="none" w:color="auto"/>
        </w:rPr>
        <w:fldChar w:fldCharType="begin"/>
      </w:r>
      <w:r>
        <w:rPr>
          <w:rFonts w:ascii="Times New Roman" w:hAnsi="Times New Roman" w:eastAsia="宋体" w:cs="Times New Roman"/>
          <w:b/>
          <w:color w:val="auto"/>
          <w:u w:val="none" w:color="auto"/>
        </w:rPr>
        <w:instrText xml:space="preserve"> STYLEREF 2 \s </w:instrText>
      </w:r>
      <w:r>
        <w:rPr>
          <w:rFonts w:ascii="Times New Roman" w:hAnsi="Times New Roman" w:eastAsia="宋体" w:cs="Times New Roman"/>
          <w:b/>
          <w:color w:val="auto"/>
          <w:u w:val="none" w:color="auto"/>
        </w:rPr>
        <w:fldChar w:fldCharType="separate"/>
      </w:r>
      <w:r>
        <w:rPr>
          <w:rFonts w:ascii="Times New Roman" w:hAnsi="Times New Roman" w:eastAsia="宋体" w:cs="Times New Roman"/>
          <w:b/>
          <w:color w:val="auto"/>
          <w:u w:val="none" w:color="auto"/>
        </w:rPr>
        <w:t>.</w:t>
      </w:r>
      <w:r>
        <w:rPr>
          <w:rFonts w:hint="eastAsia" w:ascii="Times New Roman" w:hAnsi="Times New Roman" w:eastAsia="宋体" w:cs="Times New Roman"/>
          <w:b/>
          <w:color w:val="auto"/>
          <w:u w:val="none" w:color="auto"/>
        </w:rPr>
        <w:t>4</w:t>
      </w:r>
      <w:r>
        <w:rPr>
          <w:rFonts w:ascii="Times New Roman" w:hAnsi="Times New Roman" w:eastAsia="宋体" w:cs="Times New Roman"/>
          <w:b/>
          <w:color w:val="auto"/>
          <w:u w:val="none" w:color="auto"/>
        </w:rPr>
        <w:fldChar w:fldCharType="end"/>
      </w:r>
      <w:r>
        <w:rPr>
          <w:rFonts w:ascii="Times New Roman" w:hAnsi="Times New Roman" w:eastAsia="宋体" w:cs="Times New Roman"/>
          <w:b/>
          <w:color w:val="auto"/>
          <w:u w:val="none" w:color="auto"/>
        </w:rPr>
        <w:noBreakHyphen/>
      </w:r>
      <w:r>
        <w:rPr>
          <w:rFonts w:hint="eastAsia" w:ascii="Times New Roman" w:hAnsi="Times New Roman" w:eastAsia="宋体" w:cs="Times New Roman"/>
          <w:b/>
          <w:color w:val="auto"/>
          <w:u w:val="none" w:color="auto"/>
        </w:rPr>
        <w:t>4</w:t>
      </w:r>
      <w:r>
        <w:rPr>
          <w:rFonts w:ascii="Times New Roman" w:hAnsi="Times New Roman" w:eastAsia="宋体" w:cs="Times New Roman"/>
          <w:b/>
          <w:color w:val="auto"/>
          <w:u w:val="none" w:color="auto"/>
        </w:rPr>
        <w:t xml:space="preserve"> 土壤环境质量标准单位mg/kg</w:t>
      </w:r>
    </w:p>
    <w:tbl>
      <w:tblPr>
        <w:tblStyle w:val="3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2391"/>
        <w:gridCol w:w="1418"/>
        <w:gridCol w:w="992"/>
        <w:gridCol w:w="992"/>
        <w:gridCol w:w="992"/>
        <w:gridCol w:w="997"/>
      </w:tblGrid>
      <w:tr w14:paraId="67E69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40" w:type="dxa"/>
            <w:vMerge w:val="restart"/>
            <w:vAlign w:val="center"/>
          </w:tcPr>
          <w:p w14:paraId="2293E1E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序号</w:t>
            </w:r>
          </w:p>
        </w:tc>
        <w:tc>
          <w:tcPr>
            <w:tcW w:w="2391" w:type="dxa"/>
            <w:vMerge w:val="restart"/>
            <w:vAlign w:val="center"/>
          </w:tcPr>
          <w:p w14:paraId="09E6F43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污染物项目</w:t>
            </w:r>
          </w:p>
        </w:tc>
        <w:tc>
          <w:tcPr>
            <w:tcW w:w="1418" w:type="dxa"/>
            <w:vMerge w:val="restart"/>
            <w:vAlign w:val="center"/>
          </w:tcPr>
          <w:p w14:paraId="612047D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CAS编号</w:t>
            </w:r>
          </w:p>
        </w:tc>
        <w:tc>
          <w:tcPr>
            <w:tcW w:w="1984" w:type="dxa"/>
            <w:gridSpan w:val="2"/>
            <w:vAlign w:val="center"/>
          </w:tcPr>
          <w:p w14:paraId="0A2B0F9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筛选值</w:t>
            </w:r>
          </w:p>
        </w:tc>
        <w:tc>
          <w:tcPr>
            <w:tcW w:w="1989" w:type="dxa"/>
            <w:gridSpan w:val="2"/>
            <w:vAlign w:val="center"/>
          </w:tcPr>
          <w:p w14:paraId="623A17D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管制值</w:t>
            </w:r>
          </w:p>
        </w:tc>
      </w:tr>
      <w:tr w14:paraId="1F5F4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40" w:type="dxa"/>
            <w:vMerge w:val="continue"/>
            <w:vAlign w:val="center"/>
          </w:tcPr>
          <w:p w14:paraId="2F708986">
            <w:pPr>
              <w:widowControl/>
              <w:spacing w:line="240" w:lineRule="exact"/>
              <w:jc w:val="left"/>
              <w:rPr>
                <w:rFonts w:ascii="Times New Roman" w:hAnsi="Times New Roman" w:cs="Times New Roman"/>
                <w:color w:val="auto"/>
                <w:spacing w:val="10"/>
                <w:szCs w:val="21"/>
                <w:u w:val="none" w:color="auto"/>
              </w:rPr>
            </w:pPr>
          </w:p>
        </w:tc>
        <w:tc>
          <w:tcPr>
            <w:tcW w:w="2391" w:type="dxa"/>
            <w:vMerge w:val="continue"/>
            <w:vAlign w:val="center"/>
          </w:tcPr>
          <w:p w14:paraId="35151045">
            <w:pPr>
              <w:widowControl/>
              <w:spacing w:line="240" w:lineRule="exact"/>
              <w:jc w:val="left"/>
              <w:rPr>
                <w:rFonts w:ascii="Times New Roman" w:hAnsi="Times New Roman" w:cs="Times New Roman"/>
                <w:color w:val="auto"/>
                <w:spacing w:val="10"/>
                <w:szCs w:val="21"/>
                <w:u w:val="none" w:color="auto"/>
              </w:rPr>
            </w:pPr>
          </w:p>
        </w:tc>
        <w:tc>
          <w:tcPr>
            <w:tcW w:w="1418" w:type="dxa"/>
            <w:vMerge w:val="continue"/>
            <w:vAlign w:val="center"/>
          </w:tcPr>
          <w:p w14:paraId="6859F343">
            <w:pPr>
              <w:widowControl/>
              <w:spacing w:line="240" w:lineRule="exact"/>
              <w:jc w:val="left"/>
              <w:rPr>
                <w:rFonts w:ascii="Times New Roman" w:hAnsi="Times New Roman" w:cs="Times New Roman"/>
                <w:color w:val="auto"/>
                <w:spacing w:val="10"/>
                <w:szCs w:val="21"/>
                <w:u w:val="none" w:color="auto"/>
              </w:rPr>
            </w:pPr>
          </w:p>
        </w:tc>
        <w:tc>
          <w:tcPr>
            <w:tcW w:w="992" w:type="dxa"/>
            <w:vAlign w:val="center"/>
          </w:tcPr>
          <w:p w14:paraId="0C3E478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第一类</w:t>
            </w:r>
          </w:p>
          <w:p w14:paraId="4376CA7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用地</w:t>
            </w:r>
          </w:p>
        </w:tc>
        <w:tc>
          <w:tcPr>
            <w:tcW w:w="992" w:type="dxa"/>
            <w:vAlign w:val="center"/>
          </w:tcPr>
          <w:p w14:paraId="7847651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第二类</w:t>
            </w:r>
          </w:p>
          <w:p w14:paraId="560AFF8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用地</w:t>
            </w:r>
          </w:p>
        </w:tc>
        <w:tc>
          <w:tcPr>
            <w:tcW w:w="992" w:type="dxa"/>
            <w:vAlign w:val="center"/>
          </w:tcPr>
          <w:p w14:paraId="3B4C6B7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第一类</w:t>
            </w:r>
          </w:p>
          <w:p w14:paraId="5EA144C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用地</w:t>
            </w:r>
          </w:p>
        </w:tc>
        <w:tc>
          <w:tcPr>
            <w:tcW w:w="997" w:type="dxa"/>
            <w:vAlign w:val="center"/>
          </w:tcPr>
          <w:p w14:paraId="3676590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第二类</w:t>
            </w:r>
          </w:p>
          <w:p w14:paraId="07F8F12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用地</w:t>
            </w:r>
          </w:p>
        </w:tc>
      </w:tr>
      <w:tr w14:paraId="043FA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7"/>
            <w:vAlign w:val="center"/>
          </w:tcPr>
          <w:p w14:paraId="0882DFA6">
            <w:pPr>
              <w:pStyle w:val="124"/>
              <w:widowControl w:val="0"/>
              <w:pBdr>
                <w:left w:val="none" w:color="auto" w:sz="0" w:space="0"/>
                <w:bottom w:val="none" w:color="auto" w:sz="0" w:space="0"/>
                <w:right w:val="none" w:color="auto" w:sz="0" w:space="0"/>
              </w:pBdr>
              <w:spacing w:before="0" w:beforeAutospacing="0" w:after="0" w:afterAutospacing="0" w:line="240" w:lineRule="exact"/>
              <w:jc w:val="both"/>
              <w:rPr>
                <w:rFonts w:ascii="Times New Roman" w:hAnsi="Times New Roman"/>
                <w:color w:val="auto"/>
                <w:spacing w:val="10"/>
                <w:kern w:val="2"/>
                <w:u w:val="none" w:color="auto"/>
              </w:rPr>
            </w:pPr>
            <w:r>
              <w:rPr>
                <w:rFonts w:ascii="Times New Roman" w:hAnsi="Times New Roman"/>
                <w:color w:val="auto"/>
                <w:spacing w:val="10"/>
                <w:kern w:val="2"/>
                <w:u w:val="none" w:color="auto"/>
              </w:rPr>
              <w:t>重金属和无机物</w:t>
            </w:r>
          </w:p>
        </w:tc>
      </w:tr>
      <w:tr w14:paraId="6BF64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175DBE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w:t>
            </w:r>
          </w:p>
        </w:tc>
        <w:tc>
          <w:tcPr>
            <w:tcW w:w="2391" w:type="dxa"/>
            <w:vAlign w:val="center"/>
          </w:tcPr>
          <w:p w14:paraId="69C4099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砷</w:t>
            </w:r>
          </w:p>
        </w:tc>
        <w:tc>
          <w:tcPr>
            <w:tcW w:w="1418" w:type="dxa"/>
            <w:vAlign w:val="center"/>
          </w:tcPr>
          <w:p w14:paraId="6FB32C2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7440-38-2</w:t>
            </w:r>
          </w:p>
        </w:tc>
        <w:tc>
          <w:tcPr>
            <w:tcW w:w="992" w:type="dxa"/>
            <w:vAlign w:val="center"/>
          </w:tcPr>
          <w:p w14:paraId="018998B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c>
          <w:tcPr>
            <w:tcW w:w="992" w:type="dxa"/>
            <w:vAlign w:val="center"/>
          </w:tcPr>
          <w:p w14:paraId="5DED8EC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60</w:t>
            </w:r>
          </w:p>
        </w:tc>
        <w:tc>
          <w:tcPr>
            <w:tcW w:w="992" w:type="dxa"/>
            <w:vAlign w:val="center"/>
          </w:tcPr>
          <w:p w14:paraId="15F28D6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w:t>
            </w:r>
          </w:p>
        </w:tc>
        <w:tc>
          <w:tcPr>
            <w:tcW w:w="997" w:type="dxa"/>
            <w:vAlign w:val="center"/>
          </w:tcPr>
          <w:p w14:paraId="7307712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w:t>
            </w:r>
          </w:p>
        </w:tc>
      </w:tr>
      <w:tr w14:paraId="6480B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F0C73B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w:t>
            </w:r>
          </w:p>
        </w:tc>
        <w:tc>
          <w:tcPr>
            <w:tcW w:w="2391" w:type="dxa"/>
            <w:vAlign w:val="center"/>
          </w:tcPr>
          <w:p w14:paraId="76F2E94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镉</w:t>
            </w:r>
          </w:p>
        </w:tc>
        <w:tc>
          <w:tcPr>
            <w:tcW w:w="1418" w:type="dxa"/>
            <w:vAlign w:val="center"/>
          </w:tcPr>
          <w:p w14:paraId="3AB60F5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7440-43-9</w:t>
            </w:r>
          </w:p>
        </w:tc>
        <w:tc>
          <w:tcPr>
            <w:tcW w:w="992" w:type="dxa"/>
            <w:vAlign w:val="center"/>
          </w:tcPr>
          <w:p w14:paraId="6953799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c>
          <w:tcPr>
            <w:tcW w:w="992" w:type="dxa"/>
            <w:vAlign w:val="center"/>
          </w:tcPr>
          <w:p w14:paraId="49839A2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65</w:t>
            </w:r>
          </w:p>
        </w:tc>
        <w:tc>
          <w:tcPr>
            <w:tcW w:w="992" w:type="dxa"/>
            <w:vAlign w:val="center"/>
          </w:tcPr>
          <w:p w14:paraId="503F252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47</w:t>
            </w:r>
          </w:p>
        </w:tc>
        <w:tc>
          <w:tcPr>
            <w:tcW w:w="997" w:type="dxa"/>
            <w:vAlign w:val="center"/>
          </w:tcPr>
          <w:p w14:paraId="6341685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172</w:t>
            </w:r>
          </w:p>
        </w:tc>
      </w:tr>
      <w:tr w14:paraId="1183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1CFD49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w:t>
            </w:r>
          </w:p>
        </w:tc>
        <w:tc>
          <w:tcPr>
            <w:tcW w:w="2391" w:type="dxa"/>
            <w:vAlign w:val="center"/>
          </w:tcPr>
          <w:p w14:paraId="327A5DE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铬（六价）</w:t>
            </w:r>
          </w:p>
        </w:tc>
        <w:tc>
          <w:tcPr>
            <w:tcW w:w="1418" w:type="dxa"/>
            <w:vAlign w:val="center"/>
          </w:tcPr>
          <w:p w14:paraId="2557AB2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18540-29-9</w:t>
            </w:r>
          </w:p>
        </w:tc>
        <w:tc>
          <w:tcPr>
            <w:tcW w:w="992" w:type="dxa"/>
            <w:vAlign w:val="center"/>
          </w:tcPr>
          <w:p w14:paraId="0DC92D5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3.0</w:t>
            </w:r>
          </w:p>
        </w:tc>
        <w:tc>
          <w:tcPr>
            <w:tcW w:w="992" w:type="dxa"/>
            <w:vAlign w:val="center"/>
          </w:tcPr>
          <w:p w14:paraId="22B85D4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5.7</w:t>
            </w:r>
          </w:p>
        </w:tc>
        <w:tc>
          <w:tcPr>
            <w:tcW w:w="992" w:type="dxa"/>
            <w:vAlign w:val="center"/>
          </w:tcPr>
          <w:p w14:paraId="5EB290B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30</w:t>
            </w:r>
          </w:p>
        </w:tc>
        <w:tc>
          <w:tcPr>
            <w:tcW w:w="997" w:type="dxa"/>
            <w:vAlign w:val="center"/>
          </w:tcPr>
          <w:p w14:paraId="61B825A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78</w:t>
            </w:r>
          </w:p>
        </w:tc>
      </w:tr>
      <w:tr w14:paraId="3DDFA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5989AA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w:t>
            </w:r>
          </w:p>
        </w:tc>
        <w:tc>
          <w:tcPr>
            <w:tcW w:w="2391" w:type="dxa"/>
            <w:vAlign w:val="center"/>
          </w:tcPr>
          <w:p w14:paraId="54971F6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铜</w:t>
            </w:r>
          </w:p>
        </w:tc>
        <w:tc>
          <w:tcPr>
            <w:tcW w:w="1418" w:type="dxa"/>
            <w:vAlign w:val="center"/>
          </w:tcPr>
          <w:p w14:paraId="0543B1D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7440-50-8</w:t>
            </w:r>
          </w:p>
        </w:tc>
        <w:tc>
          <w:tcPr>
            <w:tcW w:w="992" w:type="dxa"/>
            <w:vAlign w:val="center"/>
          </w:tcPr>
          <w:p w14:paraId="3C1D53C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2000</w:t>
            </w:r>
          </w:p>
        </w:tc>
        <w:tc>
          <w:tcPr>
            <w:tcW w:w="992" w:type="dxa"/>
            <w:vAlign w:val="center"/>
          </w:tcPr>
          <w:p w14:paraId="68EEC2D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18000</w:t>
            </w:r>
          </w:p>
        </w:tc>
        <w:tc>
          <w:tcPr>
            <w:tcW w:w="992" w:type="dxa"/>
            <w:vAlign w:val="center"/>
          </w:tcPr>
          <w:p w14:paraId="505DA75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8000</w:t>
            </w:r>
          </w:p>
        </w:tc>
        <w:tc>
          <w:tcPr>
            <w:tcW w:w="997" w:type="dxa"/>
            <w:vAlign w:val="center"/>
          </w:tcPr>
          <w:p w14:paraId="101574D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36000</w:t>
            </w:r>
          </w:p>
        </w:tc>
      </w:tr>
      <w:tr w14:paraId="16505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166658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2391" w:type="dxa"/>
            <w:vAlign w:val="center"/>
          </w:tcPr>
          <w:p w14:paraId="19E9E75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铅</w:t>
            </w:r>
          </w:p>
        </w:tc>
        <w:tc>
          <w:tcPr>
            <w:tcW w:w="1418" w:type="dxa"/>
            <w:vAlign w:val="center"/>
          </w:tcPr>
          <w:p w14:paraId="7A59F8E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7439-92-1</w:t>
            </w:r>
          </w:p>
        </w:tc>
        <w:tc>
          <w:tcPr>
            <w:tcW w:w="992" w:type="dxa"/>
            <w:vAlign w:val="center"/>
          </w:tcPr>
          <w:p w14:paraId="0A15C33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400</w:t>
            </w:r>
          </w:p>
        </w:tc>
        <w:tc>
          <w:tcPr>
            <w:tcW w:w="992" w:type="dxa"/>
            <w:vAlign w:val="center"/>
          </w:tcPr>
          <w:p w14:paraId="36DE2C1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800</w:t>
            </w:r>
          </w:p>
        </w:tc>
        <w:tc>
          <w:tcPr>
            <w:tcW w:w="992" w:type="dxa"/>
            <w:vAlign w:val="center"/>
          </w:tcPr>
          <w:p w14:paraId="638F850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800</w:t>
            </w:r>
          </w:p>
        </w:tc>
        <w:tc>
          <w:tcPr>
            <w:tcW w:w="997" w:type="dxa"/>
            <w:vAlign w:val="center"/>
          </w:tcPr>
          <w:p w14:paraId="36DB8A9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2500</w:t>
            </w:r>
          </w:p>
        </w:tc>
      </w:tr>
      <w:tr w14:paraId="53000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6C9D29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w:t>
            </w:r>
          </w:p>
        </w:tc>
        <w:tc>
          <w:tcPr>
            <w:tcW w:w="2391" w:type="dxa"/>
            <w:vAlign w:val="center"/>
          </w:tcPr>
          <w:p w14:paraId="1804BEA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汞</w:t>
            </w:r>
          </w:p>
        </w:tc>
        <w:tc>
          <w:tcPr>
            <w:tcW w:w="1418" w:type="dxa"/>
            <w:vAlign w:val="center"/>
          </w:tcPr>
          <w:p w14:paraId="565B516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7439-97-6</w:t>
            </w:r>
          </w:p>
        </w:tc>
        <w:tc>
          <w:tcPr>
            <w:tcW w:w="992" w:type="dxa"/>
            <w:vAlign w:val="center"/>
          </w:tcPr>
          <w:p w14:paraId="4F8A5CF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w:t>
            </w:r>
          </w:p>
        </w:tc>
        <w:tc>
          <w:tcPr>
            <w:tcW w:w="992" w:type="dxa"/>
            <w:vAlign w:val="center"/>
          </w:tcPr>
          <w:p w14:paraId="361F41A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38</w:t>
            </w:r>
          </w:p>
        </w:tc>
        <w:tc>
          <w:tcPr>
            <w:tcW w:w="992" w:type="dxa"/>
            <w:vAlign w:val="center"/>
          </w:tcPr>
          <w:p w14:paraId="069DB8B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33</w:t>
            </w:r>
          </w:p>
        </w:tc>
        <w:tc>
          <w:tcPr>
            <w:tcW w:w="997" w:type="dxa"/>
            <w:vAlign w:val="center"/>
          </w:tcPr>
          <w:p w14:paraId="3DE58FE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82</w:t>
            </w:r>
          </w:p>
        </w:tc>
      </w:tr>
      <w:tr w14:paraId="65AD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A45EA0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w:t>
            </w:r>
          </w:p>
        </w:tc>
        <w:tc>
          <w:tcPr>
            <w:tcW w:w="2391" w:type="dxa"/>
            <w:vAlign w:val="center"/>
          </w:tcPr>
          <w:p w14:paraId="33CEF47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镍</w:t>
            </w:r>
          </w:p>
        </w:tc>
        <w:tc>
          <w:tcPr>
            <w:tcW w:w="1418" w:type="dxa"/>
            <w:vAlign w:val="center"/>
          </w:tcPr>
          <w:p w14:paraId="0F9FE10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7440-02-0</w:t>
            </w:r>
          </w:p>
        </w:tc>
        <w:tc>
          <w:tcPr>
            <w:tcW w:w="992" w:type="dxa"/>
            <w:vAlign w:val="center"/>
          </w:tcPr>
          <w:p w14:paraId="08410AD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150</w:t>
            </w:r>
          </w:p>
        </w:tc>
        <w:tc>
          <w:tcPr>
            <w:tcW w:w="992" w:type="dxa"/>
            <w:vAlign w:val="center"/>
          </w:tcPr>
          <w:p w14:paraId="18A52AD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900</w:t>
            </w:r>
          </w:p>
        </w:tc>
        <w:tc>
          <w:tcPr>
            <w:tcW w:w="992" w:type="dxa"/>
            <w:vAlign w:val="center"/>
          </w:tcPr>
          <w:p w14:paraId="06F64CF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600</w:t>
            </w:r>
          </w:p>
        </w:tc>
        <w:tc>
          <w:tcPr>
            <w:tcW w:w="997" w:type="dxa"/>
            <w:vAlign w:val="center"/>
          </w:tcPr>
          <w:p w14:paraId="70B549B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2000</w:t>
            </w:r>
          </w:p>
        </w:tc>
      </w:tr>
      <w:tr w14:paraId="74C48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7"/>
            <w:vAlign w:val="center"/>
          </w:tcPr>
          <w:p w14:paraId="0664AE82">
            <w:pPr>
              <w:pStyle w:val="124"/>
              <w:widowControl w:val="0"/>
              <w:pBdr>
                <w:left w:val="none" w:color="auto" w:sz="0" w:space="0"/>
                <w:bottom w:val="none" w:color="auto" w:sz="0" w:space="0"/>
                <w:right w:val="none" w:color="auto" w:sz="0" w:space="0"/>
              </w:pBdr>
              <w:spacing w:before="0" w:beforeAutospacing="0" w:after="0" w:afterAutospacing="0" w:line="240" w:lineRule="exact"/>
              <w:jc w:val="both"/>
              <w:rPr>
                <w:rFonts w:ascii="Times New Roman" w:hAnsi="Times New Roman"/>
                <w:color w:val="auto"/>
                <w:spacing w:val="10"/>
                <w:kern w:val="2"/>
                <w:u w:val="none" w:color="auto"/>
              </w:rPr>
            </w:pPr>
            <w:r>
              <w:rPr>
                <w:rFonts w:ascii="Times New Roman" w:hAnsi="Times New Roman"/>
                <w:color w:val="auto"/>
                <w:spacing w:val="10"/>
                <w:kern w:val="2"/>
                <w:u w:val="none" w:color="auto"/>
              </w:rPr>
              <w:t>挥发性有机物</w:t>
            </w:r>
          </w:p>
        </w:tc>
      </w:tr>
      <w:tr w14:paraId="65837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F93BFD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w:t>
            </w:r>
          </w:p>
        </w:tc>
        <w:tc>
          <w:tcPr>
            <w:tcW w:w="2391" w:type="dxa"/>
            <w:vAlign w:val="center"/>
          </w:tcPr>
          <w:p w14:paraId="39C4260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四氯化碳</w:t>
            </w:r>
          </w:p>
        </w:tc>
        <w:tc>
          <w:tcPr>
            <w:tcW w:w="1418" w:type="dxa"/>
            <w:vAlign w:val="center"/>
          </w:tcPr>
          <w:p w14:paraId="7FF24BC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56-3-5</w:t>
            </w:r>
          </w:p>
        </w:tc>
        <w:tc>
          <w:tcPr>
            <w:tcW w:w="992" w:type="dxa"/>
            <w:vAlign w:val="center"/>
          </w:tcPr>
          <w:p w14:paraId="2ECB1DC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0.9</w:t>
            </w:r>
          </w:p>
        </w:tc>
        <w:tc>
          <w:tcPr>
            <w:tcW w:w="992" w:type="dxa"/>
            <w:vAlign w:val="center"/>
          </w:tcPr>
          <w:p w14:paraId="03F4DD5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w:t>
            </w:r>
          </w:p>
        </w:tc>
        <w:tc>
          <w:tcPr>
            <w:tcW w:w="992" w:type="dxa"/>
            <w:vAlign w:val="center"/>
          </w:tcPr>
          <w:p w14:paraId="7B7E085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w:t>
            </w:r>
          </w:p>
        </w:tc>
        <w:tc>
          <w:tcPr>
            <w:tcW w:w="997" w:type="dxa"/>
            <w:vAlign w:val="center"/>
          </w:tcPr>
          <w:p w14:paraId="7A99CE0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36</w:t>
            </w:r>
          </w:p>
        </w:tc>
      </w:tr>
      <w:tr w14:paraId="39635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A79ECD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w:t>
            </w:r>
          </w:p>
        </w:tc>
        <w:tc>
          <w:tcPr>
            <w:tcW w:w="2391" w:type="dxa"/>
            <w:vAlign w:val="center"/>
          </w:tcPr>
          <w:p w14:paraId="56CF579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氯仿</w:t>
            </w:r>
          </w:p>
        </w:tc>
        <w:tc>
          <w:tcPr>
            <w:tcW w:w="1418" w:type="dxa"/>
            <w:vAlign w:val="center"/>
          </w:tcPr>
          <w:p w14:paraId="1AC27CD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67-66-3</w:t>
            </w:r>
          </w:p>
        </w:tc>
        <w:tc>
          <w:tcPr>
            <w:tcW w:w="992" w:type="dxa"/>
            <w:vAlign w:val="center"/>
          </w:tcPr>
          <w:p w14:paraId="43B6174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0.3</w:t>
            </w:r>
          </w:p>
        </w:tc>
        <w:tc>
          <w:tcPr>
            <w:tcW w:w="992" w:type="dxa"/>
            <w:vAlign w:val="center"/>
          </w:tcPr>
          <w:p w14:paraId="3FFF2EC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0.9</w:t>
            </w:r>
          </w:p>
        </w:tc>
        <w:tc>
          <w:tcPr>
            <w:tcW w:w="992" w:type="dxa"/>
            <w:vAlign w:val="center"/>
          </w:tcPr>
          <w:p w14:paraId="3DCD9E4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997" w:type="dxa"/>
            <w:vAlign w:val="center"/>
          </w:tcPr>
          <w:p w14:paraId="7F1D816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w:t>
            </w:r>
          </w:p>
        </w:tc>
      </w:tr>
      <w:tr w14:paraId="37C0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15A93D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w:t>
            </w:r>
          </w:p>
        </w:tc>
        <w:tc>
          <w:tcPr>
            <w:tcW w:w="2391" w:type="dxa"/>
            <w:vAlign w:val="center"/>
          </w:tcPr>
          <w:p w14:paraId="281E217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氯甲仿</w:t>
            </w:r>
          </w:p>
        </w:tc>
        <w:tc>
          <w:tcPr>
            <w:tcW w:w="1418" w:type="dxa"/>
            <w:vAlign w:val="center"/>
          </w:tcPr>
          <w:p w14:paraId="7DEEA00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74-87-3</w:t>
            </w:r>
          </w:p>
        </w:tc>
        <w:tc>
          <w:tcPr>
            <w:tcW w:w="992" w:type="dxa"/>
            <w:vAlign w:val="center"/>
          </w:tcPr>
          <w:p w14:paraId="55AD7C7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w:t>
            </w:r>
          </w:p>
        </w:tc>
        <w:tc>
          <w:tcPr>
            <w:tcW w:w="992" w:type="dxa"/>
            <w:vAlign w:val="center"/>
          </w:tcPr>
          <w:p w14:paraId="03E5309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37</w:t>
            </w:r>
          </w:p>
        </w:tc>
        <w:tc>
          <w:tcPr>
            <w:tcW w:w="992" w:type="dxa"/>
            <w:vAlign w:val="center"/>
          </w:tcPr>
          <w:p w14:paraId="0A8A88C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21</w:t>
            </w:r>
          </w:p>
        </w:tc>
        <w:tc>
          <w:tcPr>
            <w:tcW w:w="997" w:type="dxa"/>
            <w:vAlign w:val="center"/>
          </w:tcPr>
          <w:p w14:paraId="5E08941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w:t>
            </w:r>
          </w:p>
        </w:tc>
      </w:tr>
      <w:tr w14:paraId="1853F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04E49FC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w:t>
            </w:r>
          </w:p>
        </w:tc>
        <w:tc>
          <w:tcPr>
            <w:tcW w:w="2391" w:type="dxa"/>
            <w:vAlign w:val="center"/>
          </w:tcPr>
          <w:p w14:paraId="4C4D2C2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1,1-二氯乙烷</w:t>
            </w:r>
          </w:p>
        </w:tc>
        <w:tc>
          <w:tcPr>
            <w:tcW w:w="1418" w:type="dxa"/>
            <w:vAlign w:val="center"/>
          </w:tcPr>
          <w:p w14:paraId="47892FA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75-34-3</w:t>
            </w:r>
          </w:p>
        </w:tc>
        <w:tc>
          <w:tcPr>
            <w:tcW w:w="992" w:type="dxa"/>
            <w:vAlign w:val="center"/>
          </w:tcPr>
          <w:p w14:paraId="04B9712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w:t>
            </w:r>
          </w:p>
        </w:tc>
        <w:tc>
          <w:tcPr>
            <w:tcW w:w="992" w:type="dxa"/>
            <w:vAlign w:val="center"/>
          </w:tcPr>
          <w:p w14:paraId="7C6BC40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w:t>
            </w:r>
          </w:p>
        </w:tc>
        <w:tc>
          <w:tcPr>
            <w:tcW w:w="992" w:type="dxa"/>
            <w:vAlign w:val="center"/>
          </w:tcPr>
          <w:p w14:paraId="249AAE7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c>
          <w:tcPr>
            <w:tcW w:w="997" w:type="dxa"/>
            <w:vAlign w:val="center"/>
          </w:tcPr>
          <w:p w14:paraId="46BF1E6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100</w:t>
            </w:r>
          </w:p>
        </w:tc>
      </w:tr>
      <w:tr w14:paraId="5DFD4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F030CD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w:t>
            </w:r>
          </w:p>
        </w:tc>
        <w:tc>
          <w:tcPr>
            <w:tcW w:w="2391" w:type="dxa"/>
            <w:vAlign w:val="center"/>
          </w:tcPr>
          <w:p w14:paraId="0EB070D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1,2-二氯乙烷</w:t>
            </w:r>
          </w:p>
        </w:tc>
        <w:tc>
          <w:tcPr>
            <w:tcW w:w="1418" w:type="dxa"/>
            <w:vAlign w:val="center"/>
          </w:tcPr>
          <w:p w14:paraId="461A066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107-06-2</w:t>
            </w:r>
          </w:p>
        </w:tc>
        <w:tc>
          <w:tcPr>
            <w:tcW w:w="992" w:type="dxa"/>
            <w:vAlign w:val="center"/>
          </w:tcPr>
          <w:p w14:paraId="14AB563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0.52</w:t>
            </w:r>
          </w:p>
        </w:tc>
        <w:tc>
          <w:tcPr>
            <w:tcW w:w="992" w:type="dxa"/>
            <w:vAlign w:val="center"/>
          </w:tcPr>
          <w:p w14:paraId="422200D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992" w:type="dxa"/>
            <w:vAlign w:val="center"/>
          </w:tcPr>
          <w:p w14:paraId="1559A4D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w:t>
            </w:r>
          </w:p>
        </w:tc>
        <w:tc>
          <w:tcPr>
            <w:tcW w:w="997" w:type="dxa"/>
            <w:vAlign w:val="center"/>
          </w:tcPr>
          <w:p w14:paraId="274DFE6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21</w:t>
            </w:r>
          </w:p>
        </w:tc>
      </w:tr>
      <w:tr w14:paraId="75E68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7EF381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13</w:t>
            </w:r>
          </w:p>
        </w:tc>
        <w:tc>
          <w:tcPr>
            <w:tcW w:w="2391" w:type="dxa"/>
            <w:vAlign w:val="center"/>
          </w:tcPr>
          <w:p w14:paraId="4A02DA4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1,1-二</w:t>
            </w:r>
            <w:r>
              <w:rPr>
                <w:rFonts w:hint="eastAsia" w:ascii="Times New Roman" w:hAnsi="Times New Roman"/>
                <w:color w:val="auto"/>
                <w:spacing w:val="10"/>
                <w:kern w:val="2"/>
                <w:u w:val="none" w:color="auto"/>
                <w:lang w:eastAsia="zh-CN"/>
              </w:rPr>
              <w:t>氯乙烯</w:t>
            </w:r>
          </w:p>
        </w:tc>
        <w:tc>
          <w:tcPr>
            <w:tcW w:w="1418" w:type="dxa"/>
            <w:vAlign w:val="center"/>
          </w:tcPr>
          <w:p w14:paraId="788A845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75-35-4</w:t>
            </w:r>
          </w:p>
        </w:tc>
        <w:tc>
          <w:tcPr>
            <w:tcW w:w="992" w:type="dxa"/>
            <w:vAlign w:val="center"/>
          </w:tcPr>
          <w:p w14:paraId="2FE7DB2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w:t>
            </w:r>
          </w:p>
        </w:tc>
        <w:tc>
          <w:tcPr>
            <w:tcW w:w="992" w:type="dxa"/>
            <w:vAlign w:val="center"/>
          </w:tcPr>
          <w:p w14:paraId="5E86E11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66</w:t>
            </w:r>
          </w:p>
        </w:tc>
        <w:tc>
          <w:tcPr>
            <w:tcW w:w="992" w:type="dxa"/>
            <w:vAlign w:val="center"/>
          </w:tcPr>
          <w:p w14:paraId="300E3F4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40</w:t>
            </w:r>
          </w:p>
        </w:tc>
        <w:tc>
          <w:tcPr>
            <w:tcW w:w="997" w:type="dxa"/>
            <w:vAlign w:val="center"/>
          </w:tcPr>
          <w:p w14:paraId="51F7A73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w:t>
            </w:r>
          </w:p>
        </w:tc>
      </w:tr>
      <w:tr w14:paraId="59703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3E858FB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14</w:t>
            </w:r>
          </w:p>
        </w:tc>
        <w:tc>
          <w:tcPr>
            <w:tcW w:w="2391" w:type="dxa"/>
            <w:vAlign w:val="center"/>
          </w:tcPr>
          <w:p w14:paraId="2E57B8F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顺-1,2-二</w:t>
            </w:r>
            <w:r>
              <w:rPr>
                <w:rFonts w:hint="eastAsia" w:ascii="Times New Roman" w:hAnsi="Times New Roman"/>
                <w:color w:val="auto"/>
                <w:spacing w:val="10"/>
                <w:kern w:val="2"/>
                <w:u w:val="none" w:color="auto"/>
                <w:lang w:eastAsia="zh-CN"/>
              </w:rPr>
              <w:t>氯乙烯</w:t>
            </w:r>
          </w:p>
        </w:tc>
        <w:tc>
          <w:tcPr>
            <w:tcW w:w="1418" w:type="dxa"/>
            <w:vAlign w:val="center"/>
          </w:tcPr>
          <w:p w14:paraId="343A6A8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156-60-5</w:t>
            </w:r>
          </w:p>
        </w:tc>
        <w:tc>
          <w:tcPr>
            <w:tcW w:w="992" w:type="dxa"/>
            <w:vAlign w:val="center"/>
          </w:tcPr>
          <w:p w14:paraId="5C82098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66</w:t>
            </w:r>
          </w:p>
        </w:tc>
        <w:tc>
          <w:tcPr>
            <w:tcW w:w="992" w:type="dxa"/>
            <w:vAlign w:val="center"/>
          </w:tcPr>
          <w:p w14:paraId="21EE75F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596</w:t>
            </w:r>
          </w:p>
        </w:tc>
        <w:tc>
          <w:tcPr>
            <w:tcW w:w="992" w:type="dxa"/>
            <w:vAlign w:val="center"/>
          </w:tcPr>
          <w:p w14:paraId="0AAC5FE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w:t>
            </w:r>
          </w:p>
        </w:tc>
        <w:tc>
          <w:tcPr>
            <w:tcW w:w="997" w:type="dxa"/>
            <w:vAlign w:val="center"/>
          </w:tcPr>
          <w:p w14:paraId="75E9AE0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2000</w:t>
            </w:r>
          </w:p>
        </w:tc>
      </w:tr>
      <w:tr w14:paraId="6F8D0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C3BE05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2391" w:type="dxa"/>
            <w:vAlign w:val="center"/>
          </w:tcPr>
          <w:p w14:paraId="69C47BF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反-1,2-二</w:t>
            </w:r>
            <w:r>
              <w:rPr>
                <w:rFonts w:hint="eastAsia" w:ascii="Times New Roman" w:hAnsi="Times New Roman"/>
                <w:color w:val="auto"/>
                <w:spacing w:val="10"/>
                <w:kern w:val="2"/>
                <w:u w:val="none" w:color="auto"/>
                <w:lang w:eastAsia="zh-CN"/>
              </w:rPr>
              <w:t>氯乙烯</w:t>
            </w:r>
          </w:p>
        </w:tc>
        <w:tc>
          <w:tcPr>
            <w:tcW w:w="1418" w:type="dxa"/>
            <w:vAlign w:val="center"/>
          </w:tcPr>
          <w:p w14:paraId="47A0667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156-59-2</w:t>
            </w:r>
          </w:p>
        </w:tc>
        <w:tc>
          <w:tcPr>
            <w:tcW w:w="992" w:type="dxa"/>
            <w:vAlign w:val="center"/>
          </w:tcPr>
          <w:p w14:paraId="3D30953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w:t>
            </w:r>
          </w:p>
        </w:tc>
        <w:tc>
          <w:tcPr>
            <w:tcW w:w="992" w:type="dxa"/>
            <w:vAlign w:val="center"/>
          </w:tcPr>
          <w:p w14:paraId="4D660C7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54</w:t>
            </w:r>
          </w:p>
        </w:tc>
        <w:tc>
          <w:tcPr>
            <w:tcW w:w="992" w:type="dxa"/>
            <w:vAlign w:val="center"/>
          </w:tcPr>
          <w:p w14:paraId="62F6665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31</w:t>
            </w:r>
          </w:p>
        </w:tc>
        <w:tc>
          <w:tcPr>
            <w:tcW w:w="997" w:type="dxa"/>
            <w:vAlign w:val="center"/>
          </w:tcPr>
          <w:p w14:paraId="3A7B5CF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163</w:t>
            </w:r>
          </w:p>
        </w:tc>
      </w:tr>
      <w:tr w14:paraId="493FE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5B2DE0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16</w:t>
            </w:r>
          </w:p>
        </w:tc>
        <w:tc>
          <w:tcPr>
            <w:tcW w:w="2391" w:type="dxa"/>
            <w:vAlign w:val="center"/>
          </w:tcPr>
          <w:p w14:paraId="01B1449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二氯甲烷</w:t>
            </w:r>
          </w:p>
        </w:tc>
        <w:tc>
          <w:tcPr>
            <w:tcW w:w="1418" w:type="dxa"/>
            <w:vAlign w:val="center"/>
          </w:tcPr>
          <w:p w14:paraId="5CE6CED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75-09-2</w:t>
            </w:r>
          </w:p>
        </w:tc>
        <w:tc>
          <w:tcPr>
            <w:tcW w:w="992" w:type="dxa"/>
            <w:vAlign w:val="center"/>
          </w:tcPr>
          <w:p w14:paraId="0734132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94</w:t>
            </w:r>
          </w:p>
        </w:tc>
        <w:tc>
          <w:tcPr>
            <w:tcW w:w="992" w:type="dxa"/>
            <w:vAlign w:val="center"/>
          </w:tcPr>
          <w:p w14:paraId="0DC78AB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616</w:t>
            </w:r>
          </w:p>
        </w:tc>
        <w:tc>
          <w:tcPr>
            <w:tcW w:w="992" w:type="dxa"/>
            <w:vAlign w:val="center"/>
          </w:tcPr>
          <w:p w14:paraId="7E7BD48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300</w:t>
            </w:r>
          </w:p>
        </w:tc>
        <w:tc>
          <w:tcPr>
            <w:tcW w:w="997" w:type="dxa"/>
            <w:vAlign w:val="center"/>
          </w:tcPr>
          <w:p w14:paraId="7596E43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2000</w:t>
            </w:r>
          </w:p>
        </w:tc>
      </w:tr>
      <w:tr w14:paraId="7E7AA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ED4B93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17</w:t>
            </w:r>
          </w:p>
        </w:tc>
        <w:tc>
          <w:tcPr>
            <w:tcW w:w="2391" w:type="dxa"/>
            <w:vAlign w:val="center"/>
          </w:tcPr>
          <w:p w14:paraId="254B6AA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1,2-二氯丙烷</w:t>
            </w:r>
          </w:p>
        </w:tc>
        <w:tc>
          <w:tcPr>
            <w:tcW w:w="1418" w:type="dxa"/>
            <w:vAlign w:val="center"/>
          </w:tcPr>
          <w:p w14:paraId="266D011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78-87-5</w:t>
            </w:r>
          </w:p>
        </w:tc>
        <w:tc>
          <w:tcPr>
            <w:tcW w:w="992" w:type="dxa"/>
            <w:vAlign w:val="center"/>
          </w:tcPr>
          <w:p w14:paraId="4EAD83A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w:t>
            </w:r>
          </w:p>
        </w:tc>
        <w:tc>
          <w:tcPr>
            <w:tcW w:w="992" w:type="dxa"/>
            <w:vAlign w:val="center"/>
          </w:tcPr>
          <w:p w14:paraId="0CB70B4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992" w:type="dxa"/>
            <w:vAlign w:val="center"/>
          </w:tcPr>
          <w:p w14:paraId="264E9B4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997" w:type="dxa"/>
            <w:vAlign w:val="center"/>
          </w:tcPr>
          <w:p w14:paraId="10120BB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47</w:t>
            </w:r>
          </w:p>
        </w:tc>
      </w:tr>
      <w:tr w14:paraId="4D4F1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235A91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18</w:t>
            </w:r>
          </w:p>
        </w:tc>
        <w:tc>
          <w:tcPr>
            <w:tcW w:w="2391" w:type="dxa"/>
            <w:vAlign w:val="center"/>
          </w:tcPr>
          <w:p w14:paraId="3E3DE93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1,1,1,2-四氯乙烷</w:t>
            </w:r>
          </w:p>
        </w:tc>
        <w:tc>
          <w:tcPr>
            <w:tcW w:w="1418" w:type="dxa"/>
            <w:vAlign w:val="center"/>
          </w:tcPr>
          <w:p w14:paraId="68D76E0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630-20-6</w:t>
            </w:r>
          </w:p>
        </w:tc>
        <w:tc>
          <w:tcPr>
            <w:tcW w:w="992" w:type="dxa"/>
            <w:vAlign w:val="center"/>
          </w:tcPr>
          <w:p w14:paraId="1E64CF4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2.6</w:t>
            </w:r>
          </w:p>
        </w:tc>
        <w:tc>
          <w:tcPr>
            <w:tcW w:w="992" w:type="dxa"/>
            <w:vAlign w:val="center"/>
          </w:tcPr>
          <w:p w14:paraId="125C5B3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w:t>
            </w:r>
          </w:p>
        </w:tc>
        <w:tc>
          <w:tcPr>
            <w:tcW w:w="992" w:type="dxa"/>
            <w:vAlign w:val="center"/>
          </w:tcPr>
          <w:p w14:paraId="5BB50E1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26</w:t>
            </w:r>
          </w:p>
        </w:tc>
        <w:tc>
          <w:tcPr>
            <w:tcW w:w="997" w:type="dxa"/>
            <w:vAlign w:val="center"/>
          </w:tcPr>
          <w:p w14:paraId="60C71D9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100</w:t>
            </w:r>
          </w:p>
        </w:tc>
      </w:tr>
      <w:tr w14:paraId="12675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E1B720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19</w:t>
            </w:r>
          </w:p>
        </w:tc>
        <w:tc>
          <w:tcPr>
            <w:tcW w:w="2391" w:type="dxa"/>
            <w:vAlign w:val="center"/>
          </w:tcPr>
          <w:p w14:paraId="7E54039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1,1,2,2-四氯乙烷</w:t>
            </w:r>
          </w:p>
        </w:tc>
        <w:tc>
          <w:tcPr>
            <w:tcW w:w="1418" w:type="dxa"/>
            <w:vAlign w:val="center"/>
          </w:tcPr>
          <w:p w14:paraId="2DC6016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79-34-5</w:t>
            </w:r>
          </w:p>
        </w:tc>
        <w:tc>
          <w:tcPr>
            <w:tcW w:w="992" w:type="dxa"/>
            <w:vAlign w:val="center"/>
          </w:tcPr>
          <w:p w14:paraId="262BBB2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1.6</w:t>
            </w:r>
          </w:p>
        </w:tc>
        <w:tc>
          <w:tcPr>
            <w:tcW w:w="992" w:type="dxa"/>
            <w:vAlign w:val="center"/>
          </w:tcPr>
          <w:p w14:paraId="61872EC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6.8</w:t>
            </w:r>
          </w:p>
        </w:tc>
        <w:tc>
          <w:tcPr>
            <w:tcW w:w="992" w:type="dxa"/>
            <w:vAlign w:val="center"/>
          </w:tcPr>
          <w:p w14:paraId="37C126B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14</w:t>
            </w:r>
          </w:p>
        </w:tc>
        <w:tc>
          <w:tcPr>
            <w:tcW w:w="997" w:type="dxa"/>
            <w:vAlign w:val="center"/>
          </w:tcPr>
          <w:p w14:paraId="72B8E8C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50</w:t>
            </w:r>
          </w:p>
        </w:tc>
      </w:tr>
      <w:tr w14:paraId="7CDAA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0EE1C5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c>
          <w:tcPr>
            <w:tcW w:w="2391" w:type="dxa"/>
            <w:vAlign w:val="center"/>
          </w:tcPr>
          <w:p w14:paraId="7A3705B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四氯乙烷</w:t>
            </w:r>
          </w:p>
        </w:tc>
        <w:tc>
          <w:tcPr>
            <w:tcW w:w="1418" w:type="dxa"/>
            <w:vAlign w:val="center"/>
          </w:tcPr>
          <w:p w14:paraId="21C4E4C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127-18-4</w:t>
            </w:r>
          </w:p>
        </w:tc>
        <w:tc>
          <w:tcPr>
            <w:tcW w:w="992" w:type="dxa"/>
            <w:vAlign w:val="center"/>
          </w:tcPr>
          <w:p w14:paraId="7645597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w:t>
            </w:r>
          </w:p>
        </w:tc>
        <w:tc>
          <w:tcPr>
            <w:tcW w:w="992" w:type="dxa"/>
            <w:vAlign w:val="center"/>
          </w:tcPr>
          <w:p w14:paraId="2EEFA69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53</w:t>
            </w:r>
          </w:p>
        </w:tc>
        <w:tc>
          <w:tcPr>
            <w:tcW w:w="992" w:type="dxa"/>
            <w:vAlign w:val="center"/>
          </w:tcPr>
          <w:p w14:paraId="661A249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34</w:t>
            </w:r>
          </w:p>
        </w:tc>
        <w:tc>
          <w:tcPr>
            <w:tcW w:w="997" w:type="dxa"/>
            <w:vAlign w:val="center"/>
          </w:tcPr>
          <w:p w14:paraId="766E058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183</w:t>
            </w:r>
          </w:p>
        </w:tc>
      </w:tr>
      <w:tr w14:paraId="76FDF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D19F10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21</w:t>
            </w:r>
          </w:p>
        </w:tc>
        <w:tc>
          <w:tcPr>
            <w:tcW w:w="2391" w:type="dxa"/>
            <w:vAlign w:val="center"/>
          </w:tcPr>
          <w:p w14:paraId="634D7E8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1,1,1-三氯乙烷</w:t>
            </w:r>
          </w:p>
        </w:tc>
        <w:tc>
          <w:tcPr>
            <w:tcW w:w="1418" w:type="dxa"/>
            <w:vAlign w:val="center"/>
          </w:tcPr>
          <w:p w14:paraId="0CDDE63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71-55-6</w:t>
            </w:r>
          </w:p>
        </w:tc>
        <w:tc>
          <w:tcPr>
            <w:tcW w:w="992" w:type="dxa"/>
            <w:vAlign w:val="center"/>
          </w:tcPr>
          <w:p w14:paraId="11147E4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701</w:t>
            </w:r>
          </w:p>
        </w:tc>
        <w:tc>
          <w:tcPr>
            <w:tcW w:w="992" w:type="dxa"/>
            <w:vAlign w:val="center"/>
          </w:tcPr>
          <w:p w14:paraId="0DAD73E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840</w:t>
            </w:r>
          </w:p>
        </w:tc>
        <w:tc>
          <w:tcPr>
            <w:tcW w:w="992" w:type="dxa"/>
            <w:vAlign w:val="center"/>
          </w:tcPr>
          <w:p w14:paraId="3083271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840</w:t>
            </w:r>
          </w:p>
        </w:tc>
        <w:tc>
          <w:tcPr>
            <w:tcW w:w="997" w:type="dxa"/>
            <w:vAlign w:val="center"/>
          </w:tcPr>
          <w:p w14:paraId="017C8C4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840</w:t>
            </w:r>
          </w:p>
        </w:tc>
      </w:tr>
      <w:tr w14:paraId="24C48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385CC46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22</w:t>
            </w:r>
          </w:p>
        </w:tc>
        <w:tc>
          <w:tcPr>
            <w:tcW w:w="2391" w:type="dxa"/>
            <w:vAlign w:val="center"/>
          </w:tcPr>
          <w:p w14:paraId="29C69D0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1,1,2-三氯乙烷</w:t>
            </w:r>
          </w:p>
        </w:tc>
        <w:tc>
          <w:tcPr>
            <w:tcW w:w="1418" w:type="dxa"/>
            <w:vAlign w:val="center"/>
          </w:tcPr>
          <w:p w14:paraId="6FA9020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79-00-5</w:t>
            </w:r>
          </w:p>
        </w:tc>
        <w:tc>
          <w:tcPr>
            <w:tcW w:w="992" w:type="dxa"/>
            <w:vAlign w:val="center"/>
          </w:tcPr>
          <w:p w14:paraId="2F9DF5F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0.6</w:t>
            </w:r>
          </w:p>
        </w:tc>
        <w:tc>
          <w:tcPr>
            <w:tcW w:w="992" w:type="dxa"/>
            <w:vAlign w:val="center"/>
          </w:tcPr>
          <w:p w14:paraId="5A35F4A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w:t>
            </w:r>
          </w:p>
        </w:tc>
        <w:tc>
          <w:tcPr>
            <w:tcW w:w="992" w:type="dxa"/>
            <w:vAlign w:val="center"/>
          </w:tcPr>
          <w:p w14:paraId="30A5B2A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w:t>
            </w:r>
          </w:p>
        </w:tc>
        <w:tc>
          <w:tcPr>
            <w:tcW w:w="997" w:type="dxa"/>
            <w:vAlign w:val="center"/>
          </w:tcPr>
          <w:p w14:paraId="076240B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r>
      <w:tr w14:paraId="31BB6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B1C4B4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23</w:t>
            </w:r>
          </w:p>
        </w:tc>
        <w:tc>
          <w:tcPr>
            <w:tcW w:w="2391" w:type="dxa"/>
            <w:vAlign w:val="center"/>
          </w:tcPr>
          <w:p w14:paraId="3BB90E6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三氯乙烷</w:t>
            </w:r>
          </w:p>
        </w:tc>
        <w:tc>
          <w:tcPr>
            <w:tcW w:w="1418" w:type="dxa"/>
            <w:vAlign w:val="center"/>
          </w:tcPr>
          <w:p w14:paraId="3E6B853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79-01-6</w:t>
            </w:r>
          </w:p>
        </w:tc>
        <w:tc>
          <w:tcPr>
            <w:tcW w:w="992" w:type="dxa"/>
            <w:vAlign w:val="center"/>
          </w:tcPr>
          <w:p w14:paraId="5F58D8E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0.7</w:t>
            </w:r>
          </w:p>
        </w:tc>
        <w:tc>
          <w:tcPr>
            <w:tcW w:w="992" w:type="dxa"/>
            <w:vAlign w:val="center"/>
          </w:tcPr>
          <w:p w14:paraId="50F954E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w:t>
            </w:r>
          </w:p>
        </w:tc>
        <w:tc>
          <w:tcPr>
            <w:tcW w:w="992" w:type="dxa"/>
            <w:vAlign w:val="center"/>
          </w:tcPr>
          <w:p w14:paraId="7739408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w:t>
            </w:r>
          </w:p>
        </w:tc>
        <w:tc>
          <w:tcPr>
            <w:tcW w:w="997" w:type="dxa"/>
            <w:vAlign w:val="center"/>
          </w:tcPr>
          <w:p w14:paraId="037315A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r>
      <w:tr w14:paraId="2F414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BBD126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24</w:t>
            </w:r>
          </w:p>
        </w:tc>
        <w:tc>
          <w:tcPr>
            <w:tcW w:w="2391" w:type="dxa"/>
            <w:vAlign w:val="center"/>
          </w:tcPr>
          <w:p w14:paraId="4C5BF9D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1,1,3-三氯丙烷</w:t>
            </w:r>
          </w:p>
        </w:tc>
        <w:tc>
          <w:tcPr>
            <w:tcW w:w="1418" w:type="dxa"/>
            <w:vAlign w:val="center"/>
          </w:tcPr>
          <w:p w14:paraId="5F6599D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96-18-4</w:t>
            </w:r>
          </w:p>
        </w:tc>
        <w:tc>
          <w:tcPr>
            <w:tcW w:w="992" w:type="dxa"/>
            <w:vAlign w:val="center"/>
          </w:tcPr>
          <w:p w14:paraId="3CAA52B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0.05</w:t>
            </w:r>
          </w:p>
        </w:tc>
        <w:tc>
          <w:tcPr>
            <w:tcW w:w="992" w:type="dxa"/>
            <w:vAlign w:val="center"/>
          </w:tcPr>
          <w:p w14:paraId="4637E57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w:t>
            </w:r>
          </w:p>
        </w:tc>
        <w:tc>
          <w:tcPr>
            <w:tcW w:w="992" w:type="dxa"/>
            <w:vAlign w:val="center"/>
          </w:tcPr>
          <w:p w14:paraId="3BF2CD9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w:t>
            </w:r>
          </w:p>
        </w:tc>
        <w:tc>
          <w:tcPr>
            <w:tcW w:w="997" w:type="dxa"/>
            <w:vAlign w:val="center"/>
          </w:tcPr>
          <w:p w14:paraId="39AF1D6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w:t>
            </w:r>
          </w:p>
        </w:tc>
      </w:tr>
      <w:tr w14:paraId="660C1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C17B8E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25</w:t>
            </w:r>
          </w:p>
        </w:tc>
        <w:tc>
          <w:tcPr>
            <w:tcW w:w="2391" w:type="dxa"/>
            <w:vAlign w:val="center"/>
          </w:tcPr>
          <w:p w14:paraId="1A61A19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氯乙烯</w:t>
            </w:r>
          </w:p>
        </w:tc>
        <w:tc>
          <w:tcPr>
            <w:tcW w:w="1418" w:type="dxa"/>
            <w:vAlign w:val="center"/>
          </w:tcPr>
          <w:p w14:paraId="4A17BEF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75-01-4</w:t>
            </w:r>
          </w:p>
        </w:tc>
        <w:tc>
          <w:tcPr>
            <w:tcW w:w="992" w:type="dxa"/>
            <w:vAlign w:val="center"/>
          </w:tcPr>
          <w:p w14:paraId="30BB155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0.12</w:t>
            </w:r>
          </w:p>
        </w:tc>
        <w:tc>
          <w:tcPr>
            <w:tcW w:w="992" w:type="dxa"/>
            <w:vAlign w:val="center"/>
          </w:tcPr>
          <w:p w14:paraId="3B83725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0.43</w:t>
            </w:r>
          </w:p>
        </w:tc>
        <w:tc>
          <w:tcPr>
            <w:tcW w:w="992" w:type="dxa"/>
            <w:vAlign w:val="center"/>
          </w:tcPr>
          <w:p w14:paraId="0ED6468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w:t>
            </w:r>
          </w:p>
        </w:tc>
        <w:tc>
          <w:tcPr>
            <w:tcW w:w="997" w:type="dxa"/>
            <w:vAlign w:val="center"/>
          </w:tcPr>
          <w:p w14:paraId="165ECB2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4.3</w:t>
            </w:r>
          </w:p>
        </w:tc>
      </w:tr>
      <w:tr w14:paraId="64993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A0306E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26</w:t>
            </w:r>
          </w:p>
        </w:tc>
        <w:tc>
          <w:tcPr>
            <w:tcW w:w="2391" w:type="dxa"/>
            <w:vAlign w:val="center"/>
          </w:tcPr>
          <w:p w14:paraId="1F0719A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w:t>
            </w:r>
          </w:p>
        </w:tc>
        <w:tc>
          <w:tcPr>
            <w:tcW w:w="1418" w:type="dxa"/>
            <w:vAlign w:val="center"/>
          </w:tcPr>
          <w:p w14:paraId="463FD76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71-43-2</w:t>
            </w:r>
          </w:p>
        </w:tc>
        <w:tc>
          <w:tcPr>
            <w:tcW w:w="992" w:type="dxa"/>
            <w:vAlign w:val="center"/>
          </w:tcPr>
          <w:p w14:paraId="76F2DCC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w:t>
            </w:r>
          </w:p>
        </w:tc>
        <w:tc>
          <w:tcPr>
            <w:tcW w:w="992" w:type="dxa"/>
            <w:vAlign w:val="center"/>
          </w:tcPr>
          <w:p w14:paraId="2784A4E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w:t>
            </w:r>
          </w:p>
        </w:tc>
        <w:tc>
          <w:tcPr>
            <w:tcW w:w="992" w:type="dxa"/>
            <w:vAlign w:val="center"/>
          </w:tcPr>
          <w:p w14:paraId="346B39E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w:t>
            </w:r>
          </w:p>
        </w:tc>
        <w:tc>
          <w:tcPr>
            <w:tcW w:w="997" w:type="dxa"/>
            <w:vAlign w:val="center"/>
          </w:tcPr>
          <w:p w14:paraId="1B21A5B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40</w:t>
            </w:r>
          </w:p>
        </w:tc>
      </w:tr>
      <w:tr w14:paraId="3E513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B44EAB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27</w:t>
            </w:r>
          </w:p>
        </w:tc>
        <w:tc>
          <w:tcPr>
            <w:tcW w:w="2391" w:type="dxa"/>
            <w:vAlign w:val="center"/>
          </w:tcPr>
          <w:p w14:paraId="5174A49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氯苯</w:t>
            </w:r>
          </w:p>
        </w:tc>
        <w:tc>
          <w:tcPr>
            <w:tcW w:w="1418" w:type="dxa"/>
            <w:vAlign w:val="center"/>
          </w:tcPr>
          <w:p w14:paraId="2D01AAB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108-90-7</w:t>
            </w:r>
          </w:p>
        </w:tc>
        <w:tc>
          <w:tcPr>
            <w:tcW w:w="992" w:type="dxa"/>
            <w:vAlign w:val="center"/>
          </w:tcPr>
          <w:p w14:paraId="17900BF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68</w:t>
            </w:r>
          </w:p>
        </w:tc>
        <w:tc>
          <w:tcPr>
            <w:tcW w:w="992" w:type="dxa"/>
            <w:vAlign w:val="center"/>
          </w:tcPr>
          <w:p w14:paraId="395C8B6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270</w:t>
            </w:r>
          </w:p>
        </w:tc>
        <w:tc>
          <w:tcPr>
            <w:tcW w:w="992" w:type="dxa"/>
            <w:vAlign w:val="center"/>
          </w:tcPr>
          <w:p w14:paraId="29C1BA6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w:t>
            </w:r>
          </w:p>
        </w:tc>
        <w:tc>
          <w:tcPr>
            <w:tcW w:w="997" w:type="dxa"/>
            <w:vAlign w:val="center"/>
          </w:tcPr>
          <w:p w14:paraId="53D257A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1000</w:t>
            </w:r>
          </w:p>
        </w:tc>
      </w:tr>
      <w:tr w14:paraId="0B3B3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D328F7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w:t>
            </w:r>
          </w:p>
        </w:tc>
        <w:tc>
          <w:tcPr>
            <w:tcW w:w="2391" w:type="dxa"/>
            <w:vAlign w:val="center"/>
          </w:tcPr>
          <w:p w14:paraId="45786DF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1,2-二氯苯</w:t>
            </w:r>
          </w:p>
        </w:tc>
        <w:tc>
          <w:tcPr>
            <w:tcW w:w="1418" w:type="dxa"/>
            <w:vAlign w:val="center"/>
          </w:tcPr>
          <w:p w14:paraId="2F0C9A6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95-501</w:t>
            </w:r>
          </w:p>
        </w:tc>
        <w:tc>
          <w:tcPr>
            <w:tcW w:w="992" w:type="dxa"/>
            <w:vAlign w:val="center"/>
          </w:tcPr>
          <w:p w14:paraId="44E127D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560</w:t>
            </w:r>
          </w:p>
        </w:tc>
        <w:tc>
          <w:tcPr>
            <w:tcW w:w="992" w:type="dxa"/>
            <w:vAlign w:val="center"/>
          </w:tcPr>
          <w:p w14:paraId="6EDC771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560</w:t>
            </w:r>
          </w:p>
        </w:tc>
        <w:tc>
          <w:tcPr>
            <w:tcW w:w="992" w:type="dxa"/>
            <w:vAlign w:val="center"/>
          </w:tcPr>
          <w:p w14:paraId="548E8A5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560</w:t>
            </w:r>
          </w:p>
        </w:tc>
        <w:tc>
          <w:tcPr>
            <w:tcW w:w="997" w:type="dxa"/>
            <w:vAlign w:val="center"/>
          </w:tcPr>
          <w:p w14:paraId="08B95DB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560</w:t>
            </w:r>
          </w:p>
        </w:tc>
      </w:tr>
      <w:tr w14:paraId="7D018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996737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29</w:t>
            </w:r>
          </w:p>
        </w:tc>
        <w:tc>
          <w:tcPr>
            <w:tcW w:w="2391" w:type="dxa"/>
            <w:vAlign w:val="center"/>
          </w:tcPr>
          <w:p w14:paraId="5E6F78E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1,4-二氯苯</w:t>
            </w:r>
          </w:p>
        </w:tc>
        <w:tc>
          <w:tcPr>
            <w:tcW w:w="1418" w:type="dxa"/>
            <w:vAlign w:val="center"/>
          </w:tcPr>
          <w:p w14:paraId="2367969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106-46-7</w:t>
            </w:r>
          </w:p>
        </w:tc>
        <w:tc>
          <w:tcPr>
            <w:tcW w:w="992" w:type="dxa"/>
            <w:vAlign w:val="center"/>
          </w:tcPr>
          <w:p w14:paraId="5E0578A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w:t>
            </w:r>
          </w:p>
        </w:tc>
        <w:tc>
          <w:tcPr>
            <w:tcW w:w="992" w:type="dxa"/>
            <w:vAlign w:val="center"/>
          </w:tcPr>
          <w:p w14:paraId="3A62143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w:t>
            </w:r>
          </w:p>
        </w:tc>
        <w:tc>
          <w:tcPr>
            <w:tcW w:w="992" w:type="dxa"/>
            <w:vAlign w:val="center"/>
          </w:tcPr>
          <w:p w14:paraId="762C609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w:t>
            </w:r>
          </w:p>
        </w:tc>
        <w:tc>
          <w:tcPr>
            <w:tcW w:w="997" w:type="dxa"/>
            <w:vAlign w:val="center"/>
          </w:tcPr>
          <w:p w14:paraId="067FD51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200</w:t>
            </w:r>
          </w:p>
        </w:tc>
      </w:tr>
      <w:tr w14:paraId="2130B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3AAA6E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30</w:t>
            </w:r>
          </w:p>
        </w:tc>
        <w:tc>
          <w:tcPr>
            <w:tcW w:w="2391" w:type="dxa"/>
            <w:vAlign w:val="center"/>
          </w:tcPr>
          <w:p w14:paraId="159781D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乙苯</w:t>
            </w:r>
          </w:p>
        </w:tc>
        <w:tc>
          <w:tcPr>
            <w:tcW w:w="1418" w:type="dxa"/>
            <w:vAlign w:val="center"/>
          </w:tcPr>
          <w:p w14:paraId="6A9500D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100-41-4</w:t>
            </w:r>
          </w:p>
        </w:tc>
        <w:tc>
          <w:tcPr>
            <w:tcW w:w="992" w:type="dxa"/>
            <w:vAlign w:val="center"/>
          </w:tcPr>
          <w:p w14:paraId="3E3CECE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7.2</w:t>
            </w:r>
          </w:p>
        </w:tc>
        <w:tc>
          <w:tcPr>
            <w:tcW w:w="992" w:type="dxa"/>
            <w:vAlign w:val="center"/>
          </w:tcPr>
          <w:p w14:paraId="2405F9C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w:t>
            </w:r>
          </w:p>
        </w:tc>
        <w:tc>
          <w:tcPr>
            <w:tcW w:w="992" w:type="dxa"/>
            <w:vAlign w:val="center"/>
          </w:tcPr>
          <w:p w14:paraId="5B7E262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72</w:t>
            </w:r>
          </w:p>
        </w:tc>
        <w:tc>
          <w:tcPr>
            <w:tcW w:w="997" w:type="dxa"/>
            <w:vAlign w:val="center"/>
          </w:tcPr>
          <w:p w14:paraId="639E69C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280</w:t>
            </w:r>
          </w:p>
        </w:tc>
      </w:tr>
      <w:tr w14:paraId="3D237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5899BAA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31</w:t>
            </w:r>
          </w:p>
        </w:tc>
        <w:tc>
          <w:tcPr>
            <w:tcW w:w="2391" w:type="dxa"/>
            <w:vAlign w:val="center"/>
          </w:tcPr>
          <w:p w14:paraId="56CAF55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苯乙烯</w:t>
            </w:r>
          </w:p>
        </w:tc>
        <w:tc>
          <w:tcPr>
            <w:tcW w:w="1418" w:type="dxa"/>
            <w:vAlign w:val="center"/>
          </w:tcPr>
          <w:p w14:paraId="59AD158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100-42-5</w:t>
            </w:r>
          </w:p>
        </w:tc>
        <w:tc>
          <w:tcPr>
            <w:tcW w:w="992" w:type="dxa"/>
            <w:vAlign w:val="center"/>
          </w:tcPr>
          <w:p w14:paraId="575BD5F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1290</w:t>
            </w:r>
          </w:p>
        </w:tc>
        <w:tc>
          <w:tcPr>
            <w:tcW w:w="992" w:type="dxa"/>
            <w:vAlign w:val="center"/>
          </w:tcPr>
          <w:p w14:paraId="4FDB06E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1290</w:t>
            </w:r>
          </w:p>
        </w:tc>
        <w:tc>
          <w:tcPr>
            <w:tcW w:w="992" w:type="dxa"/>
            <w:vAlign w:val="center"/>
          </w:tcPr>
          <w:p w14:paraId="61CBDD7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1290</w:t>
            </w:r>
          </w:p>
        </w:tc>
        <w:tc>
          <w:tcPr>
            <w:tcW w:w="997" w:type="dxa"/>
            <w:vAlign w:val="center"/>
          </w:tcPr>
          <w:p w14:paraId="51FE4C5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1290</w:t>
            </w:r>
          </w:p>
        </w:tc>
      </w:tr>
      <w:tr w14:paraId="3B0A9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7CAA3AA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32</w:t>
            </w:r>
          </w:p>
        </w:tc>
        <w:tc>
          <w:tcPr>
            <w:tcW w:w="2391" w:type="dxa"/>
            <w:vAlign w:val="center"/>
          </w:tcPr>
          <w:p w14:paraId="20AAA67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甲苯</w:t>
            </w:r>
          </w:p>
        </w:tc>
        <w:tc>
          <w:tcPr>
            <w:tcW w:w="1418" w:type="dxa"/>
            <w:vAlign w:val="center"/>
          </w:tcPr>
          <w:p w14:paraId="2578E6B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108-88-3</w:t>
            </w:r>
          </w:p>
        </w:tc>
        <w:tc>
          <w:tcPr>
            <w:tcW w:w="992" w:type="dxa"/>
            <w:vAlign w:val="center"/>
          </w:tcPr>
          <w:p w14:paraId="2DA45A3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1200</w:t>
            </w:r>
          </w:p>
        </w:tc>
        <w:tc>
          <w:tcPr>
            <w:tcW w:w="992" w:type="dxa"/>
            <w:vAlign w:val="center"/>
          </w:tcPr>
          <w:p w14:paraId="5001488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1200</w:t>
            </w:r>
          </w:p>
        </w:tc>
        <w:tc>
          <w:tcPr>
            <w:tcW w:w="992" w:type="dxa"/>
            <w:vAlign w:val="center"/>
          </w:tcPr>
          <w:p w14:paraId="0836E8F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1200</w:t>
            </w:r>
          </w:p>
        </w:tc>
        <w:tc>
          <w:tcPr>
            <w:tcW w:w="997" w:type="dxa"/>
            <w:vAlign w:val="center"/>
          </w:tcPr>
          <w:p w14:paraId="26F10EB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1200</w:t>
            </w:r>
          </w:p>
        </w:tc>
      </w:tr>
      <w:tr w14:paraId="49C05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A6A1E4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33</w:t>
            </w:r>
          </w:p>
        </w:tc>
        <w:tc>
          <w:tcPr>
            <w:tcW w:w="2391" w:type="dxa"/>
            <w:vAlign w:val="center"/>
          </w:tcPr>
          <w:p w14:paraId="7D30D68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间二甲苯+对二甲苯</w:t>
            </w:r>
          </w:p>
        </w:tc>
        <w:tc>
          <w:tcPr>
            <w:tcW w:w="1418" w:type="dxa"/>
            <w:vAlign w:val="center"/>
          </w:tcPr>
          <w:p w14:paraId="71E60ED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108-38-3，</w:t>
            </w:r>
          </w:p>
          <w:p w14:paraId="2BFC158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106-42-3</w:t>
            </w:r>
          </w:p>
        </w:tc>
        <w:tc>
          <w:tcPr>
            <w:tcW w:w="992" w:type="dxa"/>
            <w:vAlign w:val="center"/>
          </w:tcPr>
          <w:p w14:paraId="0F4349E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163</w:t>
            </w:r>
          </w:p>
        </w:tc>
        <w:tc>
          <w:tcPr>
            <w:tcW w:w="992" w:type="dxa"/>
            <w:vAlign w:val="center"/>
          </w:tcPr>
          <w:p w14:paraId="1B7DB1C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570</w:t>
            </w:r>
          </w:p>
        </w:tc>
        <w:tc>
          <w:tcPr>
            <w:tcW w:w="992" w:type="dxa"/>
            <w:vAlign w:val="center"/>
          </w:tcPr>
          <w:p w14:paraId="18E610E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500</w:t>
            </w:r>
          </w:p>
        </w:tc>
        <w:tc>
          <w:tcPr>
            <w:tcW w:w="997" w:type="dxa"/>
            <w:vAlign w:val="center"/>
          </w:tcPr>
          <w:p w14:paraId="7788BCB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570</w:t>
            </w:r>
          </w:p>
        </w:tc>
      </w:tr>
      <w:tr w14:paraId="4319E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39306F8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34</w:t>
            </w:r>
          </w:p>
        </w:tc>
        <w:tc>
          <w:tcPr>
            <w:tcW w:w="2391" w:type="dxa"/>
            <w:vAlign w:val="center"/>
          </w:tcPr>
          <w:p w14:paraId="7FD56DF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邻二甲苯</w:t>
            </w:r>
          </w:p>
        </w:tc>
        <w:tc>
          <w:tcPr>
            <w:tcW w:w="1418" w:type="dxa"/>
            <w:vAlign w:val="center"/>
          </w:tcPr>
          <w:p w14:paraId="2BBBC52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95-47-6</w:t>
            </w:r>
          </w:p>
        </w:tc>
        <w:tc>
          <w:tcPr>
            <w:tcW w:w="992" w:type="dxa"/>
            <w:vAlign w:val="center"/>
          </w:tcPr>
          <w:p w14:paraId="1991DD5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222</w:t>
            </w:r>
          </w:p>
        </w:tc>
        <w:tc>
          <w:tcPr>
            <w:tcW w:w="992" w:type="dxa"/>
            <w:vAlign w:val="center"/>
          </w:tcPr>
          <w:p w14:paraId="0F541E1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640</w:t>
            </w:r>
          </w:p>
        </w:tc>
        <w:tc>
          <w:tcPr>
            <w:tcW w:w="992" w:type="dxa"/>
            <w:vAlign w:val="center"/>
          </w:tcPr>
          <w:p w14:paraId="0154B5F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640</w:t>
            </w:r>
          </w:p>
        </w:tc>
        <w:tc>
          <w:tcPr>
            <w:tcW w:w="997" w:type="dxa"/>
            <w:vAlign w:val="center"/>
          </w:tcPr>
          <w:p w14:paraId="78FD4C0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640</w:t>
            </w:r>
          </w:p>
        </w:tc>
      </w:tr>
      <w:tr w14:paraId="3749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2" w:type="dxa"/>
            <w:gridSpan w:val="7"/>
            <w:vAlign w:val="center"/>
          </w:tcPr>
          <w:p w14:paraId="1A89EF29">
            <w:pPr>
              <w:pStyle w:val="124"/>
              <w:widowControl w:val="0"/>
              <w:pBdr>
                <w:left w:val="none" w:color="auto" w:sz="0" w:space="0"/>
                <w:bottom w:val="none" w:color="auto" w:sz="0" w:space="0"/>
                <w:right w:val="none" w:color="auto" w:sz="0" w:space="0"/>
              </w:pBdr>
              <w:spacing w:before="0" w:beforeAutospacing="0" w:after="0" w:afterAutospacing="0" w:line="240" w:lineRule="exact"/>
              <w:jc w:val="both"/>
              <w:rPr>
                <w:rFonts w:ascii="Times New Roman" w:hAnsi="Times New Roman"/>
                <w:color w:val="auto"/>
                <w:spacing w:val="10"/>
                <w:kern w:val="2"/>
                <w:u w:val="none" w:color="auto"/>
              </w:rPr>
            </w:pPr>
            <w:r>
              <w:rPr>
                <w:rFonts w:ascii="Times New Roman" w:hAnsi="Times New Roman"/>
                <w:color w:val="auto"/>
                <w:spacing w:val="10"/>
                <w:kern w:val="2"/>
                <w:u w:val="none" w:color="auto"/>
              </w:rPr>
              <w:t>半挥发性有机物</w:t>
            </w:r>
          </w:p>
        </w:tc>
      </w:tr>
      <w:tr w14:paraId="7B85D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49E381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35</w:t>
            </w:r>
          </w:p>
        </w:tc>
        <w:tc>
          <w:tcPr>
            <w:tcW w:w="2391" w:type="dxa"/>
            <w:vAlign w:val="center"/>
          </w:tcPr>
          <w:p w14:paraId="39A1316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硝基苯</w:t>
            </w:r>
          </w:p>
        </w:tc>
        <w:tc>
          <w:tcPr>
            <w:tcW w:w="1418" w:type="dxa"/>
            <w:vAlign w:val="center"/>
          </w:tcPr>
          <w:p w14:paraId="5FFF26C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98-95-3</w:t>
            </w:r>
          </w:p>
        </w:tc>
        <w:tc>
          <w:tcPr>
            <w:tcW w:w="992" w:type="dxa"/>
            <w:vAlign w:val="center"/>
          </w:tcPr>
          <w:p w14:paraId="6857D91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34</w:t>
            </w:r>
          </w:p>
        </w:tc>
        <w:tc>
          <w:tcPr>
            <w:tcW w:w="992" w:type="dxa"/>
            <w:vAlign w:val="center"/>
          </w:tcPr>
          <w:p w14:paraId="7BFCDC9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76</w:t>
            </w:r>
          </w:p>
        </w:tc>
        <w:tc>
          <w:tcPr>
            <w:tcW w:w="992" w:type="dxa"/>
            <w:vAlign w:val="center"/>
          </w:tcPr>
          <w:p w14:paraId="4CFBBC3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190</w:t>
            </w:r>
          </w:p>
        </w:tc>
        <w:tc>
          <w:tcPr>
            <w:tcW w:w="997" w:type="dxa"/>
            <w:vAlign w:val="center"/>
          </w:tcPr>
          <w:p w14:paraId="3FEF231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760</w:t>
            </w:r>
          </w:p>
        </w:tc>
      </w:tr>
      <w:tr w14:paraId="61D55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2B0A83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36</w:t>
            </w:r>
          </w:p>
        </w:tc>
        <w:tc>
          <w:tcPr>
            <w:tcW w:w="2391" w:type="dxa"/>
            <w:vAlign w:val="center"/>
          </w:tcPr>
          <w:p w14:paraId="7A977F4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苯胺</w:t>
            </w:r>
          </w:p>
        </w:tc>
        <w:tc>
          <w:tcPr>
            <w:tcW w:w="1418" w:type="dxa"/>
            <w:vAlign w:val="center"/>
          </w:tcPr>
          <w:p w14:paraId="2D26BCA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62-53-3</w:t>
            </w:r>
          </w:p>
        </w:tc>
        <w:tc>
          <w:tcPr>
            <w:tcW w:w="992" w:type="dxa"/>
            <w:vAlign w:val="center"/>
          </w:tcPr>
          <w:p w14:paraId="13F6C71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92</w:t>
            </w:r>
          </w:p>
        </w:tc>
        <w:tc>
          <w:tcPr>
            <w:tcW w:w="992" w:type="dxa"/>
            <w:vAlign w:val="center"/>
          </w:tcPr>
          <w:p w14:paraId="3BF45BE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260</w:t>
            </w:r>
          </w:p>
        </w:tc>
        <w:tc>
          <w:tcPr>
            <w:tcW w:w="992" w:type="dxa"/>
            <w:vAlign w:val="center"/>
          </w:tcPr>
          <w:p w14:paraId="68F2272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211</w:t>
            </w:r>
          </w:p>
        </w:tc>
        <w:tc>
          <w:tcPr>
            <w:tcW w:w="997" w:type="dxa"/>
            <w:vAlign w:val="center"/>
          </w:tcPr>
          <w:p w14:paraId="5B2F435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663</w:t>
            </w:r>
          </w:p>
        </w:tc>
      </w:tr>
      <w:tr w14:paraId="3DCEA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672A61B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37</w:t>
            </w:r>
          </w:p>
        </w:tc>
        <w:tc>
          <w:tcPr>
            <w:tcW w:w="2391" w:type="dxa"/>
            <w:vAlign w:val="center"/>
          </w:tcPr>
          <w:p w14:paraId="275CA31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2-氯酚</w:t>
            </w:r>
          </w:p>
        </w:tc>
        <w:tc>
          <w:tcPr>
            <w:tcW w:w="1418" w:type="dxa"/>
            <w:vAlign w:val="center"/>
          </w:tcPr>
          <w:p w14:paraId="1CDDD83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95-57-8</w:t>
            </w:r>
          </w:p>
        </w:tc>
        <w:tc>
          <w:tcPr>
            <w:tcW w:w="992" w:type="dxa"/>
            <w:vAlign w:val="center"/>
          </w:tcPr>
          <w:p w14:paraId="2D1A85B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250</w:t>
            </w:r>
          </w:p>
        </w:tc>
        <w:tc>
          <w:tcPr>
            <w:tcW w:w="992" w:type="dxa"/>
            <w:vAlign w:val="center"/>
          </w:tcPr>
          <w:p w14:paraId="114FAFD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2256</w:t>
            </w:r>
          </w:p>
        </w:tc>
        <w:tc>
          <w:tcPr>
            <w:tcW w:w="992" w:type="dxa"/>
            <w:vAlign w:val="center"/>
          </w:tcPr>
          <w:p w14:paraId="0B560EA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500</w:t>
            </w:r>
          </w:p>
        </w:tc>
        <w:tc>
          <w:tcPr>
            <w:tcW w:w="997" w:type="dxa"/>
            <w:vAlign w:val="center"/>
          </w:tcPr>
          <w:p w14:paraId="4E832ED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4500</w:t>
            </w:r>
          </w:p>
        </w:tc>
      </w:tr>
      <w:tr w14:paraId="077CB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36D0176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38</w:t>
            </w:r>
          </w:p>
        </w:tc>
        <w:tc>
          <w:tcPr>
            <w:tcW w:w="2391" w:type="dxa"/>
            <w:vAlign w:val="center"/>
          </w:tcPr>
          <w:p w14:paraId="10814E8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苯并(α)蒽</w:t>
            </w:r>
          </w:p>
        </w:tc>
        <w:tc>
          <w:tcPr>
            <w:tcW w:w="1418" w:type="dxa"/>
            <w:vAlign w:val="center"/>
          </w:tcPr>
          <w:p w14:paraId="6CD9248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56-55-3</w:t>
            </w:r>
          </w:p>
        </w:tc>
        <w:tc>
          <w:tcPr>
            <w:tcW w:w="992" w:type="dxa"/>
            <w:vAlign w:val="center"/>
          </w:tcPr>
          <w:p w14:paraId="2B3CC99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2" w:type="dxa"/>
            <w:vAlign w:val="center"/>
          </w:tcPr>
          <w:p w14:paraId="039444F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992" w:type="dxa"/>
            <w:vAlign w:val="center"/>
          </w:tcPr>
          <w:p w14:paraId="4D7FFF0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7" w:type="dxa"/>
            <w:vAlign w:val="center"/>
          </w:tcPr>
          <w:p w14:paraId="76AAFC74">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151</w:t>
            </w:r>
          </w:p>
        </w:tc>
      </w:tr>
      <w:tr w14:paraId="3BC42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169714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39</w:t>
            </w:r>
          </w:p>
        </w:tc>
        <w:tc>
          <w:tcPr>
            <w:tcW w:w="2391" w:type="dxa"/>
            <w:vAlign w:val="center"/>
          </w:tcPr>
          <w:p w14:paraId="041E70A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苯并(α)芘</w:t>
            </w:r>
          </w:p>
        </w:tc>
        <w:tc>
          <w:tcPr>
            <w:tcW w:w="1418" w:type="dxa"/>
            <w:vAlign w:val="center"/>
          </w:tcPr>
          <w:p w14:paraId="54269A0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50-32-8</w:t>
            </w:r>
          </w:p>
        </w:tc>
        <w:tc>
          <w:tcPr>
            <w:tcW w:w="992" w:type="dxa"/>
            <w:vAlign w:val="center"/>
          </w:tcPr>
          <w:p w14:paraId="680BEF9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0.55</w:t>
            </w:r>
          </w:p>
        </w:tc>
        <w:tc>
          <w:tcPr>
            <w:tcW w:w="992" w:type="dxa"/>
            <w:vAlign w:val="center"/>
          </w:tcPr>
          <w:p w14:paraId="149E5E6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992" w:type="dxa"/>
            <w:vAlign w:val="center"/>
          </w:tcPr>
          <w:p w14:paraId="7644848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7" w:type="dxa"/>
            <w:vAlign w:val="center"/>
          </w:tcPr>
          <w:p w14:paraId="386599F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r>
      <w:tr w14:paraId="0CCD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258D4B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40</w:t>
            </w:r>
          </w:p>
        </w:tc>
        <w:tc>
          <w:tcPr>
            <w:tcW w:w="2391" w:type="dxa"/>
            <w:vAlign w:val="center"/>
          </w:tcPr>
          <w:p w14:paraId="1ADE2D5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苯并(b)荧蒽</w:t>
            </w:r>
          </w:p>
        </w:tc>
        <w:tc>
          <w:tcPr>
            <w:tcW w:w="1418" w:type="dxa"/>
            <w:vAlign w:val="center"/>
          </w:tcPr>
          <w:p w14:paraId="651FA71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205-99-2</w:t>
            </w:r>
          </w:p>
        </w:tc>
        <w:tc>
          <w:tcPr>
            <w:tcW w:w="992" w:type="dxa"/>
            <w:vAlign w:val="center"/>
          </w:tcPr>
          <w:p w14:paraId="34B5D3E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2" w:type="dxa"/>
            <w:vAlign w:val="center"/>
          </w:tcPr>
          <w:p w14:paraId="3866A35A">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992" w:type="dxa"/>
            <w:vAlign w:val="center"/>
          </w:tcPr>
          <w:p w14:paraId="383D0CD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7" w:type="dxa"/>
            <w:vAlign w:val="center"/>
          </w:tcPr>
          <w:p w14:paraId="726244B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151</w:t>
            </w:r>
          </w:p>
        </w:tc>
      </w:tr>
      <w:tr w14:paraId="66046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FF0017B">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41</w:t>
            </w:r>
          </w:p>
        </w:tc>
        <w:tc>
          <w:tcPr>
            <w:tcW w:w="2391" w:type="dxa"/>
            <w:vAlign w:val="center"/>
          </w:tcPr>
          <w:p w14:paraId="1DD51DA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苯并(K) 荧蒽</w:t>
            </w:r>
          </w:p>
        </w:tc>
        <w:tc>
          <w:tcPr>
            <w:tcW w:w="1418" w:type="dxa"/>
            <w:vAlign w:val="center"/>
          </w:tcPr>
          <w:p w14:paraId="3EBF64C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207-08-9</w:t>
            </w:r>
          </w:p>
        </w:tc>
        <w:tc>
          <w:tcPr>
            <w:tcW w:w="992" w:type="dxa"/>
            <w:vAlign w:val="center"/>
          </w:tcPr>
          <w:p w14:paraId="05BDD14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2" w:type="dxa"/>
            <w:vAlign w:val="center"/>
          </w:tcPr>
          <w:p w14:paraId="6D5B8AF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151</w:t>
            </w:r>
          </w:p>
        </w:tc>
        <w:tc>
          <w:tcPr>
            <w:tcW w:w="992" w:type="dxa"/>
            <w:vAlign w:val="center"/>
          </w:tcPr>
          <w:p w14:paraId="38690F6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550</w:t>
            </w:r>
          </w:p>
        </w:tc>
        <w:tc>
          <w:tcPr>
            <w:tcW w:w="997" w:type="dxa"/>
            <w:vAlign w:val="center"/>
          </w:tcPr>
          <w:p w14:paraId="010D36A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1500</w:t>
            </w:r>
          </w:p>
        </w:tc>
      </w:tr>
      <w:tr w14:paraId="69704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C12C72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42</w:t>
            </w:r>
          </w:p>
        </w:tc>
        <w:tc>
          <w:tcPr>
            <w:tcW w:w="2391" w:type="dxa"/>
            <w:vAlign w:val="center"/>
          </w:tcPr>
          <w:p w14:paraId="5449A14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䓛</w:t>
            </w:r>
          </w:p>
        </w:tc>
        <w:tc>
          <w:tcPr>
            <w:tcW w:w="1418" w:type="dxa"/>
            <w:vAlign w:val="center"/>
          </w:tcPr>
          <w:p w14:paraId="4C50EF8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218-01-9</w:t>
            </w:r>
          </w:p>
        </w:tc>
        <w:tc>
          <w:tcPr>
            <w:tcW w:w="992" w:type="dxa"/>
            <w:vAlign w:val="center"/>
          </w:tcPr>
          <w:p w14:paraId="39CD8A7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490</w:t>
            </w:r>
          </w:p>
        </w:tc>
        <w:tc>
          <w:tcPr>
            <w:tcW w:w="992" w:type="dxa"/>
            <w:vAlign w:val="center"/>
          </w:tcPr>
          <w:p w14:paraId="4EBD579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1293</w:t>
            </w:r>
          </w:p>
        </w:tc>
        <w:tc>
          <w:tcPr>
            <w:tcW w:w="992" w:type="dxa"/>
            <w:vAlign w:val="center"/>
          </w:tcPr>
          <w:p w14:paraId="3A3D1C9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4900</w:t>
            </w:r>
          </w:p>
        </w:tc>
        <w:tc>
          <w:tcPr>
            <w:tcW w:w="997" w:type="dxa"/>
            <w:vAlign w:val="center"/>
          </w:tcPr>
          <w:p w14:paraId="20F0F6E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12900</w:t>
            </w:r>
          </w:p>
        </w:tc>
      </w:tr>
      <w:tr w14:paraId="1EF80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424DB2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43</w:t>
            </w:r>
          </w:p>
        </w:tc>
        <w:tc>
          <w:tcPr>
            <w:tcW w:w="2391" w:type="dxa"/>
            <w:vAlign w:val="center"/>
          </w:tcPr>
          <w:p w14:paraId="20A9148E">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二苯并(α，h)蒽</w:t>
            </w:r>
          </w:p>
        </w:tc>
        <w:tc>
          <w:tcPr>
            <w:tcW w:w="1418" w:type="dxa"/>
            <w:vAlign w:val="center"/>
          </w:tcPr>
          <w:p w14:paraId="715EDAA8">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53-70-3</w:t>
            </w:r>
          </w:p>
        </w:tc>
        <w:tc>
          <w:tcPr>
            <w:tcW w:w="992" w:type="dxa"/>
            <w:vAlign w:val="center"/>
          </w:tcPr>
          <w:p w14:paraId="28DDF37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0.55</w:t>
            </w:r>
          </w:p>
        </w:tc>
        <w:tc>
          <w:tcPr>
            <w:tcW w:w="992" w:type="dxa"/>
            <w:vAlign w:val="center"/>
          </w:tcPr>
          <w:p w14:paraId="17C235C2">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992" w:type="dxa"/>
            <w:vAlign w:val="center"/>
          </w:tcPr>
          <w:p w14:paraId="7DCF0C5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7" w:type="dxa"/>
            <w:vAlign w:val="center"/>
          </w:tcPr>
          <w:p w14:paraId="0DD42393">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r>
      <w:tr w14:paraId="4CCFA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4E9C379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44</w:t>
            </w:r>
          </w:p>
        </w:tc>
        <w:tc>
          <w:tcPr>
            <w:tcW w:w="2391" w:type="dxa"/>
            <w:vAlign w:val="center"/>
          </w:tcPr>
          <w:p w14:paraId="431057F7">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茚(1,2,3-cd)芘</w:t>
            </w:r>
          </w:p>
        </w:tc>
        <w:tc>
          <w:tcPr>
            <w:tcW w:w="1418" w:type="dxa"/>
            <w:vAlign w:val="center"/>
          </w:tcPr>
          <w:p w14:paraId="2A6B6EF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193-39-5</w:t>
            </w:r>
          </w:p>
        </w:tc>
        <w:tc>
          <w:tcPr>
            <w:tcW w:w="992" w:type="dxa"/>
            <w:vAlign w:val="center"/>
          </w:tcPr>
          <w:p w14:paraId="7B83FAE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2" w:type="dxa"/>
            <w:vAlign w:val="center"/>
          </w:tcPr>
          <w:p w14:paraId="63B74D39">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w:t>
            </w:r>
          </w:p>
        </w:tc>
        <w:tc>
          <w:tcPr>
            <w:tcW w:w="992" w:type="dxa"/>
            <w:vAlign w:val="center"/>
          </w:tcPr>
          <w:p w14:paraId="58E8032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55</w:t>
            </w:r>
          </w:p>
        </w:tc>
        <w:tc>
          <w:tcPr>
            <w:tcW w:w="997" w:type="dxa"/>
            <w:vAlign w:val="center"/>
          </w:tcPr>
          <w:p w14:paraId="0D2FA030">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151</w:t>
            </w:r>
          </w:p>
        </w:tc>
      </w:tr>
      <w:tr w14:paraId="6A07C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25A6BF2D">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45</w:t>
            </w:r>
          </w:p>
        </w:tc>
        <w:tc>
          <w:tcPr>
            <w:tcW w:w="2391" w:type="dxa"/>
            <w:vAlign w:val="center"/>
          </w:tcPr>
          <w:p w14:paraId="499A03A1">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萘</w:t>
            </w:r>
          </w:p>
        </w:tc>
        <w:tc>
          <w:tcPr>
            <w:tcW w:w="1418" w:type="dxa"/>
            <w:vAlign w:val="center"/>
          </w:tcPr>
          <w:p w14:paraId="57078CDC">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91-20-3</w:t>
            </w:r>
          </w:p>
        </w:tc>
        <w:tc>
          <w:tcPr>
            <w:tcW w:w="992" w:type="dxa"/>
            <w:vAlign w:val="center"/>
          </w:tcPr>
          <w:p w14:paraId="7E8326C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25</w:t>
            </w:r>
          </w:p>
        </w:tc>
        <w:tc>
          <w:tcPr>
            <w:tcW w:w="992" w:type="dxa"/>
            <w:vAlign w:val="center"/>
          </w:tcPr>
          <w:p w14:paraId="66EDA2C6">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70</w:t>
            </w:r>
          </w:p>
        </w:tc>
        <w:tc>
          <w:tcPr>
            <w:tcW w:w="992" w:type="dxa"/>
            <w:vAlign w:val="center"/>
          </w:tcPr>
          <w:p w14:paraId="3680E825">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255</w:t>
            </w:r>
          </w:p>
        </w:tc>
        <w:tc>
          <w:tcPr>
            <w:tcW w:w="997" w:type="dxa"/>
            <w:vAlign w:val="center"/>
          </w:tcPr>
          <w:p w14:paraId="103DC18F">
            <w:pPr>
              <w:pStyle w:val="124"/>
              <w:widowControl w:val="0"/>
              <w:pBdr>
                <w:left w:val="none" w:color="auto" w:sz="0" w:space="0"/>
                <w:bottom w:val="none" w:color="auto" w:sz="0" w:space="0"/>
                <w:right w:val="none" w:color="auto" w:sz="0" w:space="0"/>
              </w:pBdr>
              <w:spacing w:before="0" w:beforeAutospacing="0" w:after="0" w:afterAutospacing="0" w:line="240" w:lineRule="exact"/>
              <w:rPr>
                <w:rFonts w:ascii="Times New Roman" w:hAnsi="Times New Roman"/>
                <w:color w:val="auto"/>
                <w:spacing w:val="10"/>
                <w:kern w:val="2"/>
                <w:u w:val="none" w:color="auto"/>
              </w:rPr>
            </w:pPr>
            <w:r>
              <w:rPr>
                <w:rFonts w:ascii="Times New Roman" w:hAnsi="Times New Roman"/>
                <w:color w:val="auto"/>
                <w:spacing w:val="10"/>
                <w:kern w:val="2"/>
                <w:u w:val="none" w:color="auto"/>
              </w:rPr>
              <w:t>700</w:t>
            </w:r>
          </w:p>
        </w:tc>
      </w:tr>
      <w:tr w14:paraId="4B095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vAlign w:val="center"/>
          </w:tcPr>
          <w:p w14:paraId="1D1F9729">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default" w:ascii="Times New Roman" w:hAnsi="Times New Roman" w:eastAsia="宋体"/>
                <w:color w:val="auto"/>
                <w:spacing w:val="10"/>
                <w:kern w:val="2"/>
                <w:u w:val="none" w:color="auto"/>
                <w:lang w:val="en-US" w:eastAsia="zh-CN"/>
              </w:rPr>
            </w:pPr>
            <w:bookmarkStart w:id="86" w:name="_Toc3728130"/>
            <w:r>
              <w:rPr>
                <w:rFonts w:hint="eastAsia" w:ascii="Times New Roman" w:hAnsi="Times New Roman"/>
                <w:color w:val="auto"/>
                <w:spacing w:val="10"/>
                <w:kern w:val="2"/>
                <w:u w:val="none" w:color="auto"/>
                <w:lang w:val="en-US" w:eastAsia="zh-CN"/>
              </w:rPr>
              <w:t>46</w:t>
            </w:r>
          </w:p>
        </w:tc>
        <w:tc>
          <w:tcPr>
            <w:tcW w:w="2391" w:type="dxa"/>
            <w:vAlign w:val="center"/>
          </w:tcPr>
          <w:p w14:paraId="162CD36B">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eastAsia"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石油烃</w:t>
            </w:r>
          </w:p>
        </w:tc>
        <w:tc>
          <w:tcPr>
            <w:tcW w:w="1418" w:type="dxa"/>
            <w:vAlign w:val="center"/>
          </w:tcPr>
          <w:p w14:paraId="0690225A">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eastAsia"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w:t>
            </w:r>
          </w:p>
        </w:tc>
        <w:tc>
          <w:tcPr>
            <w:tcW w:w="992" w:type="dxa"/>
            <w:vAlign w:val="center"/>
          </w:tcPr>
          <w:p w14:paraId="62B51610">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default"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826</w:t>
            </w:r>
          </w:p>
        </w:tc>
        <w:tc>
          <w:tcPr>
            <w:tcW w:w="992" w:type="dxa"/>
            <w:vAlign w:val="center"/>
          </w:tcPr>
          <w:p w14:paraId="524B5387">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default"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4500</w:t>
            </w:r>
          </w:p>
        </w:tc>
        <w:tc>
          <w:tcPr>
            <w:tcW w:w="992" w:type="dxa"/>
            <w:vAlign w:val="center"/>
          </w:tcPr>
          <w:p w14:paraId="47E6D25F">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default"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5000</w:t>
            </w:r>
          </w:p>
        </w:tc>
        <w:tc>
          <w:tcPr>
            <w:tcW w:w="997" w:type="dxa"/>
            <w:vAlign w:val="center"/>
          </w:tcPr>
          <w:p w14:paraId="3C7F3D8D">
            <w:pPr>
              <w:pStyle w:val="124"/>
              <w:widowControl w:val="0"/>
              <w:pBdr>
                <w:left w:val="none" w:color="auto" w:sz="0" w:space="0"/>
                <w:bottom w:val="none" w:color="auto" w:sz="0" w:space="0"/>
                <w:right w:val="none" w:color="auto" w:sz="0" w:space="0"/>
              </w:pBdr>
              <w:spacing w:before="0" w:beforeAutospacing="0" w:after="0" w:afterAutospacing="0" w:line="240" w:lineRule="exact"/>
              <w:rPr>
                <w:rFonts w:hint="default" w:ascii="Times New Roman" w:hAnsi="Times New Roman" w:eastAsia="宋体"/>
                <w:color w:val="auto"/>
                <w:spacing w:val="10"/>
                <w:kern w:val="2"/>
                <w:u w:val="none" w:color="auto"/>
                <w:lang w:val="en-US" w:eastAsia="zh-CN"/>
              </w:rPr>
            </w:pPr>
            <w:r>
              <w:rPr>
                <w:rFonts w:hint="eastAsia" w:ascii="Times New Roman" w:hAnsi="Times New Roman"/>
                <w:color w:val="auto"/>
                <w:spacing w:val="10"/>
                <w:kern w:val="2"/>
                <w:u w:val="none" w:color="auto"/>
                <w:lang w:val="en-US" w:eastAsia="zh-CN"/>
              </w:rPr>
              <w:t>9000</w:t>
            </w:r>
          </w:p>
        </w:tc>
      </w:tr>
    </w:tbl>
    <w:p w14:paraId="2DEB647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地下水环境</w:t>
      </w:r>
      <w:bookmarkEnd w:id="86"/>
    </w:p>
    <w:p w14:paraId="398FE71D">
      <w:pPr>
        <w:autoSpaceDE w:val="0"/>
        <w:autoSpaceDN w:val="0"/>
        <w:spacing w:line="500" w:lineRule="exact"/>
        <w:ind w:firstLine="52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spacing w:val="10"/>
          <w:sz w:val="24"/>
          <w:szCs w:val="24"/>
          <w:u w:val="none" w:color="auto"/>
        </w:rPr>
        <w:t>项目周边地下水执行《地下水质量标准》（GB/T</w:t>
      </w:r>
      <w:r>
        <w:rPr>
          <w:rFonts w:hint="eastAsia" w:ascii="Times New Roman" w:hAnsi="Times New Roman" w:eastAsia="宋体" w:cs="Times New Roman"/>
          <w:color w:val="auto"/>
          <w:spacing w:val="10"/>
          <w:sz w:val="24"/>
          <w:szCs w:val="24"/>
          <w:u w:val="none" w:color="auto"/>
        </w:rPr>
        <w:t xml:space="preserve"> </w:t>
      </w:r>
      <w:r>
        <w:rPr>
          <w:rFonts w:ascii="Times New Roman" w:hAnsi="Times New Roman" w:eastAsia="宋体" w:cs="Times New Roman"/>
          <w:color w:val="auto"/>
          <w:spacing w:val="10"/>
          <w:sz w:val="24"/>
          <w:szCs w:val="24"/>
          <w:u w:val="none" w:color="auto"/>
        </w:rPr>
        <w:t>14848-2017）III类标准。</w:t>
      </w:r>
    </w:p>
    <w:p w14:paraId="7DAF1A14">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表</w:t>
      </w:r>
      <w:r>
        <w:rPr>
          <w:rFonts w:hint="eastAsia" w:ascii="Times New Roman" w:hAnsi="Times New Roman" w:eastAsia="宋体" w:cs="Times New Roman"/>
          <w:b/>
          <w:color w:val="auto"/>
          <w:kern w:val="0"/>
          <w:szCs w:val="21"/>
          <w:u w:val="none" w:color="auto"/>
        </w:rPr>
        <w:t>1</w:t>
      </w:r>
      <w:r>
        <w:rPr>
          <w:rFonts w:ascii="Times New Roman" w:hAnsi="Times New Roman" w:eastAsia="宋体" w:cs="Times New Roman"/>
          <w:b/>
          <w:color w:val="auto"/>
          <w:kern w:val="0"/>
          <w:szCs w:val="21"/>
          <w:u w:val="none" w:color="auto"/>
        </w:rPr>
        <w:t>.</w:t>
      </w:r>
      <w:r>
        <w:rPr>
          <w:rFonts w:hint="eastAsia" w:ascii="Times New Roman" w:hAnsi="Times New Roman" w:eastAsia="宋体" w:cs="Times New Roman"/>
          <w:b/>
          <w:color w:val="auto"/>
          <w:kern w:val="0"/>
          <w:szCs w:val="21"/>
          <w:u w:val="none" w:color="auto"/>
        </w:rPr>
        <w:t>3</w:t>
      </w:r>
      <w:r>
        <w:rPr>
          <w:rFonts w:ascii="Times New Roman" w:hAnsi="Times New Roman" w:eastAsia="宋体" w:cs="Times New Roman"/>
          <w:b/>
          <w:color w:val="auto"/>
          <w:kern w:val="0"/>
          <w:szCs w:val="21"/>
          <w:u w:val="none" w:color="auto"/>
        </w:rPr>
        <w:t>-</w:t>
      </w:r>
      <w:r>
        <w:rPr>
          <w:rFonts w:hint="eastAsia" w:ascii="Times New Roman" w:hAnsi="Times New Roman" w:eastAsia="宋体" w:cs="Times New Roman"/>
          <w:b/>
          <w:color w:val="auto"/>
          <w:kern w:val="0"/>
          <w:szCs w:val="21"/>
          <w:u w:val="none" w:color="auto"/>
        </w:rPr>
        <w:t>4</w:t>
      </w:r>
      <w:r>
        <w:rPr>
          <w:rFonts w:ascii="Times New Roman" w:hAnsi="Times New Roman" w:eastAsia="宋体" w:cs="Times New Roman"/>
          <w:b/>
          <w:color w:val="auto"/>
          <w:kern w:val="0"/>
          <w:szCs w:val="21"/>
          <w:u w:val="none" w:color="auto"/>
        </w:rPr>
        <w:t xml:space="preserve"> 《地下水质量标准》（GB/T14848-2017）：单位：mg/L（</w:t>
      </w:r>
      <w:r>
        <w:rPr>
          <w:rFonts w:hint="eastAsia" w:ascii="Times New Roman" w:hAnsi="Times New Roman" w:eastAsia="宋体" w:cs="Times New Roman"/>
          <w:b/>
          <w:color w:val="auto"/>
          <w:kern w:val="0"/>
          <w:szCs w:val="21"/>
          <w:u w:val="none" w:color="auto"/>
          <w:lang w:val="en-US" w:eastAsia="zh-CN"/>
        </w:rPr>
        <w:t>p</w:t>
      </w:r>
      <w:r>
        <w:rPr>
          <w:rFonts w:ascii="Times New Roman" w:hAnsi="Times New Roman" w:eastAsia="宋体" w:cs="Times New Roman"/>
          <w:b/>
          <w:color w:val="auto"/>
          <w:kern w:val="0"/>
          <w:szCs w:val="21"/>
          <w:u w:val="none" w:color="auto"/>
        </w:rPr>
        <w:t>H值除外）</w:t>
      </w:r>
    </w:p>
    <w:tbl>
      <w:tblPr>
        <w:tblStyle w:val="37"/>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2409"/>
        <w:gridCol w:w="2235"/>
        <w:gridCol w:w="2922"/>
      </w:tblGrid>
      <w:tr w14:paraId="05E4B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27B3CEA7">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序号</w:t>
            </w:r>
          </w:p>
        </w:tc>
        <w:tc>
          <w:tcPr>
            <w:tcW w:w="2409" w:type="dxa"/>
            <w:vAlign w:val="center"/>
          </w:tcPr>
          <w:p w14:paraId="6B549754">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项目</w:t>
            </w:r>
          </w:p>
        </w:tc>
        <w:tc>
          <w:tcPr>
            <w:tcW w:w="2235" w:type="dxa"/>
            <w:vAlign w:val="center"/>
          </w:tcPr>
          <w:p w14:paraId="3CF35575">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标准值</w:t>
            </w:r>
          </w:p>
        </w:tc>
        <w:tc>
          <w:tcPr>
            <w:tcW w:w="2922" w:type="dxa"/>
            <w:vAlign w:val="center"/>
          </w:tcPr>
          <w:p w14:paraId="11E6B26E">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标准来源</w:t>
            </w:r>
          </w:p>
        </w:tc>
      </w:tr>
      <w:tr w14:paraId="781E4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08AA9A04">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420029F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lang w:val="en-US" w:eastAsia="zh-CN"/>
              </w:rPr>
              <w:t>p</w:t>
            </w:r>
            <w:r>
              <w:rPr>
                <w:rFonts w:ascii="Times New Roman" w:hAnsi="Times New Roman" w:eastAsia="宋体" w:cs="Times New Roman"/>
                <w:color w:val="auto"/>
                <w:kern w:val="0"/>
                <w:szCs w:val="21"/>
                <w:u w:val="none" w:color="auto"/>
              </w:rPr>
              <w:t>H</w:t>
            </w:r>
          </w:p>
        </w:tc>
        <w:tc>
          <w:tcPr>
            <w:tcW w:w="2235" w:type="dxa"/>
            <w:vAlign w:val="center"/>
          </w:tcPr>
          <w:p w14:paraId="3B7D7BE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6.5≤</w:t>
            </w:r>
            <w:r>
              <w:rPr>
                <w:rFonts w:hint="eastAsia" w:ascii="Times New Roman" w:hAnsi="Times New Roman" w:eastAsia="宋体" w:cs="Times New Roman"/>
                <w:color w:val="auto"/>
                <w:kern w:val="0"/>
                <w:szCs w:val="21"/>
                <w:u w:val="none" w:color="auto"/>
                <w:lang w:val="en-US" w:eastAsia="zh-CN"/>
              </w:rPr>
              <w:t>p</w:t>
            </w:r>
            <w:r>
              <w:rPr>
                <w:rFonts w:ascii="Times New Roman" w:hAnsi="Times New Roman" w:eastAsia="宋体" w:cs="Times New Roman"/>
                <w:color w:val="auto"/>
                <w:kern w:val="0"/>
                <w:szCs w:val="21"/>
                <w:u w:val="none" w:color="auto"/>
              </w:rPr>
              <w:t>H≤8.5</w:t>
            </w:r>
          </w:p>
        </w:tc>
        <w:tc>
          <w:tcPr>
            <w:tcW w:w="2922" w:type="dxa"/>
            <w:vMerge w:val="restart"/>
            <w:vAlign w:val="center"/>
          </w:tcPr>
          <w:p w14:paraId="33FFFE9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《地下水质量标准》（GB/T</w:t>
            </w:r>
            <w:r>
              <w:rPr>
                <w:rFonts w:hint="eastAsia" w:ascii="Times New Roman" w:hAnsi="Times New Roman" w:eastAsia="宋体" w:cs="Times New Roman"/>
                <w:color w:val="auto"/>
                <w:kern w:val="0"/>
                <w:szCs w:val="21"/>
                <w:u w:val="none" w:color="auto"/>
              </w:rPr>
              <w:t xml:space="preserve"> </w:t>
            </w:r>
            <w:r>
              <w:rPr>
                <w:rFonts w:ascii="Times New Roman" w:hAnsi="Times New Roman" w:eastAsia="宋体" w:cs="Times New Roman"/>
                <w:color w:val="auto"/>
                <w:kern w:val="0"/>
                <w:szCs w:val="21"/>
                <w:u w:val="none" w:color="auto"/>
              </w:rPr>
              <w:t>14848-2017）</w:t>
            </w:r>
          </w:p>
        </w:tc>
      </w:tr>
      <w:tr w14:paraId="5CE27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03DD84FB">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0317745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溶解性总固体</w:t>
            </w:r>
          </w:p>
        </w:tc>
        <w:tc>
          <w:tcPr>
            <w:tcW w:w="2235" w:type="dxa"/>
            <w:vAlign w:val="center"/>
          </w:tcPr>
          <w:p w14:paraId="6F506B0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≤1000</w:t>
            </w:r>
          </w:p>
        </w:tc>
        <w:tc>
          <w:tcPr>
            <w:tcW w:w="2922" w:type="dxa"/>
            <w:vMerge w:val="continue"/>
            <w:vAlign w:val="center"/>
          </w:tcPr>
          <w:p w14:paraId="09B79D80">
            <w:pPr>
              <w:autoSpaceDE w:val="0"/>
              <w:autoSpaceDN w:val="0"/>
              <w:jc w:val="center"/>
              <w:rPr>
                <w:rFonts w:ascii="Times New Roman" w:hAnsi="Times New Roman" w:eastAsia="宋体" w:cs="Times New Roman"/>
                <w:color w:val="auto"/>
                <w:kern w:val="0"/>
                <w:szCs w:val="21"/>
                <w:u w:val="none" w:color="auto"/>
              </w:rPr>
            </w:pPr>
          </w:p>
        </w:tc>
      </w:tr>
      <w:tr w14:paraId="03A28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128F9325">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1258564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总硬度</w:t>
            </w:r>
          </w:p>
        </w:tc>
        <w:tc>
          <w:tcPr>
            <w:tcW w:w="2235" w:type="dxa"/>
            <w:vAlign w:val="center"/>
          </w:tcPr>
          <w:p w14:paraId="156A301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rPr>
              <w:t>450</w:t>
            </w:r>
          </w:p>
        </w:tc>
        <w:tc>
          <w:tcPr>
            <w:tcW w:w="2922" w:type="dxa"/>
            <w:vMerge w:val="continue"/>
            <w:vAlign w:val="center"/>
          </w:tcPr>
          <w:p w14:paraId="153EE729">
            <w:pPr>
              <w:autoSpaceDE w:val="0"/>
              <w:autoSpaceDN w:val="0"/>
              <w:jc w:val="center"/>
              <w:rPr>
                <w:rFonts w:ascii="Times New Roman" w:hAnsi="Times New Roman" w:eastAsia="宋体" w:cs="Times New Roman"/>
                <w:color w:val="auto"/>
                <w:kern w:val="0"/>
                <w:szCs w:val="21"/>
                <w:u w:val="none" w:color="auto"/>
              </w:rPr>
            </w:pPr>
          </w:p>
        </w:tc>
      </w:tr>
      <w:tr w14:paraId="7E77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53AFAB9D">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56A6BDF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硫酸盐</w:t>
            </w:r>
          </w:p>
        </w:tc>
        <w:tc>
          <w:tcPr>
            <w:tcW w:w="2235" w:type="dxa"/>
            <w:vAlign w:val="center"/>
          </w:tcPr>
          <w:p w14:paraId="7232862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lang w:val="en-US" w:eastAsia="zh-CN"/>
              </w:rPr>
              <w:t>2</w:t>
            </w:r>
            <w:r>
              <w:rPr>
                <w:rFonts w:ascii="Times New Roman" w:hAnsi="Times New Roman" w:eastAsia="宋体" w:cs="Times New Roman"/>
                <w:color w:val="auto"/>
                <w:kern w:val="0"/>
                <w:szCs w:val="21"/>
                <w:u w:val="none" w:color="auto"/>
              </w:rPr>
              <w:t>50</w:t>
            </w:r>
          </w:p>
        </w:tc>
        <w:tc>
          <w:tcPr>
            <w:tcW w:w="2922" w:type="dxa"/>
            <w:vMerge w:val="continue"/>
            <w:vAlign w:val="center"/>
          </w:tcPr>
          <w:p w14:paraId="61FD9B29">
            <w:pPr>
              <w:autoSpaceDE w:val="0"/>
              <w:autoSpaceDN w:val="0"/>
              <w:jc w:val="center"/>
              <w:rPr>
                <w:rFonts w:ascii="Times New Roman" w:hAnsi="Times New Roman" w:eastAsia="宋体" w:cs="Times New Roman"/>
                <w:color w:val="auto"/>
                <w:kern w:val="0"/>
                <w:szCs w:val="21"/>
                <w:u w:val="none" w:color="auto"/>
              </w:rPr>
            </w:pPr>
          </w:p>
        </w:tc>
      </w:tr>
      <w:tr w14:paraId="3CBBD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3848C137">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132EB6F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氯化物</w:t>
            </w:r>
          </w:p>
        </w:tc>
        <w:tc>
          <w:tcPr>
            <w:tcW w:w="2235" w:type="dxa"/>
            <w:vAlign w:val="center"/>
          </w:tcPr>
          <w:p w14:paraId="10E83BA9">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≤250</w:t>
            </w:r>
          </w:p>
        </w:tc>
        <w:tc>
          <w:tcPr>
            <w:tcW w:w="2922" w:type="dxa"/>
            <w:vMerge w:val="continue"/>
            <w:vAlign w:val="center"/>
          </w:tcPr>
          <w:p w14:paraId="4A1072D9">
            <w:pPr>
              <w:autoSpaceDE w:val="0"/>
              <w:autoSpaceDN w:val="0"/>
              <w:jc w:val="center"/>
              <w:rPr>
                <w:rFonts w:ascii="Times New Roman" w:hAnsi="Times New Roman" w:eastAsia="宋体" w:cs="Times New Roman"/>
                <w:color w:val="auto"/>
                <w:kern w:val="0"/>
                <w:szCs w:val="21"/>
                <w:u w:val="none" w:color="auto"/>
              </w:rPr>
            </w:pPr>
          </w:p>
        </w:tc>
      </w:tr>
      <w:tr w14:paraId="535DC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30" w:type="dxa"/>
            <w:vAlign w:val="center"/>
          </w:tcPr>
          <w:p w14:paraId="1003DF37">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40AFF06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氨氮</w:t>
            </w:r>
          </w:p>
        </w:tc>
        <w:tc>
          <w:tcPr>
            <w:tcW w:w="2235" w:type="dxa"/>
            <w:vAlign w:val="center"/>
          </w:tcPr>
          <w:p w14:paraId="50FDE4CA">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≤0.50</w:t>
            </w:r>
          </w:p>
        </w:tc>
        <w:tc>
          <w:tcPr>
            <w:tcW w:w="2922" w:type="dxa"/>
            <w:vMerge w:val="continue"/>
            <w:vAlign w:val="center"/>
          </w:tcPr>
          <w:p w14:paraId="0B29F1D9">
            <w:pPr>
              <w:autoSpaceDE w:val="0"/>
              <w:autoSpaceDN w:val="0"/>
              <w:jc w:val="center"/>
              <w:rPr>
                <w:rFonts w:ascii="Times New Roman" w:hAnsi="Times New Roman" w:eastAsia="宋体" w:cs="Times New Roman"/>
                <w:color w:val="auto"/>
                <w:kern w:val="0"/>
                <w:szCs w:val="21"/>
                <w:u w:val="none" w:color="auto"/>
              </w:rPr>
            </w:pPr>
          </w:p>
        </w:tc>
      </w:tr>
      <w:tr w14:paraId="6A1F6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30" w:type="dxa"/>
            <w:vAlign w:val="center"/>
          </w:tcPr>
          <w:p w14:paraId="679433C5">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002119E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硝酸盐</w:t>
            </w:r>
            <w:r>
              <w:rPr>
                <w:rFonts w:ascii="Times New Roman" w:hAnsi="Times New Roman" w:eastAsia="宋体" w:cs="Times New Roman"/>
                <w:color w:val="auto"/>
                <w:kern w:val="0"/>
                <w:szCs w:val="21"/>
                <w:u w:val="none" w:color="auto"/>
              </w:rPr>
              <w:t>（以N计）</w:t>
            </w:r>
          </w:p>
        </w:tc>
        <w:tc>
          <w:tcPr>
            <w:tcW w:w="2235" w:type="dxa"/>
            <w:vAlign w:val="center"/>
          </w:tcPr>
          <w:p w14:paraId="3736868D">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rPr>
              <w:t>20</w:t>
            </w:r>
          </w:p>
        </w:tc>
        <w:tc>
          <w:tcPr>
            <w:tcW w:w="2922" w:type="dxa"/>
            <w:vMerge w:val="continue"/>
            <w:vAlign w:val="center"/>
          </w:tcPr>
          <w:p w14:paraId="23311DEC">
            <w:pPr>
              <w:autoSpaceDE w:val="0"/>
              <w:autoSpaceDN w:val="0"/>
              <w:jc w:val="center"/>
              <w:rPr>
                <w:rFonts w:ascii="Times New Roman" w:hAnsi="Times New Roman" w:eastAsia="宋体" w:cs="Times New Roman"/>
                <w:color w:val="auto"/>
                <w:kern w:val="0"/>
                <w:szCs w:val="21"/>
                <w:u w:val="none" w:color="auto"/>
              </w:rPr>
            </w:pPr>
          </w:p>
        </w:tc>
      </w:tr>
      <w:tr w14:paraId="1CAEC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07A5D253">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3D16155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亚硝酸盐（以N计）</w:t>
            </w:r>
          </w:p>
        </w:tc>
        <w:tc>
          <w:tcPr>
            <w:tcW w:w="2235" w:type="dxa"/>
            <w:vAlign w:val="center"/>
          </w:tcPr>
          <w:p w14:paraId="1ED2E45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≤1.0</w:t>
            </w:r>
          </w:p>
        </w:tc>
        <w:tc>
          <w:tcPr>
            <w:tcW w:w="2922" w:type="dxa"/>
            <w:vMerge w:val="continue"/>
            <w:vAlign w:val="center"/>
          </w:tcPr>
          <w:p w14:paraId="570270E6">
            <w:pPr>
              <w:autoSpaceDE w:val="0"/>
              <w:autoSpaceDN w:val="0"/>
              <w:jc w:val="center"/>
              <w:rPr>
                <w:rFonts w:ascii="Times New Roman" w:hAnsi="Times New Roman" w:eastAsia="宋体" w:cs="Times New Roman"/>
                <w:color w:val="auto"/>
                <w:kern w:val="0"/>
                <w:szCs w:val="21"/>
                <w:u w:val="none" w:color="auto"/>
              </w:rPr>
            </w:pPr>
          </w:p>
        </w:tc>
      </w:tr>
      <w:tr w14:paraId="5A033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38DE0097">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4710306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铁</w:t>
            </w:r>
          </w:p>
        </w:tc>
        <w:tc>
          <w:tcPr>
            <w:tcW w:w="2235" w:type="dxa"/>
            <w:vAlign w:val="center"/>
          </w:tcPr>
          <w:p w14:paraId="50950CF7">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rPr>
              <w:t>0.3</w:t>
            </w:r>
          </w:p>
        </w:tc>
        <w:tc>
          <w:tcPr>
            <w:tcW w:w="2922" w:type="dxa"/>
            <w:vMerge w:val="continue"/>
            <w:vAlign w:val="center"/>
          </w:tcPr>
          <w:p w14:paraId="116FC2C2">
            <w:pPr>
              <w:autoSpaceDE w:val="0"/>
              <w:autoSpaceDN w:val="0"/>
              <w:jc w:val="center"/>
              <w:rPr>
                <w:rFonts w:ascii="Times New Roman" w:hAnsi="Times New Roman" w:eastAsia="宋体" w:cs="Times New Roman"/>
                <w:color w:val="auto"/>
                <w:kern w:val="0"/>
                <w:szCs w:val="21"/>
                <w:u w:val="none" w:color="auto"/>
              </w:rPr>
            </w:pPr>
          </w:p>
        </w:tc>
      </w:tr>
      <w:tr w14:paraId="53D78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16BB06B5">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617A37A6">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锰</w:t>
            </w:r>
          </w:p>
        </w:tc>
        <w:tc>
          <w:tcPr>
            <w:tcW w:w="2235" w:type="dxa"/>
            <w:vAlign w:val="center"/>
          </w:tcPr>
          <w:p w14:paraId="3D0D707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≤0.1</w:t>
            </w:r>
          </w:p>
        </w:tc>
        <w:tc>
          <w:tcPr>
            <w:tcW w:w="2922" w:type="dxa"/>
            <w:vMerge w:val="continue"/>
            <w:vAlign w:val="center"/>
          </w:tcPr>
          <w:p w14:paraId="28D801A7">
            <w:pPr>
              <w:autoSpaceDE w:val="0"/>
              <w:autoSpaceDN w:val="0"/>
              <w:jc w:val="center"/>
              <w:rPr>
                <w:rFonts w:ascii="Times New Roman" w:hAnsi="Times New Roman" w:eastAsia="宋体" w:cs="Times New Roman"/>
                <w:color w:val="auto"/>
                <w:kern w:val="0"/>
                <w:szCs w:val="21"/>
                <w:u w:val="none" w:color="auto"/>
              </w:rPr>
            </w:pPr>
          </w:p>
        </w:tc>
      </w:tr>
      <w:tr w14:paraId="4F24A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30" w:type="dxa"/>
            <w:vAlign w:val="center"/>
          </w:tcPr>
          <w:p w14:paraId="5A4C053C">
            <w:pPr>
              <w:numPr>
                <w:ilvl w:val="0"/>
                <w:numId w:val="8"/>
              </w:numPr>
              <w:autoSpaceDE w:val="0"/>
              <w:autoSpaceDN w:val="0"/>
              <w:jc w:val="center"/>
              <w:rPr>
                <w:rFonts w:ascii="Times New Roman" w:hAnsi="Times New Roman" w:eastAsia="宋体" w:cs="Times New Roman"/>
                <w:color w:val="auto"/>
                <w:kern w:val="0"/>
                <w:szCs w:val="21"/>
                <w:u w:val="none" w:color="auto"/>
              </w:rPr>
            </w:pPr>
          </w:p>
        </w:tc>
        <w:tc>
          <w:tcPr>
            <w:tcW w:w="2409" w:type="dxa"/>
            <w:vAlign w:val="center"/>
          </w:tcPr>
          <w:p w14:paraId="680A4C0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钠</w:t>
            </w:r>
          </w:p>
        </w:tc>
        <w:tc>
          <w:tcPr>
            <w:tcW w:w="2235" w:type="dxa"/>
            <w:vAlign w:val="center"/>
          </w:tcPr>
          <w:p w14:paraId="1A8ACD7B">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rPr>
              <w:t>200</w:t>
            </w:r>
          </w:p>
        </w:tc>
        <w:tc>
          <w:tcPr>
            <w:tcW w:w="2922" w:type="dxa"/>
            <w:vMerge w:val="continue"/>
            <w:vAlign w:val="center"/>
          </w:tcPr>
          <w:p w14:paraId="694E32DC">
            <w:pPr>
              <w:autoSpaceDE w:val="0"/>
              <w:autoSpaceDN w:val="0"/>
              <w:jc w:val="center"/>
              <w:rPr>
                <w:rFonts w:ascii="Times New Roman" w:hAnsi="Times New Roman" w:eastAsia="宋体" w:cs="Times New Roman"/>
                <w:color w:val="auto"/>
                <w:kern w:val="0"/>
                <w:szCs w:val="21"/>
                <w:u w:val="none" w:color="auto"/>
              </w:rPr>
            </w:pPr>
          </w:p>
        </w:tc>
      </w:tr>
      <w:tr w14:paraId="6F68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30" w:type="dxa"/>
            <w:vAlign w:val="center"/>
          </w:tcPr>
          <w:p w14:paraId="7558151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12</w:t>
            </w:r>
          </w:p>
        </w:tc>
        <w:tc>
          <w:tcPr>
            <w:tcW w:w="2409" w:type="dxa"/>
            <w:vAlign w:val="center"/>
          </w:tcPr>
          <w:p w14:paraId="06DA0D0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甲苯</w:t>
            </w:r>
          </w:p>
        </w:tc>
        <w:tc>
          <w:tcPr>
            <w:tcW w:w="2235" w:type="dxa"/>
            <w:vAlign w:val="center"/>
          </w:tcPr>
          <w:p w14:paraId="4B2C08FC">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w:t>
            </w:r>
            <w:r>
              <w:rPr>
                <w:rFonts w:hint="eastAsia" w:ascii="Times New Roman" w:hAnsi="Times New Roman" w:eastAsia="宋体" w:cs="Times New Roman"/>
                <w:color w:val="auto"/>
                <w:kern w:val="0"/>
                <w:szCs w:val="21"/>
                <w:u w:val="none" w:color="auto"/>
              </w:rPr>
              <w:t>7</w:t>
            </w:r>
          </w:p>
        </w:tc>
        <w:tc>
          <w:tcPr>
            <w:tcW w:w="2922" w:type="dxa"/>
            <w:vMerge w:val="continue"/>
            <w:vAlign w:val="center"/>
          </w:tcPr>
          <w:p w14:paraId="3D0723B2">
            <w:pPr>
              <w:autoSpaceDE w:val="0"/>
              <w:autoSpaceDN w:val="0"/>
              <w:jc w:val="center"/>
              <w:rPr>
                <w:rFonts w:ascii="Times New Roman" w:hAnsi="Times New Roman" w:eastAsia="宋体" w:cs="Times New Roman"/>
                <w:color w:val="auto"/>
                <w:kern w:val="0"/>
                <w:szCs w:val="21"/>
                <w:u w:val="none" w:color="auto"/>
              </w:rPr>
            </w:pPr>
          </w:p>
        </w:tc>
      </w:tr>
      <w:tr w14:paraId="7F3E3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30" w:type="dxa"/>
            <w:vAlign w:val="center"/>
          </w:tcPr>
          <w:p w14:paraId="796DF18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13</w:t>
            </w:r>
          </w:p>
        </w:tc>
        <w:tc>
          <w:tcPr>
            <w:tcW w:w="2409" w:type="dxa"/>
            <w:vAlign w:val="center"/>
          </w:tcPr>
          <w:p w14:paraId="2886E768">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二甲苯</w:t>
            </w:r>
          </w:p>
        </w:tc>
        <w:tc>
          <w:tcPr>
            <w:tcW w:w="2235" w:type="dxa"/>
            <w:vAlign w:val="center"/>
          </w:tcPr>
          <w:p w14:paraId="0B57BB62">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≤0.</w:t>
            </w:r>
            <w:r>
              <w:rPr>
                <w:rFonts w:hint="eastAsia" w:ascii="Times New Roman" w:hAnsi="Times New Roman" w:eastAsia="宋体" w:cs="Times New Roman"/>
                <w:color w:val="auto"/>
                <w:kern w:val="0"/>
                <w:szCs w:val="21"/>
                <w:u w:val="none" w:color="auto"/>
              </w:rPr>
              <w:t>5</w:t>
            </w:r>
          </w:p>
        </w:tc>
        <w:tc>
          <w:tcPr>
            <w:tcW w:w="2922" w:type="dxa"/>
            <w:vMerge w:val="continue"/>
            <w:vAlign w:val="center"/>
          </w:tcPr>
          <w:p w14:paraId="0A2B72ED">
            <w:pPr>
              <w:autoSpaceDE w:val="0"/>
              <w:autoSpaceDN w:val="0"/>
              <w:jc w:val="center"/>
              <w:rPr>
                <w:rFonts w:ascii="Times New Roman" w:hAnsi="Times New Roman" w:eastAsia="宋体" w:cs="Times New Roman"/>
                <w:color w:val="auto"/>
                <w:kern w:val="0"/>
                <w:szCs w:val="21"/>
                <w:u w:val="none" w:color="auto"/>
              </w:rPr>
            </w:pPr>
          </w:p>
        </w:tc>
      </w:tr>
      <w:tr w14:paraId="4EACF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30" w:type="dxa"/>
            <w:vAlign w:val="center"/>
          </w:tcPr>
          <w:p w14:paraId="74761275">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14</w:t>
            </w:r>
          </w:p>
        </w:tc>
        <w:tc>
          <w:tcPr>
            <w:tcW w:w="2409" w:type="dxa"/>
            <w:vAlign w:val="center"/>
          </w:tcPr>
          <w:p w14:paraId="51BB029B">
            <w:pPr>
              <w:autoSpaceDE w:val="0"/>
              <w:autoSpaceDN w:val="0"/>
              <w:jc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val="en-US" w:eastAsia="zh-CN"/>
              </w:rPr>
              <w:t>耗氧量</w:t>
            </w:r>
          </w:p>
        </w:tc>
        <w:tc>
          <w:tcPr>
            <w:tcW w:w="2235" w:type="dxa"/>
            <w:vAlign w:val="center"/>
          </w:tcPr>
          <w:p w14:paraId="7D52590B">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lang w:val="en-US" w:eastAsia="zh-CN"/>
              </w:rPr>
              <w:t>3.0</w:t>
            </w:r>
          </w:p>
        </w:tc>
        <w:tc>
          <w:tcPr>
            <w:tcW w:w="2922" w:type="dxa"/>
            <w:vMerge w:val="continue"/>
            <w:vAlign w:val="center"/>
          </w:tcPr>
          <w:p w14:paraId="2BFAC982">
            <w:pPr>
              <w:autoSpaceDE w:val="0"/>
              <w:autoSpaceDN w:val="0"/>
              <w:jc w:val="center"/>
              <w:rPr>
                <w:rFonts w:ascii="Times New Roman" w:hAnsi="Times New Roman" w:eastAsia="宋体" w:cs="Times New Roman"/>
                <w:color w:val="auto"/>
                <w:kern w:val="0"/>
                <w:szCs w:val="21"/>
                <w:u w:val="none" w:color="auto"/>
              </w:rPr>
            </w:pPr>
          </w:p>
        </w:tc>
      </w:tr>
      <w:tr w14:paraId="11351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30" w:type="dxa"/>
            <w:vAlign w:val="center"/>
          </w:tcPr>
          <w:p w14:paraId="3E814F30">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15</w:t>
            </w:r>
          </w:p>
        </w:tc>
        <w:tc>
          <w:tcPr>
            <w:tcW w:w="2409" w:type="dxa"/>
            <w:vAlign w:val="center"/>
          </w:tcPr>
          <w:p w14:paraId="0638253F">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挥发性酚类</w:t>
            </w:r>
          </w:p>
        </w:tc>
        <w:tc>
          <w:tcPr>
            <w:tcW w:w="2235" w:type="dxa"/>
            <w:vAlign w:val="center"/>
          </w:tcPr>
          <w:p w14:paraId="4EB2BF3A">
            <w:pPr>
              <w:autoSpaceDE w:val="0"/>
              <w:autoSpaceDN w:val="0"/>
              <w:jc w:val="center"/>
              <w:rPr>
                <w:rFonts w:hint="default" w:ascii="Times New Roman" w:hAnsi="Times New Roman" w:eastAsia="宋体" w:cs="Times New Roman"/>
                <w:color w:val="auto"/>
                <w:kern w:val="0"/>
                <w:szCs w:val="21"/>
                <w:u w:val="none" w:color="auto"/>
                <w:lang w:val="en-US"/>
              </w:rPr>
            </w:pPr>
            <w:r>
              <w:rPr>
                <w:rFonts w:ascii="Times New Roman" w:hAnsi="Times New Roman" w:eastAsia="宋体" w:cs="Times New Roman"/>
                <w:color w:val="auto"/>
                <w:kern w:val="0"/>
                <w:szCs w:val="21"/>
                <w:u w:val="none" w:color="auto"/>
              </w:rPr>
              <w:t>≤</w:t>
            </w:r>
            <w:r>
              <w:rPr>
                <w:rFonts w:hint="eastAsia" w:ascii="Times New Roman" w:hAnsi="Times New Roman" w:eastAsia="宋体" w:cs="Times New Roman"/>
                <w:color w:val="auto"/>
                <w:kern w:val="0"/>
                <w:szCs w:val="21"/>
                <w:u w:val="none" w:color="auto"/>
                <w:lang w:val="en-US" w:eastAsia="zh-CN"/>
              </w:rPr>
              <w:t>0.002</w:t>
            </w:r>
          </w:p>
        </w:tc>
        <w:tc>
          <w:tcPr>
            <w:tcW w:w="2922" w:type="dxa"/>
            <w:vAlign w:val="center"/>
          </w:tcPr>
          <w:p w14:paraId="0B469042">
            <w:pPr>
              <w:autoSpaceDE w:val="0"/>
              <w:autoSpaceDN w:val="0"/>
              <w:jc w:val="center"/>
              <w:rPr>
                <w:rFonts w:ascii="Times New Roman" w:hAnsi="Times New Roman" w:eastAsia="宋体" w:cs="Times New Roman"/>
                <w:color w:val="auto"/>
                <w:kern w:val="0"/>
                <w:szCs w:val="21"/>
                <w:u w:val="none" w:color="auto"/>
              </w:rPr>
            </w:pPr>
          </w:p>
        </w:tc>
      </w:tr>
    </w:tbl>
    <w:p w14:paraId="354B6004">
      <w:pPr>
        <w:autoSpaceDE w:val="0"/>
        <w:autoSpaceDN w:val="0"/>
        <w:spacing w:line="500" w:lineRule="exact"/>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本项目所在区域环境功能区划汇总一览表详见表</w:t>
      </w:r>
      <w:r>
        <w:rPr>
          <w:rFonts w:hint="eastAsia" w:ascii="Times New Roman" w:hAnsi="Times New Roman" w:eastAsia="宋体" w:cs="Times New Roman"/>
          <w:color w:val="auto"/>
          <w:kern w:val="0"/>
          <w:sz w:val="24"/>
          <w:szCs w:val="20"/>
          <w:u w:val="none" w:color="auto"/>
        </w:rPr>
        <w:t>1</w:t>
      </w:r>
      <w:r>
        <w:rPr>
          <w:rFonts w:ascii="Times New Roman" w:hAnsi="Times New Roman" w:eastAsia="宋体" w:cs="Times New Roman"/>
          <w:color w:val="auto"/>
          <w:kern w:val="0"/>
          <w:sz w:val="24"/>
          <w:szCs w:val="20"/>
          <w:u w:val="none" w:color="auto"/>
        </w:rPr>
        <w:t>.</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w:t>
      </w:r>
      <w:r>
        <w:rPr>
          <w:rFonts w:hint="eastAsia" w:ascii="Times New Roman" w:hAnsi="Times New Roman" w:eastAsia="宋体" w:cs="Times New Roman"/>
          <w:color w:val="auto"/>
          <w:kern w:val="0"/>
          <w:sz w:val="24"/>
          <w:szCs w:val="20"/>
          <w:u w:val="none" w:color="auto"/>
        </w:rPr>
        <w:t>5</w:t>
      </w:r>
      <w:r>
        <w:rPr>
          <w:rFonts w:ascii="Times New Roman" w:hAnsi="Times New Roman" w:eastAsia="宋体" w:cs="Times New Roman"/>
          <w:color w:val="auto"/>
          <w:kern w:val="0"/>
          <w:sz w:val="24"/>
          <w:szCs w:val="20"/>
          <w:u w:val="none" w:color="auto"/>
        </w:rPr>
        <w:t>。</w:t>
      </w:r>
    </w:p>
    <w:p w14:paraId="783D7996">
      <w:pPr>
        <w:keepNext/>
        <w:keepLines/>
        <w:tabs>
          <w:tab w:val="left" w:pos="1358"/>
          <w:tab w:val="left" w:pos="2153"/>
          <w:tab w:val="left" w:pos="4008"/>
        </w:tabs>
        <w:autoSpaceDE w:val="0"/>
        <w:autoSpaceDN w:val="0"/>
        <w:jc w:val="center"/>
        <w:rPr>
          <w:rFonts w:ascii="Times New Roman" w:hAnsi="Times New Roman" w:eastAsia="宋体" w:cs="Times New Roman"/>
          <w:b/>
          <w:color w:val="auto"/>
          <w:szCs w:val="20"/>
          <w:u w:val="none" w:color="auto"/>
        </w:rPr>
      </w:pPr>
      <w:r>
        <w:rPr>
          <w:rFonts w:ascii="Times New Roman" w:hAnsi="Times New Roman" w:eastAsia="宋体" w:cs="Times New Roman"/>
          <w:b/>
          <w:color w:val="auto"/>
          <w:szCs w:val="20"/>
          <w:u w:val="none" w:color="auto"/>
        </w:rPr>
        <w:t>表</w:t>
      </w:r>
      <w:r>
        <w:rPr>
          <w:rFonts w:hint="eastAsia" w:ascii="Times New Roman" w:hAnsi="Times New Roman" w:eastAsia="宋体" w:cs="Times New Roman"/>
          <w:b/>
          <w:color w:val="auto"/>
          <w:szCs w:val="20"/>
          <w:u w:val="none" w:color="auto"/>
        </w:rPr>
        <w:t>1</w:t>
      </w:r>
      <w:r>
        <w:rPr>
          <w:rFonts w:ascii="Times New Roman" w:hAnsi="Times New Roman" w:eastAsia="宋体" w:cs="Times New Roman"/>
          <w:b/>
          <w:color w:val="auto"/>
          <w:szCs w:val="20"/>
          <w:u w:val="none" w:color="auto"/>
        </w:rPr>
        <w:t>.</w:t>
      </w:r>
      <w:r>
        <w:rPr>
          <w:rFonts w:hint="eastAsia" w:ascii="Times New Roman" w:hAnsi="Times New Roman" w:eastAsia="宋体" w:cs="Times New Roman"/>
          <w:b/>
          <w:color w:val="auto"/>
          <w:szCs w:val="20"/>
          <w:u w:val="none" w:color="auto"/>
        </w:rPr>
        <w:t>4</w:t>
      </w:r>
      <w:r>
        <w:rPr>
          <w:rFonts w:ascii="Times New Roman" w:hAnsi="Times New Roman" w:eastAsia="宋体" w:cs="Times New Roman"/>
          <w:b/>
          <w:color w:val="auto"/>
          <w:szCs w:val="20"/>
          <w:u w:val="none" w:color="auto"/>
        </w:rPr>
        <w:t>-</w:t>
      </w:r>
      <w:r>
        <w:rPr>
          <w:rFonts w:hint="eastAsia" w:ascii="Times New Roman" w:hAnsi="Times New Roman" w:eastAsia="宋体" w:cs="Times New Roman"/>
          <w:b/>
          <w:color w:val="auto"/>
          <w:szCs w:val="20"/>
          <w:u w:val="none" w:color="auto"/>
        </w:rPr>
        <w:t xml:space="preserve">5 </w:t>
      </w:r>
      <w:r>
        <w:rPr>
          <w:rFonts w:ascii="Times New Roman" w:hAnsi="Times New Roman" w:eastAsia="宋体" w:cs="Times New Roman"/>
          <w:b/>
          <w:color w:val="auto"/>
          <w:szCs w:val="20"/>
          <w:u w:val="none" w:color="auto"/>
        </w:rPr>
        <w:t>项目所在地环境功能属性表</w:t>
      </w:r>
    </w:p>
    <w:tbl>
      <w:tblPr>
        <w:tblStyle w:val="37"/>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03"/>
        <w:gridCol w:w="2507"/>
        <w:gridCol w:w="5286"/>
      </w:tblGrid>
      <w:tr w14:paraId="05DA2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03" w:type="dxa"/>
            <w:vAlign w:val="center"/>
          </w:tcPr>
          <w:p w14:paraId="4B46E46A">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编号</w:t>
            </w:r>
          </w:p>
        </w:tc>
        <w:tc>
          <w:tcPr>
            <w:tcW w:w="2507" w:type="dxa"/>
            <w:vAlign w:val="center"/>
          </w:tcPr>
          <w:p w14:paraId="0A2B3D3A">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项目</w:t>
            </w:r>
          </w:p>
        </w:tc>
        <w:tc>
          <w:tcPr>
            <w:tcW w:w="5286" w:type="dxa"/>
            <w:vAlign w:val="center"/>
          </w:tcPr>
          <w:p w14:paraId="5EB49B88">
            <w:pPr>
              <w:autoSpaceDE w:val="0"/>
              <w:autoSpaceDN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功能属性</w:t>
            </w:r>
          </w:p>
        </w:tc>
      </w:tr>
      <w:tr w14:paraId="5A632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1B7891B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1</w:t>
            </w:r>
          </w:p>
        </w:tc>
        <w:tc>
          <w:tcPr>
            <w:tcW w:w="2507" w:type="dxa"/>
            <w:vAlign w:val="center"/>
          </w:tcPr>
          <w:p w14:paraId="3FF47CBD">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海水功能区</w:t>
            </w:r>
          </w:p>
        </w:tc>
        <w:tc>
          <w:tcPr>
            <w:tcW w:w="5286" w:type="dxa"/>
            <w:vAlign w:val="center"/>
          </w:tcPr>
          <w:p w14:paraId="7FC37EDF">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项目纳污水域属于四类海域</w:t>
            </w:r>
            <w:r>
              <w:rPr>
                <w:rFonts w:hint="eastAsia" w:ascii="Times New Roman" w:hAnsi="Times New Roman" w:eastAsia="宋体" w:cs="Times New Roman"/>
                <w:color w:val="auto"/>
                <w:u w:val="none" w:color="auto"/>
              </w:rPr>
              <w:t>，</w:t>
            </w:r>
            <w:r>
              <w:rPr>
                <w:rFonts w:ascii="Times New Roman" w:hAnsi="Times New Roman" w:eastAsia="宋体" w:cs="Times New Roman"/>
                <w:color w:val="auto"/>
                <w:u w:val="none" w:color="auto"/>
              </w:rPr>
              <w:t>执行《海水水质标准》(GB 3097-1997)第四类标准。</w:t>
            </w:r>
          </w:p>
        </w:tc>
      </w:tr>
      <w:tr w14:paraId="15C74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38A620A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2</w:t>
            </w:r>
          </w:p>
        </w:tc>
        <w:tc>
          <w:tcPr>
            <w:tcW w:w="2507" w:type="dxa"/>
            <w:vAlign w:val="center"/>
          </w:tcPr>
          <w:p w14:paraId="1659209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地下水功能区</w:t>
            </w:r>
          </w:p>
        </w:tc>
        <w:tc>
          <w:tcPr>
            <w:tcW w:w="5286" w:type="dxa"/>
            <w:vAlign w:val="center"/>
          </w:tcPr>
          <w:p w14:paraId="14C0845E">
            <w:pPr>
              <w:autoSpaceDE w:val="0"/>
              <w:autoSpaceDN w:val="0"/>
              <w:jc w:val="center"/>
              <w:rPr>
                <w:rFonts w:ascii="Times New Roman" w:hAnsi="Times New Roman" w:eastAsia="宋体" w:cs="Times New Roman"/>
                <w:color w:val="auto"/>
                <w:u w:val="none" w:color="auto"/>
              </w:rPr>
            </w:pPr>
            <w:r>
              <w:rPr>
                <w:rFonts w:hint="eastAsia" w:ascii="Times New Roman" w:hAnsi="Times New Roman" w:eastAsia="宋体" w:cs="Times New Roman"/>
                <w:color w:val="auto"/>
                <w:u w:val="none" w:color="auto"/>
              </w:rPr>
              <w:t>《地下水质量标准》（GB/T 14848-2017）III类标准</w:t>
            </w:r>
          </w:p>
        </w:tc>
      </w:tr>
      <w:tr w14:paraId="669D4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63CD6327">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3</w:t>
            </w:r>
          </w:p>
        </w:tc>
        <w:tc>
          <w:tcPr>
            <w:tcW w:w="2507" w:type="dxa"/>
            <w:vAlign w:val="center"/>
          </w:tcPr>
          <w:p w14:paraId="091DEAB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环境空气质量功能区</w:t>
            </w:r>
          </w:p>
        </w:tc>
        <w:tc>
          <w:tcPr>
            <w:tcW w:w="5286" w:type="dxa"/>
            <w:vAlign w:val="center"/>
          </w:tcPr>
          <w:p w14:paraId="69CD97B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属于二类区，执行《环境空气质量标准》（GB3095-2012）中的二级标准。</w:t>
            </w:r>
          </w:p>
        </w:tc>
      </w:tr>
      <w:tr w14:paraId="117D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41FD1655">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4</w:t>
            </w:r>
          </w:p>
        </w:tc>
        <w:tc>
          <w:tcPr>
            <w:tcW w:w="2507" w:type="dxa"/>
            <w:vAlign w:val="center"/>
          </w:tcPr>
          <w:p w14:paraId="3587AF1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声环境功能区</w:t>
            </w:r>
          </w:p>
        </w:tc>
        <w:tc>
          <w:tcPr>
            <w:tcW w:w="5286" w:type="dxa"/>
            <w:vAlign w:val="center"/>
          </w:tcPr>
          <w:p w14:paraId="4F030A1F">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项目处于声环境3类区，厂界声环境执行《声环境质量标准》（GB3096-2008）3类标准。</w:t>
            </w:r>
          </w:p>
        </w:tc>
      </w:tr>
      <w:tr w14:paraId="3857F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05295A72">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5</w:t>
            </w:r>
          </w:p>
        </w:tc>
        <w:tc>
          <w:tcPr>
            <w:tcW w:w="2507" w:type="dxa"/>
            <w:vAlign w:val="center"/>
          </w:tcPr>
          <w:p w14:paraId="286FF545">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土壤环境功能区</w:t>
            </w:r>
          </w:p>
        </w:tc>
        <w:tc>
          <w:tcPr>
            <w:tcW w:w="5286" w:type="dxa"/>
            <w:vAlign w:val="center"/>
          </w:tcPr>
          <w:p w14:paraId="3C814817">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《土壤环境质量建设用地土壤污染风险管控标准》（GB36600-2018）第二类用地筛选值的要求</w:t>
            </w:r>
          </w:p>
        </w:tc>
      </w:tr>
      <w:tr w14:paraId="5B1E0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135E5F9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6</w:t>
            </w:r>
          </w:p>
        </w:tc>
        <w:tc>
          <w:tcPr>
            <w:tcW w:w="2507" w:type="dxa"/>
            <w:vAlign w:val="center"/>
          </w:tcPr>
          <w:p w14:paraId="790F94FE">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是否基本农田保护区</w:t>
            </w:r>
          </w:p>
        </w:tc>
        <w:tc>
          <w:tcPr>
            <w:tcW w:w="5286" w:type="dxa"/>
            <w:vAlign w:val="center"/>
          </w:tcPr>
          <w:p w14:paraId="2BBD3D93">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否</w:t>
            </w:r>
          </w:p>
        </w:tc>
      </w:tr>
      <w:tr w14:paraId="4F91B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5A1FC085">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7</w:t>
            </w:r>
          </w:p>
        </w:tc>
        <w:tc>
          <w:tcPr>
            <w:tcW w:w="2507" w:type="dxa"/>
            <w:vAlign w:val="center"/>
          </w:tcPr>
          <w:p w14:paraId="61F293EB">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是否饮用水源保护区</w:t>
            </w:r>
          </w:p>
        </w:tc>
        <w:tc>
          <w:tcPr>
            <w:tcW w:w="5286" w:type="dxa"/>
            <w:vAlign w:val="center"/>
          </w:tcPr>
          <w:p w14:paraId="5A4BE7A4">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否</w:t>
            </w:r>
          </w:p>
        </w:tc>
      </w:tr>
      <w:tr w14:paraId="3080D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3BF2FC5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8</w:t>
            </w:r>
          </w:p>
        </w:tc>
        <w:tc>
          <w:tcPr>
            <w:tcW w:w="2507" w:type="dxa"/>
            <w:vAlign w:val="center"/>
          </w:tcPr>
          <w:p w14:paraId="6AE699C1">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是否重点文物保护区</w:t>
            </w:r>
          </w:p>
        </w:tc>
        <w:tc>
          <w:tcPr>
            <w:tcW w:w="5286" w:type="dxa"/>
            <w:vAlign w:val="center"/>
          </w:tcPr>
          <w:p w14:paraId="556CCE80">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否</w:t>
            </w:r>
          </w:p>
        </w:tc>
      </w:tr>
      <w:tr w14:paraId="65F64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4FE0D9A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9</w:t>
            </w:r>
          </w:p>
        </w:tc>
        <w:tc>
          <w:tcPr>
            <w:tcW w:w="2507" w:type="dxa"/>
            <w:vAlign w:val="center"/>
          </w:tcPr>
          <w:p w14:paraId="4EB30398">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是否污水处理场纳污范围</w:t>
            </w:r>
          </w:p>
        </w:tc>
        <w:tc>
          <w:tcPr>
            <w:tcW w:w="5286" w:type="dxa"/>
            <w:vAlign w:val="center"/>
          </w:tcPr>
          <w:p w14:paraId="3A20E3EF">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w:t>
            </w:r>
          </w:p>
          <w:p w14:paraId="6D7E56CA">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（大榄坪污水处理厂）</w:t>
            </w:r>
          </w:p>
        </w:tc>
      </w:tr>
      <w:tr w14:paraId="17C04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3" w:type="dxa"/>
            <w:vAlign w:val="center"/>
          </w:tcPr>
          <w:p w14:paraId="0D5DE4EB">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10</w:t>
            </w:r>
          </w:p>
        </w:tc>
        <w:tc>
          <w:tcPr>
            <w:tcW w:w="2507" w:type="dxa"/>
            <w:vAlign w:val="center"/>
          </w:tcPr>
          <w:p w14:paraId="04DFFA19">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是否属于生态敏感与脆弱区</w:t>
            </w:r>
          </w:p>
        </w:tc>
        <w:tc>
          <w:tcPr>
            <w:tcW w:w="5286" w:type="dxa"/>
            <w:vAlign w:val="center"/>
          </w:tcPr>
          <w:p w14:paraId="68F7BD0C">
            <w:pPr>
              <w:autoSpaceDE w:val="0"/>
              <w:autoSpaceDN w:val="0"/>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否</w:t>
            </w:r>
          </w:p>
        </w:tc>
      </w:tr>
    </w:tbl>
    <w:p w14:paraId="6DFDECD1">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87" w:name="_Toc1528"/>
      <w:bookmarkStart w:id="88" w:name="_Toc530130411"/>
      <w:bookmarkStart w:id="89" w:name="_Toc3728134"/>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.5评价执行的标准</w:t>
      </w:r>
      <w:bookmarkEnd w:id="87"/>
      <w:bookmarkEnd w:id="88"/>
      <w:bookmarkEnd w:id="89"/>
    </w:p>
    <w:p w14:paraId="77F00C0E">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90" w:name="_Toc3728135"/>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.5.1大气</w:t>
      </w:r>
      <w:bookmarkEnd w:id="90"/>
    </w:p>
    <w:p w14:paraId="6932D093">
      <w:pPr>
        <w:autoSpaceDE w:val="0"/>
        <w:autoSpaceDN w:val="0"/>
        <w:spacing w:line="500" w:lineRule="exact"/>
        <w:ind w:firstLine="480" w:firstLineChars="200"/>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highlight w:val="none"/>
          <w:u w:val="single" w:color="auto"/>
          <w:lang w:val="en-US" w:eastAsia="zh-CN"/>
        </w:rPr>
        <w:t>施工期，项目颗粒物</w:t>
      </w:r>
      <w:r>
        <w:rPr>
          <w:rFonts w:ascii="Times New Roman" w:hAnsi="Times New Roman" w:eastAsia="宋体" w:cs="Times New Roman"/>
          <w:color w:val="auto"/>
          <w:kern w:val="0"/>
          <w:sz w:val="24"/>
          <w:szCs w:val="24"/>
          <w:highlight w:val="none"/>
          <w:u w:val="single" w:color="auto"/>
        </w:rPr>
        <w:t>排放执行《大气污染物综合排放标准》（GB16297-1996）表2中</w:t>
      </w:r>
      <w:r>
        <w:rPr>
          <w:rFonts w:hint="eastAsia" w:ascii="Times New Roman" w:hAnsi="Times New Roman" w:eastAsia="宋体" w:cs="Times New Roman"/>
          <w:color w:val="auto"/>
          <w:kern w:val="0"/>
          <w:sz w:val="24"/>
          <w:szCs w:val="24"/>
          <w:highlight w:val="none"/>
          <w:u w:val="single" w:color="auto"/>
          <w:lang w:val="en-US" w:eastAsia="zh-CN"/>
        </w:rPr>
        <w:t>无组织排放监控浓度限值</w:t>
      </w:r>
      <w:r>
        <w:rPr>
          <w:rFonts w:hint="eastAsia" w:ascii="Times New Roman" w:hAnsi="Times New Roman" w:eastAsia="宋体" w:cs="Times New Roman"/>
          <w:color w:val="auto"/>
          <w:kern w:val="0"/>
          <w:sz w:val="24"/>
          <w:szCs w:val="24"/>
          <w:highlight w:val="none"/>
          <w:u w:val="single" w:color="auto"/>
        </w:rPr>
        <w:t>；</w:t>
      </w:r>
      <w:r>
        <w:rPr>
          <w:rFonts w:hint="eastAsia" w:ascii="Times New Roman" w:hAnsi="Times New Roman" w:eastAsia="宋体" w:cs="Times New Roman"/>
          <w:color w:val="auto"/>
          <w:kern w:val="0"/>
          <w:sz w:val="24"/>
          <w:szCs w:val="24"/>
          <w:highlight w:val="none"/>
          <w:u w:val="single" w:color="auto"/>
          <w:lang w:val="en-US" w:eastAsia="zh-CN"/>
        </w:rPr>
        <w:t>营运期，</w:t>
      </w:r>
      <w:r>
        <w:rPr>
          <w:rFonts w:hint="eastAsia" w:ascii="Times New Roman" w:hAnsi="Times New Roman" w:eastAsia="宋体" w:cs="Times New Roman"/>
          <w:color w:val="auto"/>
          <w:kern w:val="0"/>
          <w:sz w:val="24"/>
          <w:szCs w:val="24"/>
          <w:u w:val="none" w:color="auto"/>
        </w:rPr>
        <w:t>项目颗粒物</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甲苯、</w:t>
      </w:r>
      <w:r>
        <w:rPr>
          <w:rFonts w:ascii="Times New Roman" w:hAnsi="Times New Roman" w:eastAsia="宋体" w:cs="Times New Roman"/>
          <w:color w:val="auto"/>
          <w:kern w:val="0"/>
          <w:sz w:val="24"/>
          <w:szCs w:val="24"/>
          <w:u w:val="none" w:color="auto"/>
        </w:rPr>
        <w:t>二甲苯</w:t>
      </w:r>
      <w:r>
        <w:rPr>
          <w:rFonts w:hint="eastAsia" w:ascii="Times New Roman" w:hAnsi="Times New Roman" w:eastAsia="宋体" w:cs="Times New Roman"/>
          <w:color w:val="auto"/>
          <w:kern w:val="0"/>
          <w:sz w:val="24"/>
          <w:szCs w:val="24"/>
          <w:u w:val="none" w:color="auto"/>
        </w:rPr>
        <w:t>、非甲烷总烃</w:t>
      </w:r>
      <w:r>
        <w:rPr>
          <w:rFonts w:ascii="Times New Roman" w:hAnsi="Times New Roman" w:eastAsia="宋体" w:cs="Times New Roman"/>
          <w:color w:val="auto"/>
          <w:kern w:val="0"/>
          <w:sz w:val="24"/>
          <w:szCs w:val="24"/>
          <w:u w:val="none" w:color="auto"/>
        </w:rPr>
        <w:t>排放执行《大气污染物综合排放标准》（GB16297-1996）表2中二级排放标准</w:t>
      </w:r>
      <w:r>
        <w:rPr>
          <w:rFonts w:hint="eastAsia" w:ascii="Times New Roman" w:hAnsi="Times New Roman" w:eastAsia="宋体" w:cs="Times New Roman"/>
          <w:color w:val="auto"/>
          <w:kern w:val="0"/>
          <w:sz w:val="24"/>
          <w:szCs w:val="24"/>
          <w:u w:val="none" w:color="auto"/>
        </w:rPr>
        <w:t>；厂区内</w:t>
      </w:r>
      <w:r>
        <w:rPr>
          <w:rFonts w:ascii="Times New Roman" w:hAnsi="Times New Roman" w:eastAsia="宋体" w:cs="Times New Roman"/>
          <w:color w:val="auto"/>
          <w:kern w:val="0"/>
          <w:sz w:val="24"/>
          <w:szCs w:val="24"/>
          <w:u w:val="none" w:color="auto"/>
        </w:rPr>
        <w:t>无组织</w:t>
      </w:r>
      <w:r>
        <w:rPr>
          <w:rFonts w:hint="eastAsia" w:ascii="Times New Roman" w:hAnsi="Times New Roman" w:eastAsia="宋体" w:cs="Times New Roman"/>
          <w:color w:val="auto"/>
          <w:kern w:val="0"/>
          <w:sz w:val="24"/>
          <w:szCs w:val="24"/>
          <w:u w:val="none" w:color="auto"/>
        </w:rPr>
        <w:t>有机</w:t>
      </w:r>
      <w:r>
        <w:rPr>
          <w:rFonts w:ascii="Times New Roman" w:hAnsi="Times New Roman" w:eastAsia="宋体" w:cs="Times New Roman"/>
          <w:color w:val="auto"/>
          <w:kern w:val="0"/>
          <w:sz w:val="24"/>
          <w:szCs w:val="24"/>
          <w:u w:val="none" w:color="auto"/>
        </w:rPr>
        <w:t>废气执行《挥发性有机物无组织排放控制标准》（GB37822-2019）中相关要求</w:t>
      </w:r>
      <w:r>
        <w:rPr>
          <w:rFonts w:hint="eastAsia"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single" w:color="auto"/>
          <w:lang w:eastAsia="zh-CN"/>
        </w:rPr>
        <w:t>臭气浓度执行《恶臭污染物排放标准》（GB14554-93）表1新扩改建二级标准。</w:t>
      </w:r>
      <w:r>
        <w:rPr>
          <w:rFonts w:hint="eastAsia" w:ascii="Times New Roman" w:hAnsi="Times New Roman" w:eastAsia="宋体" w:cs="Times New Roman"/>
          <w:color w:val="auto"/>
          <w:kern w:val="0"/>
          <w:sz w:val="24"/>
          <w:szCs w:val="24"/>
          <w:u w:val="none" w:color="auto"/>
        </w:rPr>
        <w:t>食堂油烟执行《饮食业油烟排放标准（试行）》（GB18483-2001）小型标准。</w:t>
      </w:r>
      <w:r>
        <w:rPr>
          <w:rFonts w:ascii="Times New Roman" w:hAnsi="Times New Roman" w:eastAsia="宋体" w:cs="Times New Roman"/>
          <w:color w:val="auto"/>
          <w:kern w:val="0"/>
          <w:sz w:val="24"/>
          <w:szCs w:val="24"/>
          <w:u w:val="none" w:color="auto"/>
        </w:rPr>
        <w:t>具体标准值见表</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.5-</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、表</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.5-</w:t>
      </w:r>
      <w:r>
        <w:rPr>
          <w:rFonts w:hint="eastAsia" w:ascii="Times New Roman" w:hAnsi="Times New Roman" w:eastAsia="宋体" w:cs="Times New Roman"/>
          <w:color w:val="auto"/>
          <w:kern w:val="0"/>
          <w:sz w:val="24"/>
          <w:szCs w:val="24"/>
          <w:u w:val="none" w:color="auto"/>
        </w:rPr>
        <w:t>2</w:t>
      </w:r>
      <w:r>
        <w:rPr>
          <w:rFonts w:ascii="Times New Roman" w:hAnsi="Times New Roman" w:eastAsia="宋体" w:cs="Times New Roman"/>
          <w:color w:val="auto"/>
          <w:kern w:val="0"/>
          <w:sz w:val="24"/>
          <w:szCs w:val="24"/>
          <w:u w:val="none" w:color="auto"/>
        </w:rPr>
        <w:t>。</w:t>
      </w:r>
    </w:p>
    <w:p w14:paraId="4334274B">
      <w:pPr>
        <w:widowControl/>
        <w:autoSpaceDE w:val="0"/>
        <w:autoSpaceDN w:val="0"/>
        <w:jc w:val="center"/>
        <w:rPr>
          <w:rFonts w:ascii="Times New Roman" w:hAnsi="Times New Roman" w:eastAsia="宋体" w:cs="Times New Roman"/>
          <w:b/>
          <w:bCs/>
          <w:color w:val="auto"/>
          <w:kern w:val="0"/>
          <w:szCs w:val="24"/>
          <w:u w:val="single" w:color="auto"/>
        </w:rPr>
      </w:pPr>
      <w:r>
        <w:rPr>
          <w:rFonts w:ascii="Times New Roman" w:hAnsi="Times New Roman" w:eastAsia="宋体" w:cs="Times New Roman"/>
          <w:b/>
          <w:bCs/>
          <w:color w:val="auto"/>
          <w:kern w:val="0"/>
          <w:szCs w:val="24"/>
          <w:u w:val="single" w:color="auto"/>
        </w:rPr>
        <w:t>表</w:t>
      </w:r>
      <w:r>
        <w:rPr>
          <w:rFonts w:hint="eastAsia" w:ascii="Times New Roman" w:hAnsi="Times New Roman" w:eastAsia="宋体" w:cs="Times New Roman"/>
          <w:b/>
          <w:bCs/>
          <w:color w:val="auto"/>
          <w:kern w:val="0"/>
          <w:szCs w:val="24"/>
          <w:u w:val="single" w:color="auto"/>
        </w:rPr>
        <w:t>1</w:t>
      </w:r>
      <w:r>
        <w:rPr>
          <w:rFonts w:ascii="Times New Roman" w:hAnsi="Times New Roman" w:eastAsia="宋体" w:cs="Times New Roman"/>
          <w:b/>
          <w:bCs/>
          <w:color w:val="auto"/>
          <w:kern w:val="0"/>
          <w:szCs w:val="24"/>
          <w:u w:val="single" w:color="auto"/>
        </w:rPr>
        <w:t>.5-</w:t>
      </w:r>
      <w:r>
        <w:rPr>
          <w:rFonts w:hint="eastAsia" w:ascii="Times New Roman" w:hAnsi="Times New Roman" w:eastAsia="宋体" w:cs="Times New Roman"/>
          <w:b/>
          <w:bCs/>
          <w:color w:val="auto"/>
          <w:kern w:val="0"/>
          <w:szCs w:val="24"/>
          <w:u w:val="single" w:color="auto"/>
        </w:rPr>
        <w:t>1</w:t>
      </w:r>
      <w:r>
        <w:rPr>
          <w:rFonts w:ascii="Times New Roman" w:hAnsi="Times New Roman" w:eastAsia="宋体" w:cs="Times New Roman"/>
          <w:b/>
          <w:bCs/>
          <w:color w:val="auto"/>
          <w:kern w:val="0"/>
          <w:szCs w:val="24"/>
          <w:u w:val="single" w:color="auto"/>
        </w:rPr>
        <w:t xml:space="preserve"> </w:t>
      </w:r>
      <w:r>
        <w:rPr>
          <w:rFonts w:hint="eastAsia" w:ascii="Times New Roman" w:hAnsi="Times New Roman" w:eastAsia="宋体" w:cs="Times New Roman"/>
          <w:b/>
          <w:bCs/>
          <w:color w:val="auto"/>
          <w:kern w:val="0"/>
          <w:szCs w:val="24"/>
          <w:u w:val="single" w:color="auto"/>
        </w:rPr>
        <w:t>大气</w:t>
      </w:r>
      <w:r>
        <w:rPr>
          <w:rFonts w:ascii="Times New Roman" w:hAnsi="Times New Roman" w:eastAsia="宋体" w:cs="Times New Roman"/>
          <w:b/>
          <w:bCs/>
          <w:color w:val="auto"/>
          <w:kern w:val="0"/>
          <w:szCs w:val="24"/>
          <w:u w:val="single" w:color="auto"/>
        </w:rPr>
        <w:t>污染物排放标准</w:t>
      </w:r>
    </w:p>
    <w:tbl>
      <w:tblPr>
        <w:tblStyle w:val="37"/>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8"/>
        <w:gridCol w:w="1338"/>
        <w:gridCol w:w="1493"/>
        <w:gridCol w:w="1016"/>
        <w:gridCol w:w="1016"/>
        <w:gridCol w:w="2729"/>
      </w:tblGrid>
      <w:tr w14:paraId="34A9B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08" w:type="dxa"/>
            <w:tcBorders>
              <w:top w:val="single" w:color="auto" w:sz="4" w:space="0"/>
              <w:left w:val="single" w:color="auto" w:sz="4" w:space="0"/>
              <w:bottom w:val="single" w:color="auto" w:sz="4" w:space="0"/>
              <w:right w:val="single" w:color="auto" w:sz="4" w:space="0"/>
            </w:tcBorders>
            <w:vAlign w:val="center"/>
          </w:tcPr>
          <w:p w14:paraId="3C5A84E7">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污染物</w:t>
            </w:r>
          </w:p>
        </w:tc>
        <w:tc>
          <w:tcPr>
            <w:tcW w:w="1338" w:type="dxa"/>
            <w:tcBorders>
              <w:top w:val="single" w:color="auto" w:sz="4" w:space="0"/>
              <w:left w:val="single" w:color="auto" w:sz="4" w:space="0"/>
              <w:bottom w:val="single" w:color="auto" w:sz="4" w:space="0"/>
              <w:right w:val="single" w:color="auto" w:sz="4" w:space="0"/>
            </w:tcBorders>
            <w:vAlign w:val="center"/>
          </w:tcPr>
          <w:p w14:paraId="63C4E8AF">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排气筒高度</w:t>
            </w:r>
          </w:p>
        </w:tc>
        <w:tc>
          <w:tcPr>
            <w:tcW w:w="1493" w:type="dxa"/>
            <w:tcBorders>
              <w:top w:val="single" w:color="auto" w:sz="4" w:space="0"/>
              <w:left w:val="single" w:color="auto" w:sz="4" w:space="0"/>
              <w:bottom w:val="single" w:color="auto" w:sz="4" w:space="0"/>
              <w:right w:val="single" w:color="auto" w:sz="4" w:space="0"/>
            </w:tcBorders>
            <w:vAlign w:val="center"/>
          </w:tcPr>
          <w:p w14:paraId="21A00967">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最高允许</w:t>
            </w:r>
          </w:p>
          <w:p w14:paraId="2D6230A4">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排放浓度</w:t>
            </w:r>
          </w:p>
        </w:tc>
        <w:tc>
          <w:tcPr>
            <w:tcW w:w="1016" w:type="dxa"/>
            <w:tcBorders>
              <w:top w:val="single" w:color="auto" w:sz="4" w:space="0"/>
              <w:left w:val="single" w:color="auto" w:sz="4" w:space="0"/>
              <w:bottom w:val="single" w:color="auto" w:sz="4" w:space="0"/>
              <w:right w:val="single" w:color="auto" w:sz="4" w:space="0"/>
            </w:tcBorders>
            <w:vAlign w:val="center"/>
          </w:tcPr>
          <w:p w14:paraId="22C4E7D6">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最高允许</w:t>
            </w:r>
          </w:p>
          <w:p w14:paraId="16A67169">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排放</w:t>
            </w:r>
            <w:r>
              <w:rPr>
                <w:rFonts w:hint="eastAsia" w:ascii="Times New Roman" w:hAnsi="Times New Roman" w:eastAsia="宋体" w:cs="Times New Roman"/>
                <w:color w:val="auto"/>
                <w:szCs w:val="24"/>
                <w:u w:val="single" w:color="auto"/>
              </w:rPr>
              <w:t>速率</w:t>
            </w:r>
          </w:p>
        </w:tc>
        <w:tc>
          <w:tcPr>
            <w:tcW w:w="1016" w:type="dxa"/>
            <w:tcBorders>
              <w:top w:val="single" w:color="auto" w:sz="4" w:space="0"/>
              <w:left w:val="single" w:color="auto" w:sz="4" w:space="0"/>
              <w:bottom w:val="single" w:color="auto" w:sz="4" w:space="0"/>
              <w:right w:val="single" w:color="auto" w:sz="4" w:space="0"/>
            </w:tcBorders>
            <w:vAlign w:val="center"/>
          </w:tcPr>
          <w:p w14:paraId="3099FD44">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无组织排放监控浓度限值</w:t>
            </w:r>
          </w:p>
        </w:tc>
        <w:tc>
          <w:tcPr>
            <w:tcW w:w="2729" w:type="dxa"/>
            <w:tcBorders>
              <w:top w:val="single" w:color="auto" w:sz="4" w:space="0"/>
              <w:left w:val="single" w:color="auto" w:sz="4" w:space="0"/>
              <w:bottom w:val="single" w:color="auto" w:sz="4" w:space="0"/>
              <w:right w:val="single" w:color="auto" w:sz="4" w:space="0"/>
            </w:tcBorders>
            <w:vAlign w:val="center"/>
          </w:tcPr>
          <w:p w14:paraId="41577E9F">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执行标准</w:t>
            </w:r>
          </w:p>
        </w:tc>
      </w:tr>
      <w:tr w14:paraId="7EF14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08" w:type="dxa"/>
            <w:tcBorders>
              <w:top w:val="single" w:color="auto" w:sz="4" w:space="0"/>
              <w:left w:val="single" w:color="auto" w:sz="4" w:space="0"/>
              <w:bottom w:val="single" w:color="auto" w:sz="4" w:space="0"/>
              <w:right w:val="single" w:color="auto" w:sz="4" w:space="0"/>
            </w:tcBorders>
            <w:vAlign w:val="center"/>
          </w:tcPr>
          <w:p w14:paraId="3FCD8E2F">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非甲烷总烃</w:t>
            </w:r>
          </w:p>
        </w:tc>
        <w:tc>
          <w:tcPr>
            <w:tcW w:w="1338" w:type="dxa"/>
            <w:tcBorders>
              <w:top w:val="single" w:color="auto" w:sz="4" w:space="0"/>
              <w:left w:val="single" w:color="auto" w:sz="4" w:space="0"/>
              <w:bottom w:val="single" w:color="auto" w:sz="4" w:space="0"/>
              <w:right w:val="single" w:color="auto" w:sz="4" w:space="0"/>
            </w:tcBorders>
            <w:vAlign w:val="center"/>
          </w:tcPr>
          <w:p w14:paraId="392791C5">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3</w:t>
            </w:r>
            <w:r>
              <w:rPr>
                <w:rFonts w:hint="eastAsia" w:ascii="Times New Roman" w:hAnsi="Times New Roman" w:eastAsia="宋体" w:cs="Times New Roman"/>
                <w:color w:val="auto"/>
                <w:szCs w:val="24"/>
                <w:u w:val="single" w:color="auto"/>
              </w:rPr>
              <w:t>0m</w:t>
            </w:r>
          </w:p>
        </w:tc>
        <w:tc>
          <w:tcPr>
            <w:tcW w:w="1493" w:type="dxa"/>
            <w:tcBorders>
              <w:top w:val="single" w:color="auto" w:sz="4" w:space="0"/>
              <w:left w:val="single" w:color="auto" w:sz="4" w:space="0"/>
              <w:bottom w:val="single" w:color="auto" w:sz="4" w:space="0"/>
              <w:right w:val="single" w:color="auto" w:sz="4" w:space="0"/>
            </w:tcBorders>
            <w:vAlign w:val="center"/>
          </w:tcPr>
          <w:p w14:paraId="2699D9B1">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120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1016" w:type="dxa"/>
            <w:tcBorders>
              <w:top w:val="single" w:color="auto" w:sz="4" w:space="0"/>
              <w:left w:val="single" w:color="auto" w:sz="4" w:space="0"/>
              <w:bottom w:val="single" w:color="auto" w:sz="4" w:space="0"/>
              <w:right w:val="single" w:color="auto" w:sz="4" w:space="0"/>
            </w:tcBorders>
            <w:vAlign w:val="center"/>
          </w:tcPr>
          <w:p w14:paraId="7D98AAAD">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53</w:t>
            </w:r>
            <w:r>
              <w:rPr>
                <w:rFonts w:hint="eastAsia" w:ascii="Times New Roman" w:hAnsi="Times New Roman" w:eastAsia="宋体" w:cs="Times New Roman"/>
                <w:color w:val="auto"/>
                <w:szCs w:val="24"/>
                <w:u w:val="single" w:color="auto"/>
              </w:rPr>
              <w:t>kg/h</w:t>
            </w:r>
          </w:p>
        </w:tc>
        <w:tc>
          <w:tcPr>
            <w:tcW w:w="1016" w:type="dxa"/>
            <w:tcBorders>
              <w:top w:val="single" w:color="auto" w:sz="4" w:space="0"/>
              <w:left w:val="single" w:color="auto" w:sz="4" w:space="0"/>
              <w:bottom w:val="single" w:color="auto" w:sz="4" w:space="0"/>
              <w:right w:val="single" w:color="auto" w:sz="4" w:space="0"/>
            </w:tcBorders>
            <w:vAlign w:val="center"/>
          </w:tcPr>
          <w:p w14:paraId="197695EC">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4.0mg/m</w:t>
            </w:r>
            <w:r>
              <w:rPr>
                <w:rFonts w:ascii="Times New Roman" w:hAnsi="Times New Roman" w:eastAsia="宋体" w:cs="Times New Roman"/>
                <w:color w:val="auto"/>
                <w:szCs w:val="24"/>
                <w:u w:val="single" w:color="auto"/>
                <w:vertAlign w:val="superscript"/>
              </w:rPr>
              <w:t>3</w:t>
            </w:r>
          </w:p>
        </w:tc>
        <w:tc>
          <w:tcPr>
            <w:tcW w:w="2729" w:type="dxa"/>
            <w:vMerge w:val="restart"/>
            <w:tcBorders>
              <w:left w:val="single" w:color="auto" w:sz="4" w:space="0"/>
              <w:right w:val="single" w:color="auto" w:sz="4" w:space="0"/>
            </w:tcBorders>
            <w:vAlign w:val="center"/>
          </w:tcPr>
          <w:p w14:paraId="24ADFD07">
            <w:pPr>
              <w:autoSpaceDE w:val="0"/>
              <w:autoSpaceDN w:val="0"/>
              <w:jc w:val="center"/>
              <w:rPr>
                <w:rFonts w:ascii="Times New Roman" w:hAnsi="Times New Roman" w:eastAsia="宋体" w:cs="Times New Roman"/>
                <w:color w:val="auto"/>
                <w:szCs w:val="24"/>
                <w:u w:val="single" w:color="auto"/>
              </w:rPr>
            </w:pPr>
            <w:r>
              <w:rPr>
                <w:rFonts w:ascii="Times New Roman" w:hAnsi="Times New Roman" w:eastAsia="宋体" w:cs="Times New Roman"/>
                <w:color w:val="auto"/>
                <w:szCs w:val="24"/>
                <w:u w:val="single" w:color="auto"/>
              </w:rPr>
              <w:t>《大气污染物综合排放标准》（GB 16297-1996）</w:t>
            </w:r>
          </w:p>
        </w:tc>
      </w:tr>
      <w:tr w14:paraId="7E9A6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08" w:type="dxa"/>
            <w:tcBorders>
              <w:top w:val="single" w:color="auto" w:sz="4" w:space="0"/>
              <w:left w:val="single" w:color="auto" w:sz="4" w:space="0"/>
              <w:bottom w:val="single" w:color="auto" w:sz="4" w:space="0"/>
              <w:right w:val="single" w:color="auto" w:sz="4" w:space="0"/>
            </w:tcBorders>
            <w:vAlign w:val="center"/>
          </w:tcPr>
          <w:p w14:paraId="3EBE9208">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二甲苯</w:t>
            </w:r>
          </w:p>
        </w:tc>
        <w:tc>
          <w:tcPr>
            <w:tcW w:w="1338" w:type="dxa"/>
            <w:tcBorders>
              <w:top w:val="single" w:color="auto" w:sz="4" w:space="0"/>
              <w:left w:val="single" w:color="auto" w:sz="4" w:space="0"/>
              <w:bottom w:val="single" w:color="auto" w:sz="4" w:space="0"/>
              <w:right w:val="single" w:color="auto" w:sz="4" w:space="0"/>
            </w:tcBorders>
            <w:vAlign w:val="center"/>
          </w:tcPr>
          <w:p w14:paraId="1348BD24">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3</w:t>
            </w:r>
            <w:r>
              <w:rPr>
                <w:rFonts w:hint="eastAsia" w:ascii="Times New Roman" w:hAnsi="Times New Roman" w:eastAsia="宋体" w:cs="Times New Roman"/>
                <w:color w:val="auto"/>
                <w:szCs w:val="24"/>
                <w:u w:val="single" w:color="auto"/>
              </w:rPr>
              <w:t>0m</w:t>
            </w:r>
          </w:p>
        </w:tc>
        <w:tc>
          <w:tcPr>
            <w:tcW w:w="1493" w:type="dxa"/>
            <w:tcBorders>
              <w:top w:val="single" w:color="auto" w:sz="4" w:space="0"/>
              <w:left w:val="single" w:color="auto" w:sz="4" w:space="0"/>
              <w:bottom w:val="single" w:color="auto" w:sz="4" w:space="0"/>
              <w:right w:val="single" w:color="auto" w:sz="4" w:space="0"/>
            </w:tcBorders>
            <w:vAlign w:val="center"/>
          </w:tcPr>
          <w:p w14:paraId="72AD8157">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70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1016" w:type="dxa"/>
            <w:tcBorders>
              <w:top w:val="single" w:color="auto" w:sz="4" w:space="0"/>
              <w:left w:val="single" w:color="auto" w:sz="4" w:space="0"/>
              <w:bottom w:val="single" w:color="auto" w:sz="4" w:space="0"/>
              <w:right w:val="single" w:color="auto" w:sz="4" w:space="0"/>
            </w:tcBorders>
            <w:vAlign w:val="center"/>
          </w:tcPr>
          <w:p w14:paraId="4E22F2DA">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5..9</w:t>
            </w:r>
            <w:r>
              <w:rPr>
                <w:rFonts w:hint="eastAsia" w:ascii="Times New Roman" w:hAnsi="Times New Roman" w:eastAsia="宋体" w:cs="Times New Roman"/>
                <w:color w:val="auto"/>
                <w:szCs w:val="24"/>
                <w:u w:val="single" w:color="auto"/>
              </w:rPr>
              <w:t>kg/h</w:t>
            </w:r>
          </w:p>
        </w:tc>
        <w:tc>
          <w:tcPr>
            <w:tcW w:w="1016" w:type="dxa"/>
            <w:tcBorders>
              <w:top w:val="single" w:color="auto" w:sz="4" w:space="0"/>
              <w:left w:val="single" w:color="auto" w:sz="4" w:space="0"/>
              <w:bottom w:val="single" w:color="auto" w:sz="4" w:space="0"/>
              <w:right w:val="single" w:color="auto" w:sz="4" w:space="0"/>
            </w:tcBorders>
            <w:vAlign w:val="center"/>
          </w:tcPr>
          <w:p w14:paraId="73BB3CA6">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1.2</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2729" w:type="dxa"/>
            <w:vMerge w:val="continue"/>
            <w:tcBorders>
              <w:left w:val="single" w:color="auto" w:sz="4" w:space="0"/>
              <w:right w:val="single" w:color="auto" w:sz="4" w:space="0"/>
            </w:tcBorders>
            <w:vAlign w:val="center"/>
          </w:tcPr>
          <w:p w14:paraId="18AEBEEB">
            <w:pPr>
              <w:autoSpaceDE w:val="0"/>
              <w:autoSpaceDN w:val="0"/>
              <w:jc w:val="center"/>
              <w:rPr>
                <w:rFonts w:ascii="Times New Roman" w:hAnsi="Times New Roman" w:eastAsia="宋体" w:cs="Times New Roman"/>
                <w:color w:val="auto"/>
                <w:szCs w:val="24"/>
                <w:u w:val="single" w:color="auto"/>
              </w:rPr>
            </w:pPr>
          </w:p>
        </w:tc>
      </w:tr>
      <w:tr w14:paraId="37809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08" w:type="dxa"/>
            <w:tcBorders>
              <w:top w:val="single" w:color="auto" w:sz="4" w:space="0"/>
              <w:left w:val="single" w:color="auto" w:sz="4" w:space="0"/>
              <w:bottom w:val="single" w:color="auto" w:sz="4" w:space="0"/>
              <w:right w:val="single" w:color="auto" w:sz="4" w:space="0"/>
            </w:tcBorders>
            <w:vAlign w:val="center"/>
          </w:tcPr>
          <w:p w14:paraId="36E61669">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甲苯</w:t>
            </w:r>
          </w:p>
        </w:tc>
        <w:tc>
          <w:tcPr>
            <w:tcW w:w="1338" w:type="dxa"/>
            <w:tcBorders>
              <w:top w:val="single" w:color="auto" w:sz="4" w:space="0"/>
              <w:left w:val="single" w:color="auto" w:sz="4" w:space="0"/>
              <w:bottom w:val="single" w:color="auto" w:sz="4" w:space="0"/>
              <w:right w:val="single" w:color="auto" w:sz="4" w:space="0"/>
            </w:tcBorders>
            <w:vAlign w:val="center"/>
          </w:tcPr>
          <w:p w14:paraId="1283287A">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3</w:t>
            </w:r>
            <w:r>
              <w:rPr>
                <w:rFonts w:hint="eastAsia" w:ascii="Times New Roman" w:hAnsi="Times New Roman" w:eastAsia="宋体" w:cs="Times New Roman"/>
                <w:color w:val="auto"/>
                <w:szCs w:val="24"/>
                <w:u w:val="single" w:color="auto"/>
              </w:rPr>
              <w:t>0m</w:t>
            </w:r>
          </w:p>
        </w:tc>
        <w:tc>
          <w:tcPr>
            <w:tcW w:w="1493" w:type="dxa"/>
            <w:tcBorders>
              <w:top w:val="single" w:color="auto" w:sz="4" w:space="0"/>
              <w:left w:val="single" w:color="auto" w:sz="4" w:space="0"/>
              <w:bottom w:val="single" w:color="auto" w:sz="4" w:space="0"/>
              <w:right w:val="single" w:color="auto" w:sz="4" w:space="0"/>
            </w:tcBorders>
            <w:vAlign w:val="center"/>
          </w:tcPr>
          <w:p w14:paraId="69F4FFE1">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40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1016" w:type="dxa"/>
            <w:tcBorders>
              <w:top w:val="single" w:color="auto" w:sz="4" w:space="0"/>
              <w:left w:val="single" w:color="auto" w:sz="4" w:space="0"/>
              <w:bottom w:val="single" w:color="auto" w:sz="4" w:space="0"/>
              <w:right w:val="single" w:color="auto" w:sz="4" w:space="0"/>
            </w:tcBorders>
            <w:vAlign w:val="center"/>
          </w:tcPr>
          <w:p w14:paraId="427730C2">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18</w:t>
            </w:r>
            <w:r>
              <w:rPr>
                <w:rFonts w:hint="eastAsia" w:ascii="Times New Roman" w:hAnsi="Times New Roman" w:eastAsia="宋体" w:cs="Times New Roman"/>
                <w:color w:val="auto"/>
                <w:szCs w:val="24"/>
                <w:u w:val="single" w:color="auto"/>
              </w:rPr>
              <w:t>kg/h</w:t>
            </w:r>
          </w:p>
        </w:tc>
        <w:tc>
          <w:tcPr>
            <w:tcW w:w="1016" w:type="dxa"/>
            <w:tcBorders>
              <w:top w:val="single" w:color="auto" w:sz="4" w:space="0"/>
              <w:left w:val="single" w:color="auto" w:sz="4" w:space="0"/>
              <w:bottom w:val="single" w:color="auto" w:sz="4" w:space="0"/>
              <w:right w:val="single" w:color="auto" w:sz="4" w:space="0"/>
            </w:tcBorders>
            <w:vAlign w:val="center"/>
          </w:tcPr>
          <w:p w14:paraId="456BE568">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2.4</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2729" w:type="dxa"/>
            <w:vMerge w:val="continue"/>
            <w:tcBorders>
              <w:left w:val="single" w:color="auto" w:sz="4" w:space="0"/>
              <w:right w:val="single" w:color="auto" w:sz="4" w:space="0"/>
            </w:tcBorders>
            <w:vAlign w:val="center"/>
          </w:tcPr>
          <w:p w14:paraId="42F0F865">
            <w:pPr>
              <w:autoSpaceDE w:val="0"/>
              <w:autoSpaceDN w:val="0"/>
              <w:jc w:val="center"/>
              <w:rPr>
                <w:rFonts w:ascii="Times New Roman" w:hAnsi="Times New Roman" w:eastAsia="宋体" w:cs="Times New Roman"/>
                <w:color w:val="auto"/>
                <w:szCs w:val="24"/>
                <w:u w:val="single" w:color="auto"/>
              </w:rPr>
            </w:pPr>
          </w:p>
        </w:tc>
      </w:tr>
      <w:tr w14:paraId="7B264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208" w:type="dxa"/>
            <w:tcBorders>
              <w:top w:val="single" w:color="auto" w:sz="4" w:space="0"/>
              <w:left w:val="single" w:color="auto" w:sz="4" w:space="0"/>
              <w:bottom w:val="single" w:color="auto" w:sz="4" w:space="0"/>
              <w:right w:val="single" w:color="auto" w:sz="4" w:space="0"/>
            </w:tcBorders>
            <w:vAlign w:val="center"/>
          </w:tcPr>
          <w:p w14:paraId="7779C413">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颗粒物</w:t>
            </w:r>
          </w:p>
        </w:tc>
        <w:tc>
          <w:tcPr>
            <w:tcW w:w="1338" w:type="dxa"/>
            <w:tcBorders>
              <w:top w:val="single" w:color="auto" w:sz="4" w:space="0"/>
              <w:left w:val="single" w:color="auto" w:sz="4" w:space="0"/>
              <w:bottom w:val="single" w:color="auto" w:sz="4" w:space="0"/>
              <w:right w:val="single" w:color="auto" w:sz="4" w:space="0"/>
            </w:tcBorders>
            <w:vAlign w:val="center"/>
          </w:tcPr>
          <w:p w14:paraId="1FB2650F">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3</w:t>
            </w:r>
            <w:r>
              <w:rPr>
                <w:rFonts w:hint="eastAsia" w:ascii="Times New Roman" w:hAnsi="Times New Roman" w:eastAsia="宋体" w:cs="Times New Roman"/>
                <w:color w:val="auto"/>
                <w:szCs w:val="24"/>
                <w:u w:val="single" w:color="auto"/>
              </w:rPr>
              <w:t>0m</w:t>
            </w:r>
          </w:p>
        </w:tc>
        <w:tc>
          <w:tcPr>
            <w:tcW w:w="1493" w:type="dxa"/>
            <w:tcBorders>
              <w:top w:val="single" w:color="auto" w:sz="4" w:space="0"/>
              <w:left w:val="single" w:color="auto" w:sz="4" w:space="0"/>
              <w:bottom w:val="single" w:color="auto" w:sz="4" w:space="0"/>
              <w:right w:val="single" w:color="auto" w:sz="4" w:space="0"/>
            </w:tcBorders>
            <w:vAlign w:val="center"/>
          </w:tcPr>
          <w:p w14:paraId="2E8DDABF">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120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1016" w:type="dxa"/>
            <w:tcBorders>
              <w:top w:val="single" w:color="auto" w:sz="4" w:space="0"/>
              <w:left w:val="single" w:color="auto" w:sz="4" w:space="0"/>
              <w:bottom w:val="single" w:color="auto" w:sz="4" w:space="0"/>
              <w:right w:val="single" w:color="auto" w:sz="4" w:space="0"/>
            </w:tcBorders>
            <w:vAlign w:val="center"/>
          </w:tcPr>
          <w:p w14:paraId="1375AA4A">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23</w:t>
            </w:r>
            <w:r>
              <w:rPr>
                <w:rFonts w:hint="eastAsia" w:ascii="Times New Roman" w:hAnsi="Times New Roman" w:eastAsia="宋体" w:cs="Times New Roman"/>
                <w:color w:val="auto"/>
                <w:szCs w:val="24"/>
                <w:u w:val="single" w:color="auto"/>
              </w:rPr>
              <w:t>kg/h</w:t>
            </w:r>
          </w:p>
        </w:tc>
        <w:tc>
          <w:tcPr>
            <w:tcW w:w="1016" w:type="dxa"/>
            <w:tcBorders>
              <w:top w:val="single" w:color="auto" w:sz="4" w:space="0"/>
              <w:left w:val="single" w:color="auto" w:sz="4" w:space="0"/>
              <w:bottom w:val="single" w:color="auto" w:sz="4" w:space="0"/>
              <w:right w:val="single" w:color="auto" w:sz="4" w:space="0"/>
            </w:tcBorders>
            <w:vAlign w:val="center"/>
          </w:tcPr>
          <w:p w14:paraId="219E1552">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1.0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2729" w:type="dxa"/>
            <w:vMerge w:val="continue"/>
            <w:tcBorders>
              <w:left w:val="single" w:color="auto" w:sz="4" w:space="0"/>
              <w:right w:val="single" w:color="auto" w:sz="4" w:space="0"/>
            </w:tcBorders>
            <w:vAlign w:val="center"/>
          </w:tcPr>
          <w:p w14:paraId="41D53C0A">
            <w:pPr>
              <w:autoSpaceDE w:val="0"/>
              <w:autoSpaceDN w:val="0"/>
              <w:jc w:val="center"/>
              <w:rPr>
                <w:rFonts w:ascii="Times New Roman" w:hAnsi="Times New Roman" w:eastAsia="宋体" w:cs="Times New Roman"/>
                <w:color w:val="auto"/>
                <w:szCs w:val="24"/>
                <w:u w:val="single" w:color="auto"/>
              </w:rPr>
            </w:pPr>
          </w:p>
        </w:tc>
      </w:tr>
      <w:tr w14:paraId="48CEA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208" w:type="dxa"/>
            <w:tcBorders>
              <w:top w:val="single" w:color="auto" w:sz="4" w:space="0"/>
              <w:left w:val="single" w:color="auto" w:sz="4" w:space="0"/>
              <w:bottom w:val="single" w:color="auto" w:sz="4" w:space="0"/>
              <w:right w:val="single" w:color="auto" w:sz="4" w:space="0"/>
            </w:tcBorders>
            <w:vAlign w:val="center"/>
          </w:tcPr>
          <w:p w14:paraId="1CFBD03E">
            <w:pPr>
              <w:autoSpaceDE w:val="0"/>
              <w:autoSpaceDN w:val="0"/>
              <w:jc w:val="center"/>
              <w:rPr>
                <w:rFonts w:hint="default" w:ascii="Times New Roman" w:hAnsi="Times New Roman" w:eastAsia="宋体" w:cs="Times New Roman"/>
                <w:color w:val="auto"/>
                <w:szCs w:val="24"/>
                <w:u w:val="none" w:color="auto"/>
                <w:lang w:val="en-US" w:eastAsia="zh-CN"/>
              </w:rPr>
            </w:pPr>
            <w:r>
              <w:rPr>
                <w:rFonts w:hint="eastAsia" w:ascii="Times New Roman" w:hAnsi="Times New Roman" w:eastAsia="宋体" w:cs="Times New Roman"/>
                <w:color w:val="auto"/>
                <w:szCs w:val="24"/>
                <w:u w:val="none" w:color="auto"/>
                <w:lang w:val="en-US" w:eastAsia="zh-CN"/>
              </w:rPr>
              <w:t>臭气浓度</w:t>
            </w:r>
          </w:p>
        </w:tc>
        <w:tc>
          <w:tcPr>
            <w:tcW w:w="1338" w:type="dxa"/>
            <w:tcBorders>
              <w:top w:val="single" w:color="auto" w:sz="4" w:space="0"/>
              <w:left w:val="single" w:color="auto" w:sz="4" w:space="0"/>
              <w:bottom w:val="single" w:color="auto" w:sz="4" w:space="0"/>
              <w:right w:val="single" w:color="auto" w:sz="4" w:space="0"/>
            </w:tcBorders>
            <w:vAlign w:val="center"/>
          </w:tcPr>
          <w:p w14:paraId="0B9E51FF">
            <w:pPr>
              <w:autoSpaceDE w:val="0"/>
              <w:autoSpaceDN w:val="0"/>
              <w:jc w:val="center"/>
              <w:rPr>
                <w:rFonts w:hint="default" w:ascii="Times New Roman" w:hAnsi="Times New Roman" w:eastAsia="宋体" w:cs="Times New Roman"/>
                <w:color w:val="auto"/>
                <w:szCs w:val="24"/>
                <w:u w:val="none" w:color="auto"/>
                <w:lang w:val="en-US" w:eastAsia="zh-CN"/>
              </w:rPr>
            </w:pPr>
            <w:r>
              <w:rPr>
                <w:rFonts w:hint="eastAsia" w:ascii="Times New Roman" w:hAnsi="Times New Roman" w:eastAsia="宋体" w:cs="Times New Roman"/>
                <w:color w:val="auto"/>
                <w:szCs w:val="24"/>
                <w:u w:val="none" w:color="auto"/>
                <w:lang w:val="en-US" w:eastAsia="zh-CN"/>
              </w:rPr>
              <w:t>/</w:t>
            </w:r>
          </w:p>
        </w:tc>
        <w:tc>
          <w:tcPr>
            <w:tcW w:w="2509" w:type="dxa"/>
            <w:gridSpan w:val="2"/>
            <w:tcBorders>
              <w:top w:val="single" w:color="auto" w:sz="4" w:space="0"/>
              <w:left w:val="single" w:color="auto" w:sz="4" w:space="0"/>
              <w:bottom w:val="single" w:color="auto" w:sz="4" w:space="0"/>
              <w:right w:val="single" w:color="auto" w:sz="4" w:space="0"/>
            </w:tcBorders>
            <w:vAlign w:val="center"/>
          </w:tcPr>
          <w:p w14:paraId="53FE0228">
            <w:pPr>
              <w:autoSpaceDE w:val="0"/>
              <w:autoSpaceDN w:val="0"/>
              <w:jc w:val="center"/>
              <w:rPr>
                <w:rFonts w:hint="default" w:ascii="Times New Roman" w:hAnsi="Times New Roman" w:eastAsia="宋体" w:cs="Times New Roman"/>
                <w:color w:val="auto"/>
                <w:szCs w:val="24"/>
                <w:u w:val="none" w:color="auto"/>
                <w:lang w:val="en-US" w:eastAsia="zh-CN"/>
              </w:rPr>
            </w:pPr>
            <w:r>
              <w:rPr>
                <w:rFonts w:hint="default" w:ascii="Times New Roman" w:hAnsi="Times New Roman" w:eastAsia="宋体" w:cs="Times New Roman"/>
                <w:color w:val="auto"/>
                <w:sz w:val="21"/>
                <w:szCs w:val="21"/>
                <w:u w:val="none" w:color="auto"/>
                <w:lang w:val="en-US" w:eastAsia="zh-CN"/>
              </w:rPr>
              <w:t>2000（无量纲）</w:t>
            </w:r>
          </w:p>
        </w:tc>
        <w:tc>
          <w:tcPr>
            <w:tcW w:w="1016" w:type="dxa"/>
            <w:tcBorders>
              <w:top w:val="single" w:color="auto" w:sz="4" w:space="0"/>
              <w:left w:val="single" w:color="auto" w:sz="4" w:space="0"/>
              <w:bottom w:val="single" w:color="auto" w:sz="4" w:space="0"/>
              <w:right w:val="single" w:color="auto" w:sz="4" w:space="0"/>
            </w:tcBorders>
            <w:vAlign w:val="center"/>
          </w:tcPr>
          <w:p w14:paraId="583D48F0">
            <w:pPr>
              <w:autoSpaceDE w:val="0"/>
              <w:autoSpaceDN w:val="0"/>
              <w:jc w:val="center"/>
              <w:rPr>
                <w:rFonts w:hint="eastAsia" w:ascii="Times New Roman" w:hAnsi="Times New Roman" w:eastAsia="宋体" w:cs="Times New Roman"/>
                <w:color w:val="auto"/>
                <w:szCs w:val="24"/>
                <w:u w:val="none" w:color="auto"/>
              </w:rPr>
            </w:pPr>
            <w:r>
              <w:rPr>
                <w:rFonts w:hint="default" w:ascii="Times New Roman" w:hAnsi="Times New Roman" w:eastAsia="宋体" w:cs="Times New Roman"/>
                <w:color w:val="auto"/>
                <w:sz w:val="21"/>
                <w:szCs w:val="21"/>
                <w:highlight w:val="none"/>
                <w:u w:val="none" w:color="auto"/>
                <w:lang w:val="en-US" w:eastAsia="zh-CN"/>
              </w:rPr>
              <w:t>20（无量纲）</w:t>
            </w:r>
          </w:p>
        </w:tc>
        <w:tc>
          <w:tcPr>
            <w:tcW w:w="2729" w:type="dxa"/>
            <w:tcBorders>
              <w:left w:val="single" w:color="auto" w:sz="4" w:space="0"/>
              <w:right w:val="single" w:color="auto" w:sz="4" w:space="0"/>
            </w:tcBorders>
            <w:vAlign w:val="center"/>
          </w:tcPr>
          <w:p w14:paraId="61208E69">
            <w:pPr>
              <w:autoSpaceDE w:val="0"/>
              <w:autoSpaceDN w:val="0"/>
              <w:jc w:val="center"/>
              <w:rPr>
                <w:rFonts w:ascii="Times New Roman" w:hAnsi="Times New Roman" w:eastAsia="宋体" w:cs="Times New Roman"/>
                <w:color w:val="auto"/>
                <w:szCs w:val="24"/>
                <w:u w:val="none" w:color="auto"/>
              </w:rPr>
            </w:pPr>
            <w:r>
              <w:rPr>
                <w:rFonts w:hint="default" w:ascii="Times New Roman" w:hAnsi="Times New Roman" w:eastAsia="宋体" w:cs="Times New Roman"/>
                <w:color w:val="auto"/>
                <w:u w:val="none" w:color="auto"/>
                <w:lang w:eastAsia="zh-CN"/>
              </w:rPr>
              <w:t>《恶臭污染物排放标准》（GB14554-93）</w:t>
            </w:r>
          </w:p>
        </w:tc>
      </w:tr>
      <w:tr w14:paraId="1FD01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08" w:type="dxa"/>
            <w:tcBorders>
              <w:top w:val="single" w:color="auto" w:sz="4" w:space="0"/>
              <w:left w:val="single" w:color="auto" w:sz="4" w:space="0"/>
              <w:bottom w:val="single" w:color="auto" w:sz="4" w:space="0"/>
              <w:right w:val="single" w:color="auto" w:sz="4" w:space="0"/>
            </w:tcBorders>
            <w:vAlign w:val="center"/>
          </w:tcPr>
          <w:p w14:paraId="7F464D5C">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油烟</w:t>
            </w:r>
          </w:p>
        </w:tc>
        <w:tc>
          <w:tcPr>
            <w:tcW w:w="1338" w:type="dxa"/>
            <w:tcBorders>
              <w:top w:val="single" w:color="auto" w:sz="4" w:space="0"/>
              <w:left w:val="single" w:color="auto" w:sz="4" w:space="0"/>
              <w:bottom w:val="single" w:color="auto" w:sz="4" w:space="0"/>
              <w:right w:val="single" w:color="auto" w:sz="4" w:space="0"/>
            </w:tcBorders>
            <w:vAlign w:val="center"/>
          </w:tcPr>
          <w:p w14:paraId="1580BBA0">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w:t>
            </w:r>
          </w:p>
        </w:tc>
        <w:tc>
          <w:tcPr>
            <w:tcW w:w="1493" w:type="dxa"/>
            <w:tcBorders>
              <w:top w:val="single" w:color="auto" w:sz="4" w:space="0"/>
              <w:left w:val="single" w:color="auto" w:sz="4" w:space="0"/>
              <w:bottom w:val="single" w:color="auto" w:sz="4" w:space="0"/>
              <w:right w:val="single" w:color="auto" w:sz="4" w:space="0"/>
            </w:tcBorders>
            <w:vAlign w:val="center"/>
          </w:tcPr>
          <w:p w14:paraId="0265521A">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2.0</w:t>
            </w:r>
            <w:r>
              <w:rPr>
                <w:rFonts w:ascii="Times New Roman" w:hAnsi="Times New Roman" w:eastAsia="宋体" w:cs="Times New Roman"/>
                <w:color w:val="auto"/>
                <w:szCs w:val="24"/>
                <w:u w:val="single" w:color="auto"/>
              </w:rPr>
              <w:t>mg/m</w:t>
            </w:r>
            <w:r>
              <w:rPr>
                <w:rFonts w:ascii="Times New Roman" w:hAnsi="Times New Roman" w:eastAsia="宋体" w:cs="Times New Roman"/>
                <w:color w:val="auto"/>
                <w:szCs w:val="24"/>
                <w:u w:val="single" w:color="auto"/>
                <w:vertAlign w:val="superscript"/>
              </w:rPr>
              <w:t>3</w:t>
            </w:r>
          </w:p>
        </w:tc>
        <w:tc>
          <w:tcPr>
            <w:tcW w:w="1016" w:type="dxa"/>
            <w:tcBorders>
              <w:top w:val="single" w:color="auto" w:sz="4" w:space="0"/>
              <w:left w:val="single" w:color="auto" w:sz="4" w:space="0"/>
              <w:bottom w:val="single" w:color="auto" w:sz="4" w:space="0"/>
              <w:right w:val="single" w:color="auto" w:sz="4" w:space="0"/>
            </w:tcBorders>
            <w:vAlign w:val="center"/>
          </w:tcPr>
          <w:p w14:paraId="13D628AD">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w:t>
            </w:r>
          </w:p>
        </w:tc>
        <w:tc>
          <w:tcPr>
            <w:tcW w:w="1016" w:type="dxa"/>
            <w:tcBorders>
              <w:top w:val="single" w:color="auto" w:sz="4" w:space="0"/>
              <w:left w:val="single" w:color="auto" w:sz="4" w:space="0"/>
              <w:bottom w:val="single" w:color="auto" w:sz="4" w:space="0"/>
              <w:right w:val="single" w:color="auto" w:sz="4" w:space="0"/>
            </w:tcBorders>
            <w:vAlign w:val="center"/>
          </w:tcPr>
          <w:p w14:paraId="566881DD">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w:t>
            </w:r>
          </w:p>
        </w:tc>
        <w:tc>
          <w:tcPr>
            <w:tcW w:w="2729" w:type="dxa"/>
            <w:tcBorders>
              <w:left w:val="single" w:color="auto" w:sz="4" w:space="0"/>
              <w:right w:val="single" w:color="auto" w:sz="4" w:space="0"/>
            </w:tcBorders>
            <w:vAlign w:val="center"/>
          </w:tcPr>
          <w:p w14:paraId="780C8368">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《饮食业油烟排放标准（试行）》（GB18483-2001）</w:t>
            </w:r>
          </w:p>
        </w:tc>
      </w:tr>
    </w:tbl>
    <w:p w14:paraId="14A2EEB0">
      <w:pPr>
        <w:widowControl/>
        <w:adjustRightInd w:val="0"/>
        <w:snapToGrid w:val="0"/>
        <w:spacing w:before="312" w:beforeLines="100"/>
        <w:jc w:val="center"/>
        <w:rPr>
          <w:rFonts w:ascii="Times New Roman" w:hAnsi="Times New Roman" w:eastAsia="宋体" w:cs="Times New Roman"/>
          <w:b/>
          <w:bCs/>
          <w:color w:val="auto"/>
          <w:kern w:val="0"/>
          <w:szCs w:val="24"/>
          <w:u w:val="none" w:color="auto"/>
        </w:rPr>
      </w:pPr>
      <w:bookmarkStart w:id="91" w:name="_Toc3728136"/>
      <w:r>
        <w:rPr>
          <w:rFonts w:ascii="Times New Roman" w:hAnsi="Times New Roman" w:eastAsia="宋体" w:cs="Times New Roman"/>
          <w:b/>
          <w:snapToGrid w:val="0"/>
          <w:color w:val="auto"/>
          <w:kern w:val="0"/>
          <w:szCs w:val="21"/>
          <w:u w:val="none" w:color="auto"/>
        </w:rPr>
        <w:t>表</w:t>
      </w:r>
      <w:r>
        <w:rPr>
          <w:rFonts w:hint="eastAsia" w:ascii="Times New Roman" w:hAnsi="Times New Roman" w:eastAsia="宋体" w:cs="Times New Roman"/>
          <w:b/>
          <w:snapToGrid w:val="0"/>
          <w:color w:val="auto"/>
          <w:kern w:val="0"/>
          <w:szCs w:val="21"/>
          <w:u w:val="none" w:color="auto"/>
        </w:rPr>
        <w:t>1</w:t>
      </w:r>
      <w:r>
        <w:rPr>
          <w:rFonts w:ascii="Times New Roman" w:hAnsi="Times New Roman" w:eastAsia="宋体" w:cs="Times New Roman"/>
          <w:b/>
          <w:snapToGrid w:val="0"/>
          <w:color w:val="auto"/>
          <w:kern w:val="0"/>
          <w:szCs w:val="21"/>
          <w:u w:val="none" w:color="auto"/>
        </w:rPr>
        <w:t>.5-</w:t>
      </w:r>
      <w:r>
        <w:rPr>
          <w:rFonts w:hint="eastAsia" w:ascii="Times New Roman" w:hAnsi="Times New Roman" w:eastAsia="宋体" w:cs="Times New Roman"/>
          <w:b/>
          <w:snapToGrid w:val="0"/>
          <w:color w:val="auto"/>
          <w:kern w:val="0"/>
          <w:szCs w:val="21"/>
          <w:u w:val="none" w:color="auto"/>
        </w:rPr>
        <w:t>2</w:t>
      </w:r>
      <w:r>
        <w:rPr>
          <w:rFonts w:ascii="Times New Roman" w:hAnsi="Times New Roman" w:eastAsia="宋体" w:cs="Times New Roman"/>
          <w:b/>
          <w:snapToGrid w:val="0"/>
          <w:color w:val="auto"/>
          <w:kern w:val="0"/>
          <w:szCs w:val="21"/>
          <w:u w:val="none" w:color="auto"/>
        </w:rPr>
        <w:t xml:space="preserve"> </w:t>
      </w:r>
      <w:r>
        <w:rPr>
          <w:rFonts w:ascii="Times New Roman" w:hAnsi="Times New Roman" w:eastAsia="宋体" w:cs="Times New Roman"/>
          <w:b/>
          <w:bCs/>
          <w:color w:val="auto"/>
          <w:kern w:val="0"/>
          <w:szCs w:val="24"/>
          <w:u w:val="none" w:color="auto"/>
        </w:rPr>
        <w:t>厂区内VOCs无组织污染物排放标准</w:t>
      </w:r>
      <w:r>
        <w:rPr>
          <w:rFonts w:hint="eastAsia" w:ascii="Times New Roman" w:hAnsi="Times New Roman" w:eastAsia="宋体" w:cs="Times New Roman"/>
          <w:b/>
          <w:bCs/>
          <w:color w:val="auto"/>
          <w:kern w:val="0"/>
          <w:szCs w:val="24"/>
          <w:u w:val="none" w:color="auto"/>
        </w:rPr>
        <w:t xml:space="preserve"> 单位：</w:t>
      </w:r>
      <w:r>
        <w:rPr>
          <w:rFonts w:ascii="Times New Roman" w:hAnsi="Times New Roman" w:eastAsia="宋体" w:cs="Times New Roman"/>
          <w:color w:val="auto"/>
          <w:sz w:val="24"/>
          <w:szCs w:val="24"/>
          <w:u w:val="none" w:color="auto"/>
        </w:rPr>
        <w:t>mg/m</w:t>
      </w:r>
      <w:r>
        <w:rPr>
          <w:rFonts w:ascii="Times New Roman" w:hAnsi="Times New Roman" w:eastAsia="宋体" w:cs="Times New Roman"/>
          <w:color w:val="auto"/>
          <w:sz w:val="24"/>
          <w:szCs w:val="24"/>
          <w:u w:val="none" w:color="auto"/>
          <w:vertAlign w:val="superscript"/>
        </w:rPr>
        <w:t>3</w:t>
      </w:r>
    </w:p>
    <w:tbl>
      <w:tblPr>
        <w:tblStyle w:val="37"/>
        <w:tblW w:w="8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457"/>
        <w:gridCol w:w="2705"/>
        <w:gridCol w:w="2537"/>
      </w:tblGrid>
      <w:tr w14:paraId="72417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681" w:type="dxa"/>
            <w:vAlign w:val="center"/>
          </w:tcPr>
          <w:p w14:paraId="0E8F407A">
            <w:pPr>
              <w:pStyle w:val="48"/>
              <w:rPr>
                <w:rFonts w:hint="default" w:ascii="Times New Roman" w:hAnsi="Times New Roman"/>
                <w:b/>
                <w:color w:val="auto"/>
                <w:sz w:val="21"/>
                <w:u w:val="none" w:color="auto"/>
              </w:rPr>
            </w:pPr>
            <w:r>
              <w:rPr>
                <w:rFonts w:hint="default" w:ascii="Times New Roman" w:hAnsi="Times New Roman"/>
                <w:b/>
                <w:color w:val="auto"/>
                <w:sz w:val="21"/>
                <w:u w:val="none" w:color="auto"/>
              </w:rPr>
              <w:t>污染物项目</w:t>
            </w:r>
          </w:p>
        </w:tc>
        <w:tc>
          <w:tcPr>
            <w:tcW w:w="1457" w:type="dxa"/>
            <w:vAlign w:val="center"/>
          </w:tcPr>
          <w:p w14:paraId="0B84470E">
            <w:pPr>
              <w:pStyle w:val="48"/>
              <w:rPr>
                <w:rFonts w:hint="default" w:ascii="Times New Roman" w:hAnsi="Times New Roman"/>
                <w:b/>
                <w:color w:val="auto"/>
                <w:sz w:val="21"/>
                <w:u w:val="none" w:color="auto"/>
              </w:rPr>
            </w:pPr>
            <w:r>
              <w:rPr>
                <w:rFonts w:hint="default" w:ascii="Times New Roman" w:hAnsi="Times New Roman"/>
                <w:b/>
                <w:color w:val="auto"/>
                <w:sz w:val="21"/>
                <w:u w:val="none" w:color="auto"/>
              </w:rPr>
              <w:t>排放限值</w:t>
            </w:r>
          </w:p>
        </w:tc>
        <w:tc>
          <w:tcPr>
            <w:tcW w:w="2705" w:type="dxa"/>
            <w:vAlign w:val="center"/>
          </w:tcPr>
          <w:p w14:paraId="0A41EE79">
            <w:pPr>
              <w:pStyle w:val="48"/>
              <w:rPr>
                <w:rFonts w:hint="default" w:ascii="Times New Roman" w:hAnsi="Times New Roman"/>
                <w:b/>
                <w:color w:val="auto"/>
                <w:sz w:val="21"/>
                <w:u w:val="none" w:color="auto"/>
              </w:rPr>
            </w:pPr>
            <w:r>
              <w:rPr>
                <w:rFonts w:hint="default" w:ascii="Times New Roman" w:hAnsi="Times New Roman"/>
                <w:b/>
                <w:color w:val="auto"/>
                <w:sz w:val="21"/>
                <w:u w:val="none" w:color="auto"/>
              </w:rPr>
              <w:t>限值含义</w:t>
            </w:r>
          </w:p>
        </w:tc>
        <w:tc>
          <w:tcPr>
            <w:tcW w:w="2537" w:type="dxa"/>
            <w:vAlign w:val="center"/>
          </w:tcPr>
          <w:p w14:paraId="18EB097C">
            <w:pPr>
              <w:pStyle w:val="48"/>
              <w:rPr>
                <w:rFonts w:hint="default" w:ascii="Times New Roman" w:hAnsi="Times New Roman"/>
                <w:b/>
                <w:color w:val="auto"/>
                <w:sz w:val="21"/>
                <w:u w:val="none" w:color="auto"/>
              </w:rPr>
            </w:pPr>
            <w:r>
              <w:rPr>
                <w:rFonts w:hint="default" w:ascii="Times New Roman" w:hAnsi="Times New Roman"/>
                <w:b/>
                <w:color w:val="auto"/>
                <w:sz w:val="21"/>
                <w:u w:val="none" w:color="auto"/>
              </w:rPr>
              <w:t>无组织排放监控位置</w:t>
            </w:r>
          </w:p>
        </w:tc>
      </w:tr>
      <w:tr w14:paraId="4E8B2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681" w:type="dxa"/>
            <w:vMerge w:val="restart"/>
            <w:vAlign w:val="center"/>
          </w:tcPr>
          <w:p w14:paraId="475A5058">
            <w:pPr>
              <w:pStyle w:val="48"/>
              <w:rPr>
                <w:rFonts w:hint="default" w:ascii="Times New Roman" w:hAnsi="Times New Roman"/>
                <w:color w:val="auto"/>
                <w:sz w:val="21"/>
                <w:u w:val="none" w:color="auto"/>
              </w:rPr>
            </w:pPr>
            <w:r>
              <w:rPr>
                <w:rFonts w:hint="default" w:ascii="Times New Roman" w:hAnsi="Times New Roman"/>
                <w:color w:val="auto"/>
                <w:sz w:val="21"/>
                <w:u w:val="none" w:color="auto"/>
              </w:rPr>
              <w:t>NMHC</w:t>
            </w:r>
          </w:p>
          <w:p w14:paraId="21B86249">
            <w:pPr>
              <w:pStyle w:val="48"/>
              <w:rPr>
                <w:rFonts w:hint="default" w:ascii="Times New Roman" w:hAnsi="Times New Roman"/>
                <w:color w:val="auto"/>
                <w:sz w:val="21"/>
                <w:u w:val="none" w:color="auto"/>
              </w:rPr>
            </w:pPr>
            <w:r>
              <w:rPr>
                <w:rFonts w:hint="default" w:ascii="Times New Roman" w:hAnsi="Times New Roman"/>
                <w:color w:val="auto"/>
                <w:sz w:val="21"/>
                <w:u w:val="none" w:color="auto"/>
              </w:rPr>
              <w:t>（非甲烷总烃）</w:t>
            </w:r>
          </w:p>
        </w:tc>
        <w:tc>
          <w:tcPr>
            <w:tcW w:w="1457" w:type="dxa"/>
            <w:vAlign w:val="center"/>
          </w:tcPr>
          <w:p w14:paraId="7EF2F290">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10</w:t>
            </w:r>
          </w:p>
        </w:tc>
        <w:tc>
          <w:tcPr>
            <w:tcW w:w="2705" w:type="dxa"/>
            <w:vAlign w:val="center"/>
          </w:tcPr>
          <w:p w14:paraId="387B3670">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监控点处1h平均浓度值</w:t>
            </w:r>
          </w:p>
        </w:tc>
        <w:tc>
          <w:tcPr>
            <w:tcW w:w="2537" w:type="dxa"/>
            <w:vMerge w:val="restart"/>
            <w:vAlign w:val="center"/>
          </w:tcPr>
          <w:p w14:paraId="33FFBE8C">
            <w:pPr>
              <w:pStyle w:val="48"/>
              <w:rPr>
                <w:rFonts w:hint="default" w:ascii="Times New Roman" w:hAnsi="Times New Roman"/>
                <w:color w:val="auto"/>
                <w:sz w:val="21"/>
                <w:u w:val="none" w:color="auto"/>
              </w:rPr>
            </w:pPr>
            <w:r>
              <w:rPr>
                <w:rFonts w:hint="default" w:ascii="Times New Roman" w:hAnsi="Times New Roman"/>
                <w:color w:val="auto"/>
                <w:sz w:val="21"/>
                <w:u w:val="none" w:color="auto"/>
              </w:rPr>
              <w:t>在厂房外设置监控点</w:t>
            </w:r>
          </w:p>
        </w:tc>
      </w:tr>
      <w:tr w14:paraId="48406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681" w:type="dxa"/>
            <w:vMerge w:val="continue"/>
            <w:vAlign w:val="center"/>
          </w:tcPr>
          <w:p w14:paraId="59DF8D06">
            <w:pPr>
              <w:pStyle w:val="48"/>
              <w:rPr>
                <w:rFonts w:hint="default" w:ascii="Times New Roman" w:hAnsi="Times New Roman"/>
                <w:color w:val="auto"/>
                <w:sz w:val="21"/>
                <w:u w:val="none" w:color="auto"/>
              </w:rPr>
            </w:pPr>
          </w:p>
        </w:tc>
        <w:tc>
          <w:tcPr>
            <w:tcW w:w="1457" w:type="dxa"/>
            <w:vAlign w:val="center"/>
          </w:tcPr>
          <w:p w14:paraId="4D7AE06E">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30</w:t>
            </w:r>
          </w:p>
        </w:tc>
        <w:tc>
          <w:tcPr>
            <w:tcW w:w="2705" w:type="dxa"/>
            <w:vAlign w:val="center"/>
          </w:tcPr>
          <w:p w14:paraId="0C10359E">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监控点</w:t>
            </w:r>
            <w:r>
              <w:rPr>
                <w:rFonts w:hint="eastAsia" w:ascii="Times New Roman" w:hAnsi="Times New Roman" w:eastAsia="宋体" w:cs="Times New Roman"/>
                <w:color w:val="auto"/>
                <w:szCs w:val="24"/>
                <w:u w:val="none" w:color="auto"/>
              </w:rPr>
              <w:t>处任意一次</w:t>
            </w:r>
            <w:r>
              <w:rPr>
                <w:rFonts w:ascii="Times New Roman" w:hAnsi="Times New Roman" w:eastAsia="宋体" w:cs="Times New Roman"/>
                <w:color w:val="auto"/>
                <w:szCs w:val="24"/>
                <w:u w:val="none" w:color="auto"/>
              </w:rPr>
              <w:t>浓度值</w:t>
            </w:r>
          </w:p>
        </w:tc>
        <w:tc>
          <w:tcPr>
            <w:tcW w:w="2537" w:type="dxa"/>
            <w:vMerge w:val="continue"/>
            <w:vAlign w:val="center"/>
          </w:tcPr>
          <w:p w14:paraId="4FBF3FD9">
            <w:pPr>
              <w:pStyle w:val="48"/>
              <w:rPr>
                <w:rFonts w:hint="default" w:ascii="Times New Roman" w:hAnsi="Times New Roman"/>
                <w:color w:val="auto"/>
                <w:sz w:val="21"/>
                <w:u w:val="none" w:color="auto"/>
              </w:rPr>
            </w:pPr>
          </w:p>
        </w:tc>
      </w:tr>
    </w:tbl>
    <w:p w14:paraId="4D448D9E">
      <w:pPr>
        <w:widowControl/>
        <w:adjustRightInd w:val="0"/>
        <w:snapToGrid w:val="0"/>
        <w:spacing w:before="312" w:beforeLines="100"/>
        <w:jc w:val="center"/>
        <w:rPr>
          <w:rFonts w:ascii="Times New Roman" w:hAnsi="Times New Roman" w:eastAsia="宋体" w:cs="Times New Roman"/>
          <w:b/>
          <w:snapToGrid w:val="0"/>
          <w:color w:val="auto"/>
          <w:kern w:val="0"/>
          <w:szCs w:val="21"/>
          <w:u w:val="none" w:color="auto"/>
        </w:rPr>
      </w:pPr>
      <w:r>
        <w:rPr>
          <w:rFonts w:ascii="Times New Roman" w:hAnsi="Times New Roman" w:eastAsia="宋体" w:cs="Times New Roman"/>
          <w:b/>
          <w:snapToGrid w:val="0"/>
          <w:color w:val="auto"/>
          <w:kern w:val="0"/>
          <w:szCs w:val="21"/>
          <w:u w:val="none" w:color="auto"/>
        </w:rPr>
        <w:t>表</w:t>
      </w:r>
      <w:r>
        <w:rPr>
          <w:rFonts w:hint="eastAsia" w:ascii="Times New Roman" w:hAnsi="Times New Roman" w:eastAsia="宋体" w:cs="Times New Roman"/>
          <w:b/>
          <w:snapToGrid w:val="0"/>
          <w:color w:val="auto"/>
          <w:kern w:val="0"/>
          <w:szCs w:val="21"/>
          <w:u w:val="none" w:color="auto"/>
        </w:rPr>
        <w:t>1</w:t>
      </w:r>
      <w:r>
        <w:rPr>
          <w:rFonts w:ascii="Times New Roman" w:hAnsi="Times New Roman" w:eastAsia="宋体" w:cs="Times New Roman"/>
          <w:b/>
          <w:snapToGrid w:val="0"/>
          <w:color w:val="auto"/>
          <w:kern w:val="0"/>
          <w:szCs w:val="21"/>
          <w:u w:val="none" w:color="auto"/>
        </w:rPr>
        <w:t>.5-3 《饮食业油烟排放标准(试行)》（GBl8483-2001）</w:t>
      </w:r>
    </w:p>
    <w:tbl>
      <w:tblPr>
        <w:tblStyle w:val="3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66"/>
        <w:gridCol w:w="1624"/>
        <w:gridCol w:w="1624"/>
        <w:gridCol w:w="1708"/>
      </w:tblGrid>
      <w:tr w14:paraId="4A024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6" w:type="dxa"/>
            <w:vAlign w:val="center"/>
          </w:tcPr>
          <w:p w14:paraId="4DE1A410">
            <w:pPr>
              <w:widowControl/>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规模</w:t>
            </w:r>
          </w:p>
        </w:tc>
        <w:tc>
          <w:tcPr>
            <w:tcW w:w="1624" w:type="dxa"/>
            <w:vAlign w:val="center"/>
          </w:tcPr>
          <w:p w14:paraId="095A2988">
            <w:pPr>
              <w:widowControl/>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小型</w:t>
            </w:r>
          </w:p>
        </w:tc>
        <w:tc>
          <w:tcPr>
            <w:tcW w:w="1624" w:type="dxa"/>
            <w:vAlign w:val="center"/>
          </w:tcPr>
          <w:p w14:paraId="128D96DD">
            <w:pPr>
              <w:widowControl/>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中型</w:t>
            </w:r>
          </w:p>
        </w:tc>
        <w:tc>
          <w:tcPr>
            <w:tcW w:w="1708" w:type="dxa"/>
            <w:vAlign w:val="center"/>
          </w:tcPr>
          <w:p w14:paraId="2A4369E4">
            <w:pPr>
              <w:widowControl/>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大型</w:t>
            </w:r>
          </w:p>
        </w:tc>
      </w:tr>
      <w:tr w14:paraId="590AE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6" w:type="dxa"/>
            <w:vAlign w:val="center"/>
          </w:tcPr>
          <w:p w14:paraId="318B659E">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基准灶头数</w:t>
            </w:r>
          </w:p>
        </w:tc>
        <w:tc>
          <w:tcPr>
            <w:tcW w:w="1624" w:type="dxa"/>
            <w:vAlign w:val="center"/>
          </w:tcPr>
          <w:p w14:paraId="3F1939A9">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≥l，＜3</w:t>
            </w:r>
          </w:p>
        </w:tc>
        <w:tc>
          <w:tcPr>
            <w:tcW w:w="1624" w:type="dxa"/>
            <w:vAlign w:val="center"/>
          </w:tcPr>
          <w:p w14:paraId="29A4DC0E">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≥3，＜6</w:t>
            </w:r>
          </w:p>
        </w:tc>
        <w:tc>
          <w:tcPr>
            <w:tcW w:w="1708" w:type="dxa"/>
            <w:vAlign w:val="center"/>
          </w:tcPr>
          <w:p w14:paraId="6A82C5A6">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≥6</w:t>
            </w:r>
          </w:p>
        </w:tc>
      </w:tr>
      <w:tr w14:paraId="54A1B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6" w:type="dxa"/>
            <w:vAlign w:val="center"/>
          </w:tcPr>
          <w:p w14:paraId="70EC1F1C">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最高允许排放浓度(mg/m</w:t>
            </w:r>
            <w:r>
              <w:rPr>
                <w:rFonts w:ascii="Times New Roman" w:hAnsi="Times New Roman" w:eastAsia="宋体" w:cs="Times New Roman"/>
                <w:color w:val="auto"/>
                <w:kern w:val="0"/>
                <w:szCs w:val="21"/>
                <w:u w:val="none" w:color="auto"/>
                <w:vertAlign w:val="superscript"/>
              </w:rPr>
              <w:t>3</w:t>
            </w:r>
            <w:r>
              <w:rPr>
                <w:rFonts w:ascii="Times New Roman" w:hAnsi="Times New Roman" w:eastAsia="宋体" w:cs="Times New Roman"/>
                <w:color w:val="auto"/>
                <w:kern w:val="0"/>
                <w:szCs w:val="21"/>
                <w:u w:val="none" w:color="auto"/>
              </w:rPr>
              <w:t>)</w:t>
            </w:r>
          </w:p>
        </w:tc>
        <w:tc>
          <w:tcPr>
            <w:tcW w:w="4956" w:type="dxa"/>
            <w:gridSpan w:val="3"/>
            <w:vAlign w:val="center"/>
          </w:tcPr>
          <w:p w14:paraId="3976E185">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2.0</w:t>
            </w:r>
          </w:p>
        </w:tc>
      </w:tr>
      <w:tr w14:paraId="01695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6" w:type="dxa"/>
            <w:vAlign w:val="center"/>
          </w:tcPr>
          <w:p w14:paraId="2FCE25F1">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净化设施最低去除效率(％)</w:t>
            </w:r>
          </w:p>
        </w:tc>
        <w:tc>
          <w:tcPr>
            <w:tcW w:w="1624" w:type="dxa"/>
            <w:vAlign w:val="center"/>
          </w:tcPr>
          <w:p w14:paraId="426A9368">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60</w:t>
            </w:r>
          </w:p>
        </w:tc>
        <w:tc>
          <w:tcPr>
            <w:tcW w:w="1624" w:type="dxa"/>
            <w:vAlign w:val="center"/>
          </w:tcPr>
          <w:p w14:paraId="302C1BD0">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75</w:t>
            </w:r>
          </w:p>
        </w:tc>
        <w:tc>
          <w:tcPr>
            <w:tcW w:w="1708" w:type="dxa"/>
            <w:vAlign w:val="center"/>
          </w:tcPr>
          <w:p w14:paraId="551F6062">
            <w:pPr>
              <w:widowControl/>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85</w:t>
            </w:r>
          </w:p>
        </w:tc>
      </w:tr>
    </w:tbl>
    <w:p w14:paraId="5FBEB744">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.5.2</w:t>
      </w:r>
      <w:bookmarkEnd w:id="91"/>
      <w:r>
        <w:rPr>
          <w:rFonts w:hint="eastAsia" w:ascii="Times New Roman" w:hAnsi="Times New Roman" w:eastAsia="宋体" w:cs="Times New Roman"/>
          <w:b/>
          <w:color w:val="auto"/>
          <w:kern w:val="0"/>
          <w:sz w:val="28"/>
          <w:szCs w:val="20"/>
          <w:u w:val="none" w:color="auto"/>
        </w:rPr>
        <w:t>废水</w:t>
      </w:r>
    </w:p>
    <w:p w14:paraId="50EBEFDC">
      <w:pPr>
        <w:autoSpaceDE w:val="0"/>
        <w:autoSpaceDN w:val="0"/>
        <w:spacing w:line="360" w:lineRule="auto"/>
        <w:ind w:firstLine="480" w:firstLineChars="200"/>
        <w:rPr>
          <w:color w:val="auto"/>
          <w:u w:val="single" w:color="auto"/>
        </w:rPr>
      </w:pPr>
      <w:r>
        <w:rPr>
          <w:rFonts w:hint="eastAsia" w:ascii="Times New Roman" w:hAnsi="Times New Roman" w:eastAsia="宋体" w:cs="Times New Roman"/>
          <w:color w:val="auto"/>
          <w:kern w:val="0"/>
          <w:sz w:val="24"/>
          <w:szCs w:val="24"/>
          <w:highlight w:val="none"/>
          <w:u w:val="single" w:color="auto"/>
          <w:lang w:val="en-US" w:eastAsia="zh-CN"/>
        </w:rPr>
        <w:t>施工期，项目</w:t>
      </w:r>
      <w:r>
        <w:rPr>
          <w:rFonts w:hint="eastAsia" w:ascii="Times New Roman" w:hAnsi="Times New Roman" w:eastAsia="宋体" w:cs="Times New Roman"/>
          <w:color w:val="auto"/>
          <w:kern w:val="0"/>
          <w:sz w:val="24"/>
          <w:szCs w:val="20"/>
          <w:highlight w:val="none"/>
          <w:u w:val="single" w:color="auto"/>
        </w:rPr>
        <w:t>生活污水经</w:t>
      </w:r>
      <w:r>
        <w:rPr>
          <w:rFonts w:ascii="Times New Roman" w:hAnsi="Times New Roman" w:eastAsia="宋体" w:cs="Times New Roman"/>
          <w:color w:val="auto"/>
          <w:sz w:val="24"/>
          <w:szCs w:val="24"/>
          <w:highlight w:val="none"/>
          <w:u w:val="single" w:color="auto"/>
        </w:rPr>
        <w:t>化粪池</w:t>
      </w:r>
      <w:r>
        <w:rPr>
          <w:rFonts w:hint="eastAsia" w:ascii="Times New Roman" w:hAnsi="Times New Roman" w:eastAsia="宋体" w:cs="Times New Roman"/>
          <w:color w:val="auto"/>
          <w:sz w:val="24"/>
          <w:szCs w:val="24"/>
          <w:highlight w:val="none"/>
          <w:u w:val="single" w:color="auto"/>
          <w:lang w:val="en-US" w:eastAsia="zh-CN"/>
        </w:rPr>
        <w:t>预</w:t>
      </w:r>
      <w:r>
        <w:rPr>
          <w:rFonts w:ascii="Times New Roman" w:hAnsi="Times New Roman" w:eastAsia="宋体" w:cs="Times New Roman"/>
          <w:color w:val="auto"/>
          <w:sz w:val="24"/>
          <w:szCs w:val="24"/>
          <w:highlight w:val="none"/>
          <w:u w:val="single" w:color="auto"/>
        </w:rPr>
        <w:t>处理</w:t>
      </w:r>
      <w:r>
        <w:rPr>
          <w:rFonts w:hint="eastAsia" w:ascii="Times New Roman" w:hAnsi="Times New Roman" w:eastAsia="宋体" w:cs="Times New Roman"/>
          <w:color w:val="auto"/>
          <w:sz w:val="24"/>
          <w:szCs w:val="24"/>
          <w:highlight w:val="none"/>
          <w:u w:val="single" w:color="auto"/>
          <w:lang w:val="en-US" w:eastAsia="zh-CN"/>
        </w:rPr>
        <w:t>达到大榄坪污水处理厂接管标准</w:t>
      </w:r>
      <w:r>
        <w:rPr>
          <w:rFonts w:ascii="Times New Roman" w:hAnsi="Times New Roman" w:eastAsia="宋体" w:cs="Times New Roman"/>
          <w:color w:val="auto"/>
          <w:sz w:val="24"/>
          <w:szCs w:val="24"/>
          <w:highlight w:val="none"/>
          <w:u w:val="single" w:color="auto"/>
        </w:rPr>
        <w:t>后，经市政管网排入大榄坪污水处理厂</w:t>
      </w:r>
      <w:r>
        <w:rPr>
          <w:rFonts w:hint="eastAsia" w:ascii="Times New Roman" w:hAnsi="Times New Roman" w:eastAsia="宋体" w:cs="Times New Roman"/>
          <w:color w:val="auto"/>
          <w:sz w:val="24"/>
          <w:szCs w:val="24"/>
          <w:highlight w:val="none"/>
          <w:u w:val="single" w:color="auto"/>
          <w:lang w:val="en-US" w:eastAsia="zh-CN"/>
        </w:rPr>
        <w:t>进一步</w:t>
      </w:r>
      <w:r>
        <w:rPr>
          <w:rFonts w:hint="eastAsia" w:ascii="Times New Roman" w:hAnsi="Times New Roman" w:eastAsia="宋体" w:cs="Times New Roman"/>
          <w:color w:val="auto"/>
          <w:sz w:val="24"/>
          <w:szCs w:val="24"/>
          <w:highlight w:val="none"/>
          <w:u w:val="single" w:color="auto"/>
        </w:rPr>
        <w:t>处理</w:t>
      </w:r>
      <w:r>
        <w:rPr>
          <w:rFonts w:hint="eastAsia" w:ascii="Times New Roman" w:hAnsi="Times New Roman" w:eastAsia="宋体" w:cs="Times New Roman"/>
          <w:color w:val="auto"/>
          <w:kern w:val="0"/>
          <w:sz w:val="24"/>
          <w:szCs w:val="24"/>
          <w:highlight w:val="none"/>
          <w:u w:val="single" w:color="auto"/>
          <w:lang w:val="en-US" w:eastAsia="zh-CN"/>
        </w:rPr>
        <w:t>；营运期，</w:t>
      </w:r>
      <w:r>
        <w:rPr>
          <w:rFonts w:ascii="Times New Roman" w:hAnsi="Times New Roman" w:eastAsia="宋体" w:cs="Times New Roman"/>
          <w:color w:val="auto"/>
          <w:kern w:val="0"/>
          <w:sz w:val="24"/>
          <w:szCs w:val="20"/>
          <w:u w:val="none" w:color="auto"/>
        </w:rPr>
        <w:t>项</w:t>
      </w:r>
      <w:r>
        <w:rPr>
          <w:rFonts w:ascii="Times New Roman" w:hAnsi="Times New Roman" w:eastAsia="宋体" w:cs="Times New Roman"/>
          <w:color w:val="auto"/>
          <w:kern w:val="0"/>
          <w:sz w:val="24"/>
          <w:szCs w:val="20"/>
          <w:u w:val="single" w:color="auto"/>
        </w:rPr>
        <w:t>目</w:t>
      </w:r>
      <w:r>
        <w:rPr>
          <w:rFonts w:hint="eastAsia" w:ascii="Times New Roman" w:hAnsi="Times New Roman" w:eastAsia="宋体" w:cs="Times New Roman"/>
          <w:color w:val="auto"/>
          <w:kern w:val="0"/>
          <w:sz w:val="24"/>
          <w:szCs w:val="20"/>
          <w:u w:val="single" w:color="auto"/>
        </w:rPr>
        <w:t>无</w:t>
      </w:r>
      <w:r>
        <w:rPr>
          <w:rFonts w:ascii="Times New Roman" w:hAnsi="Times New Roman" w:eastAsia="宋体" w:cs="Times New Roman"/>
          <w:color w:val="auto"/>
          <w:kern w:val="0"/>
          <w:sz w:val="24"/>
          <w:szCs w:val="20"/>
          <w:u w:val="single" w:color="auto"/>
        </w:rPr>
        <w:t>生产废水</w:t>
      </w:r>
      <w:r>
        <w:rPr>
          <w:rFonts w:hint="eastAsia" w:ascii="Times New Roman" w:hAnsi="Times New Roman" w:eastAsia="宋体" w:cs="Times New Roman"/>
          <w:color w:val="auto"/>
          <w:kern w:val="0"/>
          <w:sz w:val="24"/>
          <w:szCs w:val="20"/>
          <w:u w:val="single" w:color="auto"/>
        </w:rPr>
        <w:t>产生，</w:t>
      </w:r>
      <w:r>
        <w:rPr>
          <w:rFonts w:ascii="Times New Roman" w:hAnsi="Times New Roman" w:eastAsia="宋体" w:cs="Times New Roman"/>
          <w:color w:val="auto"/>
          <w:kern w:val="0"/>
          <w:sz w:val="24"/>
          <w:szCs w:val="20"/>
          <w:u w:val="single" w:color="auto"/>
        </w:rPr>
        <w:t>项目</w:t>
      </w:r>
      <w:r>
        <w:rPr>
          <w:rFonts w:hint="eastAsia" w:ascii="Times New Roman" w:hAnsi="Times New Roman" w:eastAsia="宋体" w:cs="Times New Roman"/>
          <w:color w:val="auto"/>
          <w:kern w:val="0"/>
          <w:sz w:val="24"/>
          <w:szCs w:val="20"/>
          <w:u w:val="single" w:color="auto"/>
        </w:rPr>
        <w:t>生活污水经</w:t>
      </w:r>
      <w:r>
        <w:rPr>
          <w:rFonts w:ascii="Times New Roman" w:hAnsi="Times New Roman" w:eastAsia="宋体" w:cs="Times New Roman"/>
          <w:color w:val="auto"/>
          <w:sz w:val="24"/>
          <w:szCs w:val="24"/>
          <w:u w:val="single" w:color="auto"/>
        </w:rPr>
        <w:t>化粪池</w:t>
      </w:r>
      <w:r>
        <w:rPr>
          <w:rFonts w:hint="eastAsia" w:ascii="Times New Roman" w:hAnsi="Times New Roman" w:eastAsia="宋体" w:cs="Times New Roman"/>
          <w:color w:val="auto"/>
          <w:sz w:val="24"/>
          <w:szCs w:val="24"/>
          <w:u w:val="single" w:color="auto"/>
          <w:lang w:val="en-US" w:eastAsia="zh-CN"/>
        </w:rPr>
        <w:t>预</w:t>
      </w:r>
      <w:r>
        <w:rPr>
          <w:rFonts w:ascii="Times New Roman" w:hAnsi="Times New Roman" w:eastAsia="宋体" w:cs="Times New Roman"/>
          <w:color w:val="auto"/>
          <w:sz w:val="24"/>
          <w:szCs w:val="24"/>
          <w:u w:val="single" w:color="auto"/>
        </w:rPr>
        <w:t>处理</w:t>
      </w:r>
      <w:r>
        <w:rPr>
          <w:rFonts w:hint="eastAsia" w:ascii="Times New Roman" w:hAnsi="Times New Roman" w:eastAsia="宋体" w:cs="Times New Roman"/>
          <w:color w:val="auto"/>
          <w:sz w:val="24"/>
          <w:szCs w:val="24"/>
          <w:u w:val="single" w:color="auto"/>
          <w:lang w:val="en-US" w:eastAsia="zh-CN"/>
        </w:rPr>
        <w:t>达到大榄坪污水处理厂接管标准</w:t>
      </w:r>
      <w:r>
        <w:rPr>
          <w:rFonts w:ascii="Times New Roman" w:hAnsi="Times New Roman" w:eastAsia="宋体" w:cs="Times New Roman"/>
          <w:color w:val="auto"/>
          <w:sz w:val="24"/>
          <w:szCs w:val="24"/>
          <w:u w:val="single" w:color="auto"/>
        </w:rPr>
        <w:t>后，经市政管网排入大榄坪污水处理厂</w:t>
      </w:r>
      <w:r>
        <w:rPr>
          <w:rFonts w:hint="eastAsia" w:ascii="Times New Roman" w:hAnsi="Times New Roman" w:eastAsia="宋体" w:cs="Times New Roman"/>
          <w:color w:val="auto"/>
          <w:sz w:val="24"/>
          <w:szCs w:val="24"/>
          <w:u w:val="single" w:color="auto"/>
          <w:lang w:val="en-US" w:eastAsia="zh-CN"/>
        </w:rPr>
        <w:t>进一步</w:t>
      </w:r>
      <w:r>
        <w:rPr>
          <w:rFonts w:hint="eastAsia" w:ascii="Times New Roman" w:hAnsi="Times New Roman" w:eastAsia="宋体" w:cs="Times New Roman"/>
          <w:color w:val="auto"/>
          <w:sz w:val="24"/>
          <w:szCs w:val="24"/>
          <w:u w:val="single" w:color="auto"/>
        </w:rPr>
        <w:t>处理</w:t>
      </w:r>
      <w:r>
        <w:rPr>
          <w:rFonts w:ascii="Times New Roman" w:hAnsi="Times New Roman" w:eastAsia="宋体" w:cs="Times New Roman"/>
          <w:color w:val="auto"/>
          <w:kern w:val="0"/>
          <w:sz w:val="24"/>
          <w:szCs w:val="20"/>
          <w:u w:val="single" w:color="auto"/>
        </w:rPr>
        <w:t>，钦州市大榄坪污水处理</w:t>
      </w:r>
      <w:r>
        <w:rPr>
          <w:rFonts w:hint="eastAsia" w:ascii="Times New Roman" w:hAnsi="Times New Roman" w:eastAsia="宋体" w:cs="Times New Roman"/>
          <w:color w:val="auto"/>
          <w:kern w:val="0"/>
          <w:sz w:val="24"/>
          <w:szCs w:val="20"/>
          <w:u w:val="single" w:color="auto"/>
        </w:rPr>
        <w:t>厂</w:t>
      </w:r>
      <w:r>
        <w:rPr>
          <w:rFonts w:ascii="Times New Roman" w:hAnsi="Times New Roman" w:eastAsia="宋体" w:cs="Times New Roman"/>
          <w:color w:val="auto"/>
          <w:kern w:val="0"/>
          <w:sz w:val="24"/>
          <w:szCs w:val="20"/>
          <w:u w:val="single" w:color="auto"/>
        </w:rPr>
        <w:t>尾水执行《城镇污水处理厂污染物排放标准》（GB18918-2002）一级</w:t>
      </w:r>
      <w:r>
        <w:rPr>
          <w:rFonts w:hint="eastAsia" w:ascii="Times New Roman" w:hAnsi="Times New Roman" w:eastAsia="宋体" w:cs="Times New Roman"/>
          <w:color w:val="auto"/>
          <w:kern w:val="0"/>
          <w:sz w:val="24"/>
          <w:szCs w:val="20"/>
          <w:u w:val="single" w:color="auto"/>
          <w:lang w:val="en-US" w:eastAsia="zh-CN"/>
        </w:rPr>
        <w:t>A</w:t>
      </w:r>
      <w:r>
        <w:rPr>
          <w:rFonts w:ascii="Times New Roman" w:hAnsi="Times New Roman" w:eastAsia="宋体" w:cs="Times New Roman"/>
          <w:color w:val="auto"/>
          <w:kern w:val="0"/>
          <w:sz w:val="24"/>
          <w:szCs w:val="20"/>
          <w:u w:val="single" w:color="auto"/>
        </w:rPr>
        <w:t>标准。具体见表</w:t>
      </w:r>
      <w:r>
        <w:rPr>
          <w:rFonts w:hint="eastAsia" w:ascii="Times New Roman" w:hAnsi="Times New Roman" w:eastAsia="宋体" w:cs="Times New Roman"/>
          <w:color w:val="auto"/>
          <w:kern w:val="0"/>
          <w:sz w:val="24"/>
          <w:szCs w:val="20"/>
          <w:u w:val="single" w:color="auto"/>
        </w:rPr>
        <w:t>1</w:t>
      </w:r>
      <w:r>
        <w:rPr>
          <w:rFonts w:ascii="Times New Roman" w:hAnsi="Times New Roman" w:eastAsia="宋体" w:cs="Times New Roman"/>
          <w:color w:val="auto"/>
          <w:kern w:val="0"/>
          <w:sz w:val="24"/>
          <w:szCs w:val="20"/>
          <w:u w:val="single" w:color="auto"/>
        </w:rPr>
        <w:t>.5-</w:t>
      </w:r>
      <w:r>
        <w:rPr>
          <w:rFonts w:hint="eastAsia" w:ascii="Times New Roman" w:hAnsi="Times New Roman" w:eastAsia="宋体" w:cs="Times New Roman"/>
          <w:color w:val="auto"/>
          <w:kern w:val="0"/>
          <w:sz w:val="24"/>
          <w:szCs w:val="20"/>
          <w:u w:val="single" w:color="auto"/>
        </w:rPr>
        <w:t>4</w:t>
      </w:r>
      <w:r>
        <w:rPr>
          <w:rFonts w:ascii="Times New Roman" w:hAnsi="Times New Roman" w:eastAsia="宋体" w:cs="Times New Roman"/>
          <w:color w:val="auto"/>
          <w:kern w:val="0"/>
          <w:sz w:val="24"/>
          <w:szCs w:val="20"/>
          <w:u w:val="single" w:color="auto"/>
        </w:rPr>
        <w:t>。</w:t>
      </w:r>
    </w:p>
    <w:p w14:paraId="6CCAD8D5">
      <w:pPr>
        <w:widowControl/>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表</w:t>
      </w:r>
      <w:r>
        <w:rPr>
          <w:rFonts w:hint="eastAsia" w:ascii="Times New Roman" w:hAnsi="Times New Roman" w:eastAsia="宋体" w:cs="Times New Roman"/>
          <w:b/>
          <w:color w:val="auto"/>
          <w:szCs w:val="21"/>
          <w:u w:val="single" w:color="auto"/>
        </w:rPr>
        <w:t>1</w:t>
      </w:r>
      <w:r>
        <w:rPr>
          <w:rFonts w:ascii="Times New Roman" w:hAnsi="Times New Roman" w:eastAsia="宋体" w:cs="Times New Roman"/>
          <w:b/>
          <w:color w:val="auto"/>
          <w:szCs w:val="21"/>
          <w:u w:val="single" w:color="auto"/>
        </w:rPr>
        <w:t>.5-</w:t>
      </w:r>
      <w:r>
        <w:rPr>
          <w:rFonts w:hint="eastAsia" w:ascii="Times New Roman" w:hAnsi="Times New Roman" w:eastAsia="宋体" w:cs="Times New Roman"/>
          <w:b/>
          <w:color w:val="auto"/>
          <w:szCs w:val="21"/>
          <w:u w:val="single" w:color="auto"/>
        </w:rPr>
        <w:t>4</w:t>
      </w:r>
      <w:r>
        <w:rPr>
          <w:rFonts w:ascii="Times New Roman" w:hAnsi="Times New Roman" w:eastAsia="宋体" w:cs="Times New Roman"/>
          <w:b/>
          <w:color w:val="auto"/>
          <w:szCs w:val="21"/>
          <w:u w:val="single" w:color="auto"/>
        </w:rPr>
        <w:t xml:space="preserve"> 废水污染物排放限值单位：mg/L（PH值除外）</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1070"/>
        <w:gridCol w:w="3300"/>
        <w:gridCol w:w="3520"/>
      </w:tblGrid>
      <w:tr w14:paraId="6899F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369" w:type="pct"/>
            <w:vAlign w:val="center"/>
          </w:tcPr>
          <w:p w14:paraId="187E9DBE">
            <w:pPr>
              <w:autoSpaceDE w:val="0"/>
              <w:autoSpaceDN w:val="0"/>
              <w:jc w:val="center"/>
              <w:rPr>
                <w:rFonts w:ascii="Times New Roman" w:hAnsi="Times New Roman" w:eastAsia="宋体" w:cs="Times New Roman"/>
                <w:b/>
                <w:color w:val="auto"/>
                <w:kern w:val="0"/>
                <w:szCs w:val="21"/>
                <w:u w:val="single" w:color="auto"/>
              </w:rPr>
            </w:pPr>
            <w:bookmarkStart w:id="92" w:name="_Hlk520735484"/>
            <w:r>
              <w:rPr>
                <w:rFonts w:ascii="Times New Roman" w:hAnsi="Times New Roman" w:eastAsia="宋体" w:cs="Times New Roman"/>
                <w:b/>
                <w:color w:val="auto"/>
                <w:kern w:val="0"/>
                <w:szCs w:val="21"/>
                <w:u w:val="single" w:color="auto"/>
              </w:rPr>
              <w:t>序号</w:t>
            </w:r>
          </w:p>
        </w:tc>
        <w:tc>
          <w:tcPr>
            <w:tcW w:w="628" w:type="pct"/>
            <w:vAlign w:val="center"/>
          </w:tcPr>
          <w:p w14:paraId="750AED25">
            <w:pPr>
              <w:autoSpaceDE w:val="0"/>
              <w:autoSpaceDN w:val="0"/>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污染物</w:t>
            </w:r>
          </w:p>
        </w:tc>
        <w:tc>
          <w:tcPr>
            <w:tcW w:w="1936" w:type="pct"/>
            <w:vAlign w:val="center"/>
          </w:tcPr>
          <w:p w14:paraId="6C52587B">
            <w:pPr>
              <w:autoSpaceDE w:val="0"/>
              <w:autoSpaceDN w:val="0"/>
              <w:jc w:val="center"/>
              <w:rPr>
                <w:rFonts w:ascii="Times New Roman" w:hAnsi="Times New Roman" w:eastAsia="宋体" w:cs="Times New Roman"/>
                <w:b/>
                <w:color w:val="auto"/>
                <w:kern w:val="0"/>
                <w:szCs w:val="21"/>
                <w:u w:val="single" w:color="auto"/>
              </w:rPr>
            </w:pPr>
            <w:bookmarkStart w:id="93" w:name="_Hlk5089283"/>
            <w:r>
              <w:rPr>
                <w:rFonts w:hint="eastAsia" w:ascii="Times New Roman" w:hAnsi="Times New Roman" w:eastAsia="宋体" w:cs="Times New Roman"/>
                <w:b/>
                <w:color w:val="auto"/>
                <w:kern w:val="0"/>
                <w:szCs w:val="21"/>
                <w:u w:val="single" w:color="auto"/>
              </w:rPr>
              <w:t>大榄坪污水处理厂</w:t>
            </w:r>
            <w:r>
              <w:rPr>
                <w:rFonts w:ascii="Times New Roman" w:hAnsi="Times New Roman" w:eastAsia="宋体" w:cs="Times New Roman"/>
                <w:b/>
                <w:color w:val="auto"/>
                <w:kern w:val="0"/>
                <w:szCs w:val="21"/>
                <w:u w:val="single" w:color="auto"/>
              </w:rPr>
              <w:t>接管标准</w:t>
            </w:r>
            <w:bookmarkEnd w:id="93"/>
          </w:p>
        </w:tc>
        <w:tc>
          <w:tcPr>
            <w:tcW w:w="2065" w:type="pct"/>
            <w:vAlign w:val="center"/>
          </w:tcPr>
          <w:p w14:paraId="7E7C1CF5">
            <w:pPr>
              <w:autoSpaceDE w:val="0"/>
              <w:autoSpaceDN w:val="0"/>
              <w:jc w:val="center"/>
              <w:rPr>
                <w:rFonts w:ascii="Times New Roman" w:hAnsi="Times New Roman" w:eastAsia="宋体" w:cs="Times New Roman"/>
                <w:b/>
                <w:color w:val="auto"/>
                <w:kern w:val="0"/>
                <w:szCs w:val="21"/>
                <w:u w:val="single" w:color="auto"/>
              </w:rPr>
            </w:pPr>
            <w:r>
              <w:rPr>
                <w:rFonts w:hint="eastAsia" w:ascii="Times New Roman" w:hAnsi="Times New Roman" w:eastAsia="宋体" w:cs="Times New Roman"/>
                <w:b/>
                <w:color w:val="auto"/>
                <w:kern w:val="0"/>
                <w:szCs w:val="21"/>
                <w:u w:val="single" w:color="auto"/>
              </w:rPr>
              <w:t>大榄坪污水处理厂</w:t>
            </w:r>
            <w:r>
              <w:rPr>
                <w:rFonts w:ascii="Times New Roman" w:hAnsi="Times New Roman" w:eastAsia="宋体" w:cs="Times New Roman"/>
                <w:b/>
                <w:color w:val="auto"/>
                <w:kern w:val="0"/>
                <w:szCs w:val="21"/>
                <w:u w:val="single" w:color="auto"/>
              </w:rPr>
              <w:t>排放标准</w:t>
            </w:r>
          </w:p>
        </w:tc>
      </w:tr>
      <w:tr w14:paraId="50EF1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69" w:type="pct"/>
            <w:vAlign w:val="center"/>
          </w:tcPr>
          <w:p w14:paraId="66B25FAC">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1</w:t>
            </w:r>
          </w:p>
        </w:tc>
        <w:tc>
          <w:tcPr>
            <w:tcW w:w="628" w:type="pct"/>
            <w:vAlign w:val="center"/>
          </w:tcPr>
          <w:p w14:paraId="0B18C86C">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PH</w:t>
            </w:r>
          </w:p>
        </w:tc>
        <w:tc>
          <w:tcPr>
            <w:tcW w:w="3300" w:type="dxa"/>
            <w:vAlign w:val="center"/>
          </w:tcPr>
          <w:p w14:paraId="4AAC4DE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0"/>
                <w:szCs w:val="21"/>
                <w:u w:val="single" w:color="auto"/>
              </w:rPr>
            </w:pPr>
            <w:r>
              <w:rPr>
                <w:rFonts w:ascii="Times New Roman" w:hAnsi="Times New Roman" w:eastAsia="Times New Roman" w:cs="Times New Roman"/>
                <w:color w:val="auto"/>
                <w:spacing w:val="1"/>
                <w:sz w:val="21"/>
                <w:szCs w:val="21"/>
                <w:u w:val="single" w:color="auto"/>
              </w:rPr>
              <w:t>6~9</w:t>
            </w:r>
          </w:p>
        </w:tc>
        <w:tc>
          <w:tcPr>
            <w:tcW w:w="2065" w:type="pct"/>
            <w:vAlign w:val="center"/>
          </w:tcPr>
          <w:p w14:paraId="4ED562DC">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6~9</w:t>
            </w:r>
          </w:p>
        </w:tc>
      </w:tr>
      <w:tr w14:paraId="3D647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69" w:type="pct"/>
            <w:vAlign w:val="center"/>
          </w:tcPr>
          <w:p w14:paraId="12853A4D">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2</w:t>
            </w:r>
          </w:p>
        </w:tc>
        <w:tc>
          <w:tcPr>
            <w:tcW w:w="628" w:type="pct"/>
            <w:vAlign w:val="center"/>
          </w:tcPr>
          <w:p w14:paraId="3BCECDF1">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COD</w:t>
            </w:r>
          </w:p>
        </w:tc>
        <w:tc>
          <w:tcPr>
            <w:tcW w:w="3300" w:type="dxa"/>
            <w:vAlign w:val="center"/>
          </w:tcPr>
          <w:p w14:paraId="0281ABD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spacing w:val="2"/>
                <w:sz w:val="21"/>
                <w:szCs w:val="21"/>
                <w:u w:val="single" w:color="auto"/>
                <w:lang w:val="en-US" w:eastAsia="zh-CN"/>
              </w:rPr>
              <w:t>450</w:t>
            </w:r>
          </w:p>
        </w:tc>
        <w:tc>
          <w:tcPr>
            <w:tcW w:w="2065" w:type="pct"/>
            <w:vAlign w:val="center"/>
          </w:tcPr>
          <w:p w14:paraId="688DF6FD">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5</w:t>
            </w:r>
            <w:r>
              <w:rPr>
                <w:rFonts w:ascii="Times New Roman" w:hAnsi="Times New Roman" w:eastAsia="宋体" w:cs="Times New Roman"/>
                <w:color w:val="auto"/>
                <w:kern w:val="0"/>
                <w:szCs w:val="21"/>
                <w:u w:val="single" w:color="auto"/>
              </w:rPr>
              <w:t>0</w:t>
            </w:r>
          </w:p>
        </w:tc>
      </w:tr>
      <w:tr w14:paraId="167ED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69" w:type="pct"/>
            <w:vAlign w:val="center"/>
          </w:tcPr>
          <w:p w14:paraId="21FA5581">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3</w:t>
            </w:r>
          </w:p>
        </w:tc>
        <w:tc>
          <w:tcPr>
            <w:tcW w:w="628" w:type="pct"/>
            <w:vAlign w:val="center"/>
          </w:tcPr>
          <w:p w14:paraId="17C8108E">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氨氮</w:t>
            </w:r>
          </w:p>
        </w:tc>
        <w:tc>
          <w:tcPr>
            <w:tcW w:w="1936" w:type="pct"/>
            <w:vAlign w:val="center"/>
          </w:tcPr>
          <w:p w14:paraId="1F73D877">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3</w:t>
            </w:r>
            <w:r>
              <w:rPr>
                <w:rFonts w:hint="eastAsia" w:ascii="Times New Roman" w:hAnsi="Times New Roman" w:eastAsia="宋体" w:cs="Times New Roman"/>
                <w:color w:val="auto"/>
                <w:kern w:val="0"/>
                <w:szCs w:val="21"/>
                <w:u w:val="single" w:color="auto"/>
              </w:rPr>
              <w:t>5</w:t>
            </w:r>
          </w:p>
        </w:tc>
        <w:tc>
          <w:tcPr>
            <w:tcW w:w="2065" w:type="pct"/>
            <w:vAlign w:val="center"/>
          </w:tcPr>
          <w:p w14:paraId="1CC1851A">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5</w:t>
            </w:r>
            <w:r>
              <w:rPr>
                <w:rFonts w:hint="eastAsia" w:ascii="Times New Roman" w:hAnsi="Times New Roman" w:eastAsia="宋体" w:cs="Times New Roman"/>
                <w:color w:val="auto"/>
                <w:kern w:val="0"/>
                <w:szCs w:val="21"/>
                <w:u w:val="single" w:color="auto"/>
              </w:rPr>
              <w:t>（</w:t>
            </w:r>
            <w:r>
              <w:rPr>
                <w:rFonts w:hint="eastAsia" w:ascii="Times New Roman" w:hAnsi="Times New Roman" w:eastAsia="宋体" w:cs="Times New Roman"/>
                <w:color w:val="auto"/>
                <w:kern w:val="0"/>
                <w:szCs w:val="21"/>
                <w:u w:val="single" w:color="auto"/>
                <w:lang w:val="en-US" w:eastAsia="zh-CN"/>
              </w:rPr>
              <w:t>8</w:t>
            </w:r>
            <w:r>
              <w:rPr>
                <w:rFonts w:hint="eastAsia" w:ascii="Times New Roman" w:hAnsi="Times New Roman" w:eastAsia="宋体" w:cs="Times New Roman"/>
                <w:color w:val="auto"/>
                <w:kern w:val="0"/>
                <w:szCs w:val="21"/>
                <w:u w:val="single" w:color="auto"/>
              </w:rPr>
              <w:t>）</w:t>
            </w:r>
          </w:p>
        </w:tc>
      </w:tr>
      <w:tr w14:paraId="2F57D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69" w:type="pct"/>
            <w:vAlign w:val="center"/>
          </w:tcPr>
          <w:p w14:paraId="5E0D39BA">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4</w:t>
            </w:r>
          </w:p>
        </w:tc>
        <w:tc>
          <w:tcPr>
            <w:tcW w:w="628" w:type="pct"/>
            <w:vAlign w:val="center"/>
          </w:tcPr>
          <w:p w14:paraId="6F3F389A">
            <w:pPr>
              <w:autoSpaceDE w:val="0"/>
              <w:autoSpaceDN w:val="0"/>
              <w:jc w:val="center"/>
              <w:rPr>
                <w:rFonts w:hint="eastAsia"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总氮</w:t>
            </w:r>
          </w:p>
        </w:tc>
        <w:tc>
          <w:tcPr>
            <w:tcW w:w="1936" w:type="pct"/>
            <w:vAlign w:val="center"/>
          </w:tcPr>
          <w:p w14:paraId="32B56CE4">
            <w:pPr>
              <w:autoSpaceDE w:val="0"/>
              <w:autoSpaceDN w:val="0"/>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45</w:t>
            </w:r>
          </w:p>
        </w:tc>
        <w:tc>
          <w:tcPr>
            <w:tcW w:w="2065" w:type="pct"/>
            <w:vAlign w:val="center"/>
          </w:tcPr>
          <w:p w14:paraId="3A787799">
            <w:pPr>
              <w:autoSpaceDE w:val="0"/>
              <w:autoSpaceDN w:val="0"/>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15</w:t>
            </w:r>
          </w:p>
        </w:tc>
      </w:tr>
      <w:tr w14:paraId="60A27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69" w:type="pct"/>
            <w:vAlign w:val="center"/>
          </w:tcPr>
          <w:p w14:paraId="2544F20D">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5</w:t>
            </w:r>
          </w:p>
        </w:tc>
        <w:tc>
          <w:tcPr>
            <w:tcW w:w="1070" w:type="dxa"/>
            <w:vAlign w:val="center"/>
          </w:tcPr>
          <w:p w14:paraId="4EF6B6DD">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石油类</w:t>
            </w:r>
          </w:p>
        </w:tc>
        <w:tc>
          <w:tcPr>
            <w:tcW w:w="3300" w:type="dxa"/>
            <w:vAlign w:val="center"/>
          </w:tcPr>
          <w:p w14:paraId="4FE2B0A7">
            <w:pPr>
              <w:autoSpaceDE w:val="0"/>
              <w:autoSpaceDN w:val="0"/>
              <w:jc w:val="center"/>
              <w:rPr>
                <w:rFonts w:hint="eastAsia"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w:t>
            </w:r>
          </w:p>
        </w:tc>
        <w:tc>
          <w:tcPr>
            <w:tcW w:w="3520" w:type="dxa"/>
            <w:vAlign w:val="center"/>
          </w:tcPr>
          <w:p w14:paraId="62E77A16">
            <w:pPr>
              <w:autoSpaceDE w:val="0"/>
              <w:autoSpaceDN w:val="0"/>
              <w:jc w:val="center"/>
              <w:rPr>
                <w:rFonts w:hint="eastAsia" w:ascii="Times New Roman" w:hAnsi="Times New Roman" w:eastAsia="宋体" w:cs="Times New Roman"/>
                <w:color w:val="auto"/>
                <w:kern w:val="0"/>
                <w:szCs w:val="21"/>
                <w:u w:val="single" w:color="auto"/>
                <w:lang w:eastAsia="zh-CN"/>
              </w:rPr>
            </w:pPr>
            <w:r>
              <w:rPr>
                <w:rFonts w:hint="eastAsia" w:ascii="Times New Roman" w:hAnsi="Times New Roman" w:eastAsia="宋体" w:cs="Times New Roman"/>
                <w:color w:val="auto"/>
                <w:kern w:val="0"/>
                <w:szCs w:val="21"/>
                <w:u w:val="single" w:color="auto"/>
                <w:lang w:val="en-US" w:eastAsia="zh-CN"/>
              </w:rPr>
              <w:t>1</w:t>
            </w:r>
          </w:p>
        </w:tc>
      </w:tr>
      <w:tr w14:paraId="1A150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369" w:type="pct"/>
            <w:vAlign w:val="center"/>
          </w:tcPr>
          <w:p w14:paraId="56C65B8F">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6</w:t>
            </w:r>
          </w:p>
        </w:tc>
        <w:tc>
          <w:tcPr>
            <w:tcW w:w="1070" w:type="dxa"/>
            <w:vAlign w:val="center"/>
          </w:tcPr>
          <w:p w14:paraId="521928FB">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SS</w:t>
            </w:r>
          </w:p>
        </w:tc>
        <w:tc>
          <w:tcPr>
            <w:tcW w:w="3300" w:type="dxa"/>
            <w:vAlign w:val="center"/>
          </w:tcPr>
          <w:p w14:paraId="7B7C4C91">
            <w:pPr>
              <w:autoSpaceDE w:val="0"/>
              <w:autoSpaceDN w:val="0"/>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300</w:t>
            </w:r>
          </w:p>
        </w:tc>
        <w:tc>
          <w:tcPr>
            <w:tcW w:w="3520" w:type="dxa"/>
            <w:vAlign w:val="center"/>
          </w:tcPr>
          <w:p w14:paraId="77376FE3">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1</w:t>
            </w:r>
            <w:r>
              <w:rPr>
                <w:rFonts w:hint="eastAsia" w:ascii="Times New Roman" w:hAnsi="Times New Roman" w:eastAsia="宋体" w:cs="Times New Roman"/>
                <w:color w:val="auto"/>
                <w:kern w:val="0"/>
                <w:szCs w:val="21"/>
                <w:u w:val="single" w:color="auto"/>
              </w:rPr>
              <w:t>0</w:t>
            </w:r>
          </w:p>
        </w:tc>
      </w:tr>
      <w:tr w14:paraId="21497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369" w:type="pct"/>
            <w:vAlign w:val="center"/>
          </w:tcPr>
          <w:p w14:paraId="6AD7F4B9">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7</w:t>
            </w:r>
          </w:p>
        </w:tc>
        <w:tc>
          <w:tcPr>
            <w:tcW w:w="1070" w:type="dxa"/>
            <w:vAlign w:val="center"/>
          </w:tcPr>
          <w:p w14:paraId="7CC5EA9E">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BOD</w:t>
            </w:r>
            <w:r>
              <w:rPr>
                <w:rFonts w:ascii="Times New Roman" w:hAnsi="Times New Roman" w:eastAsia="宋体" w:cs="Times New Roman"/>
                <w:color w:val="auto"/>
                <w:kern w:val="0"/>
                <w:szCs w:val="21"/>
                <w:u w:val="single" w:color="auto"/>
                <w:vertAlign w:val="subscript"/>
              </w:rPr>
              <w:t>5</w:t>
            </w:r>
          </w:p>
        </w:tc>
        <w:tc>
          <w:tcPr>
            <w:tcW w:w="3300" w:type="dxa"/>
            <w:vAlign w:val="center"/>
          </w:tcPr>
          <w:p w14:paraId="56284344">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200</w:t>
            </w:r>
          </w:p>
        </w:tc>
        <w:tc>
          <w:tcPr>
            <w:tcW w:w="3520" w:type="dxa"/>
            <w:vAlign w:val="center"/>
          </w:tcPr>
          <w:p w14:paraId="0D1828DA">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1</w:t>
            </w:r>
            <w:r>
              <w:rPr>
                <w:rFonts w:hint="eastAsia" w:ascii="Times New Roman" w:hAnsi="Times New Roman" w:eastAsia="宋体" w:cs="Times New Roman"/>
                <w:color w:val="auto"/>
                <w:kern w:val="0"/>
                <w:szCs w:val="21"/>
                <w:u w:val="single" w:color="auto"/>
              </w:rPr>
              <w:t>0</w:t>
            </w:r>
          </w:p>
        </w:tc>
      </w:tr>
      <w:tr w14:paraId="4778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369" w:type="pct"/>
            <w:vAlign w:val="center"/>
          </w:tcPr>
          <w:p w14:paraId="537952CE">
            <w:pPr>
              <w:autoSpaceDE w:val="0"/>
              <w:autoSpaceDN w:val="0"/>
              <w:jc w:val="center"/>
              <w:rPr>
                <w:rFonts w:hint="eastAsia" w:ascii="Times New Roman" w:hAnsi="Times New Roman" w:eastAsia="宋体" w:cs="Times New Roman"/>
                <w:color w:val="auto"/>
                <w:kern w:val="0"/>
                <w:szCs w:val="21"/>
                <w:u w:val="single" w:color="auto"/>
                <w:lang w:val="en-US" w:eastAsia="zh-CN"/>
              </w:rPr>
            </w:pPr>
            <w:bookmarkStart w:id="94" w:name="_Toc3728137"/>
            <w:r>
              <w:rPr>
                <w:rFonts w:hint="eastAsia" w:ascii="Times New Roman" w:hAnsi="Times New Roman" w:eastAsia="宋体" w:cs="Times New Roman"/>
                <w:color w:val="auto"/>
                <w:kern w:val="0"/>
                <w:szCs w:val="21"/>
                <w:u w:val="single" w:color="auto"/>
                <w:lang w:val="en-US" w:eastAsia="zh-CN"/>
              </w:rPr>
              <w:t>8</w:t>
            </w:r>
          </w:p>
        </w:tc>
        <w:tc>
          <w:tcPr>
            <w:tcW w:w="1070" w:type="dxa"/>
            <w:vAlign w:val="center"/>
          </w:tcPr>
          <w:p w14:paraId="0D276F04">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总磷</w:t>
            </w:r>
          </w:p>
        </w:tc>
        <w:tc>
          <w:tcPr>
            <w:tcW w:w="3300" w:type="dxa"/>
            <w:vAlign w:val="center"/>
          </w:tcPr>
          <w:p w14:paraId="33B0F616">
            <w:pPr>
              <w:autoSpaceDE w:val="0"/>
              <w:autoSpaceDN w:val="0"/>
              <w:jc w:val="center"/>
              <w:rPr>
                <w:rFonts w:hint="eastAsia" w:ascii="Times New Roman" w:hAnsi="Times New Roman" w:eastAsia="宋体" w:cs="Times New Roman"/>
                <w:color w:val="auto"/>
                <w:kern w:val="0"/>
                <w:szCs w:val="21"/>
                <w:u w:val="single" w:color="auto"/>
                <w:lang w:eastAsia="zh-CN"/>
              </w:rPr>
            </w:pPr>
            <w:r>
              <w:rPr>
                <w:rFonts w:hint="eastAsia" w:ascii="Times New Roman" w:hAnsi="Times New Roman" w:eastAsia="宋体" w:cs="Times New Roman"/>
                <w:color w:val="auto"/>
                <w:kern w:val="0"/>
                <w:szCs w:val="21"/>
                <w:u w:val="single" w:color="auto"/>
                <w:lang w:val="en-US" w:eastAsia="zh-CN"/>
              </w:rPr>
              <w:t>5</w:t>
            </w:r>
          </w:p>
        </w:tc>
        <w:tc>
          <w:tcPr>
            <w:tcW w:w="3520" w:type="dxa"/>
            <w:vAlign w:val="center"/>
          </w:tcPr>
          <w:p w14:paraId="779111AC">
            <w:pPr>
              <w:autoSpaceDE w:val="0"/>
              <w:autoSpaceDN w:val="0"/>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0.5</w:t>
            </w:r>
          </w:p>
        </w:tc>
      </w:tr>
      <w:bookmarkEnd w:id="92"/>
    </w:tbl>
    <w:p w14:paraId="177D806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.5.3</w:t>
      </w:r>
      <w:bookmarkEnd w:id="94"/>
      <w:r>
        <w:rPr>
          <w:rFonts w:hint="eastAsia" w:ascii="Times New Roman" w:hAnsi="Times New Roman" w:eastAsia="宋体" w:cs="Times New Roman"/>
          <w:b/>
          <w:color w:val="auto"/>
          <w:kern w:val="0"/>
          <w:sz w:val="28"/>
          <w:szCs w:val="20"/>
          <w:u w:val="none" w:color="auto"/>
        </w:rPr>
        <w:t>噪声</w:t>
      </w:r>
    </w:p>
    <w:p w14:paraId="3314BA0E">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施工期执行《建筑施工场界环境噪声排放标准》（GB2523-2011），</w:t>
      </w:r>
      <w:r>
        <w:rPr>
          <w:rFonts w:hint="eastAsia" w:ascii="Times New Roman" w:hAnsi="Times New Roman" w:eastAsia="宋体" w:cs="Times New Roman"/>
          <w:color w:val="auto"/>
          <w:kern w:val="0"/>
          <w:sz w:val="24"/>
          <w:szCs w:val="20"/>
          <w:u w:val="none" w:color="auto"/>
        </w:rPr>
        <w:t>营运</w:t>
      </w:r>
      <w:r>
        <w:rPr>
          <w:rFonts w:ascii="Times New Roman" w:hAnsi="Times New Roman" w:eastAsia="宋体" w:cs="Times New Roman"/>
          <w:color w:val="auto"/>
          <w:kern w:val="0"/>
          <w:sz w:val="24"/>
          <w:szCs w:val="20"/>
          <w:u w:val="none" w:color="auto"/>
        </w:rPr>
        <w:t>期厂界噪声执行《工业企业厂界环境噪声排放标准》（GB12348-2008）中的3类标准，具体标准值见表</w:t>
      </w:r>
      <w:r>
        <w:rPr>
          <w:rFonts w:hint="eastAsia" w:ascii="Times New Roman" w:hAnsi="Times New Roman" w:eastAsia="宋体" w:cs="Times New Roman"/>
          <w:color w:val="auto"/>
          <w:kern w:val="0"/>
          <w:sz w:val="24"/>
          <w:szCs w:val="20"/>
          <w:u w:val="none" w:color="auto"/>
        </w:rPr>
        <w:t>1</w:t>
      </w:r>
      <w:r>
        <w:rPr>
          <w:rFonts w:ascii="Times New Roman" w:hAnsi="Times New Roman" w:eastAsia="宋体" w:cs="Times New Roman"/>
          <w:color w:val="auto"/>
          <w:kern w:val="0"/>
          <w:sz w:val="24"/>
          <w:szCs w:val="20"/>
          <w:u w:val="none" w:color="auto"/>
        </w:rPr>
        <w:t>.5-</w:t>
      </w:r>
      <w:r>
        <w:rPr>
          <w:rFonts w:hint="eastAsia" w:ascii="Times New Roman" w:hAnsi="Times New Roman" w:eastAsia="宋体" w:cs="Times New Roman"/>
          <w:color w:val="auto"/>
          <w:kern w:val="0"/>
          <w:sz w:val="24"/>
          <w:szCs w:val="20"/>
          <w:u w:val="none" w:color="auto"/>
        </w:rPr>
        <w:t>5</w:t>
      </w:r>
      <w:r>
        <w:rPr>
          <w:rFonts w:ascii="Times New Roman" w:hAnsi="Times New Roman" w:eastAsia="宋体" w:cs="Times New Roman"/>
          <w:color w:val="auto"/>
          <w:kern w:val="0"/>
          <w:sz w:val="24"/>
          <w:szCs w:val="20"/>
          <w:u w:val="none" w:color="auto"/>
        </w:rPr>
        <w:t>、表</w:t>
      </w:r>
      <w:r>
        <w:rPr>
          <w:rFonts w:hint="eastAsia" w:ascii="Times New Roman" w:hAnsi="Times New Roman" w:eastAsia="宋体" w:cs="Times New Roman"/>
          <w:color w:val="auto"/>
          <w:kern w:val="0"/>
          <w:sz w:val="24"/>
          <w:szCs w:val="20"/>
          <w:u w:val="none" w:color="auto"/>
        </w:rPr>
        <w:t>1</w:t>
      </w:r>
      <w:r>
        <w:rPr>
          <w:rFonts w:ascii="Times New Roman" w:hAnsi="Times New Roman" w:eastAsia="宋体" w:cs="Times New Roman"/>
          <w:color w:val="auto"/>
          <w:kern w:val="0"/>
          <w:sz w:val="24"/>
          <w:szCs w:val="20"/>
          <w:u w:val="none" w:color="auto"/>
        </w:rPr>
        <w:t>.5-</w:t>
      </w:r>
      <w:r>
        <w:rPr>
          <w:rFonts w:hint="eastAsia" w:ascii="Times New Roman" w:hAnsi="Times New Roman" w:eastAsia="宋体" w:cs="Times New Roman"/>
          <w:color w:val="auto"/>
          <w:kern w:val="0"/>
          <w:sz w:val="24"/>
          <w:szCs w:val="20"/>
          <w:u w:val="none" w:color="auto"/>
        </w:rPr>
        <w:t>6</w:t>
      </w:r>
      <w:r>
        <w:rPr>
          <w:rFonts w:ascii="Times New Roman" w:hAnsi="Times New Roman" w:eastAsia="宋体" w:cs="Times New Roman"/>
          <w:color w:val="auto"/>
          <w:kern w:val="0"/>
          <w:sz w:val="24"/>
          <w:szCs w:val="20"/>
          <w:u w:val="none" w:color="auto"/>
        </w:rPr>
        <w:t>。</w:t>
      </w:r>
    </w:p>
    <w:p w14:paraId="0FAC835F">
      <w:pPr>
        <w:autoSpaceDE w:val="0"/>
        <w:autoSpaceDN w:val="0"/>
        <w:adjustRightInd w:val="0"/>
        <w:jc w:val="center"/>
        <w:rPr>
          <w:rFonts w:ascii="Times New Roman" w:hAnsi="Times New Roman" w:eastAsia="宋体" w:cs="Times New Roman"/>
          <w:b/>
          <w:bCs/>
          <w:color w:val="auto"/>
          <w:kern w:val="0"/>
          <w:szCs w:val="21"/>
          <w:u w:val="none" w:color="auto"/>
        </w:rPr>
      </w:pPr>
      <w:r>
        <w:rPr>
          <w:rFonts w:ascii="Times New Roman" w:hAnsi="Times New Roman" w:eastAsia="宋体" w:cs="Times New Roman"/>
          <w:b/>
          <w:bCs/>
          <w:color w:val="auto"/>
          <w:kern w:val="0"/>
          <w:szCs w:val="21"/>
          <w:u w:val="none" w:color="auto"/>
        </w:rPr>
        <w:t>表</w:t>
      </w:r>
      <w:r>
        <w:rPr>
          <w:rFonts w:hint="eastAsia" w:ascii="Times New Roman" w:hAnsi="Times New Roman" w:eastAsia="宋体" w:cs="Times New Roman"/>
          <w:b/>
          <w:bCs/>
          <w:color w:val="auto"/>
          <w:kern w:val="0"/>
          <w:szCs w:val="21"/>
          <w:u w:val="none" w:color="auto"/>
        </w:rPr>
        <w:t>1</w:t>
      </w:r>
      <w:r>
        <w:rPr>
          <w:rFonts w:ascii="Times New Roman" w:hAnsi="Times New Roman" w:eastAsia="宋体" w:cs="Times New Roman"/>
          <w:b/>
          <w:bCs/>
          <w:color w:val="auto"/>
          <w:kern w:val="0"/>
          <w:szCs w:val="21"/>
          <w:u w:val="none" w:color="auto"/>
        </w:rPr>
        <w:t>.5-</w:t>
      </w:r>
      <w:r>
        <w:rPr>
          <w:rFonts w:hint="eastAsia" w:ascii="Times New Roman" w:hAnsi="Times New Roman" w:eastAsia="宋体" w:cs="Times New Roman"/>
          <w:b/>
          <w:bCs/>
          <w:color w:val="auto"/>
          <w:kern w:val="0"/>
          <w:szCs w:val="21"/>
          <w:u w:val="none" w:color="auto"/>
        </w:rPr>
        <w:t>5</w:t>
      </w:r>
      <w:r>
        <w:rPr>
          <w:rFonts w:ascii="Times New Roman" w:hAnsi="Times New Roman" w:eastAsia="宋体" w:cs="Times New Roman"/>
          <w:b/>
          <w:bCs/>
          <w:color w:val="auto"/>
          <w:kern w:val="0"/>
          <w:szCs w:val="21"/>
          <w:u w:val="none" w:color="auto"/>
        </w:rPr>
        <w:t xml:space="preserve"> 施工期执行的场界环境噪声排放标准</w:t>
      </w:r>
    </w:p>
    <w:tbl>
      <w:tblPr>
        <w:tblStyle w:val="3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1363"/>
        <w:gridCol w:w="5802"/>
      </w:tblGrid>
      <w:tr w14:paraId="0C774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vAlign w:val="center"/>
          </w:tcPr>
          <w:p w14:paraId="18D2A3CC">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昼间dB（A）</w:t>
            </w:r>
          </w:p>
        </w:tc>
        <w:tc>
          <w:tcPr>
            <w:tcW w:w="1363" w:type="dxa"/>
            <w:vAlign w:val="center"/>
          </w:tcPr>
          <w:p w14:paraId="5296DCA0">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夜间dB（A）</w:t>
            </w:r>
          </w:p>
        </w:tc>
        <w:tc>
          <w:tcPr>
            <w:tcW w:w="5802" w:type="dxa"/>
            <w:vAlign w:val="center"/>
          </w:tcPr>
          <w:p w14:paraId="157E3036">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标准来源</w:t>
            </w:r>
          </w:p>
        </w:tc>
      </w:tr>
      <w:tr w14:paraId="5E8AC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3" w:type="dxa"/>
            <w:vAlign w:val="center"/>
          </w:tcPr>
          <w:p w14:paraId="0DA63CFC">
            <w:pPr>
              <w:autoSpaceDE w:val="0"/>
              <w:autoSpaceDN w:val="0"/>
              <w:jc w:val="center"/>
              <w:rPr>
                <w:rFonts w:ascii="Times New Roman" w:hAnsi="Times New Roman" w:eastAsia="宋体" w:cs="Times New Roman"/>
                <w:b w:val="0"/>
                <w:bCs/>
                <w:color w:val="auto"/>
                <w:kern w:val="0"/>
                <w:szCs w:val="21"/>
                <w:u w:val="none" w:color="auto"/>
              </w:rPr>
            </w:pPr>
            <w:r>
              <w:rPr>
                <w:rFonts w:ascii="Times New Roman" w:hAnsi="Times New Roman" w:eastAsia="宋体" w:cs="Times New Roman"/>
                <w:b w:val="0"/>
                <w:bCs/>
                <w:color w:val="auto"/>
                <w:kern w:val="0"/>
                <w:szCs w:val="21"/>
                <w:u w:val="none" w:color="auto"/>
              </w:rPr>
              <w:t>70</w:t>
            </w:r>
          </w:p>
        </w:tc>
        <w:tc>
          <w:tcPr>
            <w:tcW w:w="1363" w:type="dxa"/>
            <w:vAlign w:val="center"/>
          </w:tcPr>
          <w:p w14:paraId="3502B21F">
            <w:pPr>
              <w:autoSpaceDE w:val="0"/>
              <w:autoSpaceDN w:val="0"/>
              <w:jc w:val="center"/>
              <w:rPr>
                <w:rFonts w:ascii="Times New Roman" w:hAnsi="Times New Roman" w:eastAsia="宋体" w:cs="Times New Roman"/>
                <w:b w:val="0"/>
                <w:bCs/>
                <w:color w:val="auto"/>
                <w:kern w:val="0"/>
                <w:szCs w:val="21"/>
                <w:u w:val="none" w:color="auto"/>
              </w:rPr>
            </w:pPr>
            <w:r>
              <w:rPr>
                <w:rFonts w:ascii="Times New Roman" w:hAnsi="Times New Roman" w:eastAsia="宋体" w:cs="Times New Roman"/>
                <w:b w:val="0"/>
                <w:bCs/>
                <w:color w:val="auto"/>
                <w:kern w:val="0"/>
                <w:szCs w:val="21"/>
                <w:u w:val="none" w:color="auto"/>
              </w:rPr>
              <w:t>55</w:t>
            </w:r>
          </w:p>
        </w:tc>
        <w:tc>
          <w:tcPr>
            <w:tcW w:w="5802" w:type="dxa"/>
            <w:vAlign w:val="center"/>
          </w:tcPr>
          <w:p w14:paraId="4BB03FB6">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color w:val="auto"/>
                <w:kern w:val="0"/>
                <w:szCs w:val="21"/>
                <w:u w:val="none" w:color="auto"/>
              </w:rPr>
              <w:t>《建筑施工场界环境噪声排放标准》（GB2523-2011）</w:t>
            </w:r>
          </w:p>
        </w:tc>
      </w:tr>
    </w:tbl>
    <w:p w14:paraId="6B59CF93">
      <w:pPr>
        <w:widowControl/>
        <w:autoSpaceDE w:val="0"/>
        <w:autoSpaceDN w:val="0"/>
        <w:jc w:val="left"/>
        <w:rPr>
          <w:rFonts w:ascii="Times New Roman" w:hAnsi="Times New Roman" w:eastAsia="宋体" w:cs="Times New Roman"/>
          <w:b/>
          <w:bCs/>
          <w:color w:val="auto"/>
          <w:kern w:val="0"/>
          <w:szCs w:val="21"/>
          <w:u w:val="none" w:color="auto"/>
        </w:rPr>
      </w:pPr>
    </w:p>
    <w:p w14:paraId="1DEC9636">
      <w:pPr>
        <w:widowControl/>
        <w:autoSpaceDE w:val="0"/>
        <w:autoSpaceDN w:val="0"/>
        <w:jc w:val="center"/>
        <w:rPr>
          <w:rFonts w:ascii="Times New Roman" w:hAnsi="Times New Roman" w:eastAsia="宋体" w:cs="Times New Roman"/>
          <w:b/>
          <w:bCs/>
          <w:color w:val="auto"/>
          <w:kern w:val="0"/>
          <w:szCs w:val="21"/>
          <w:u w:val="none" w:color="auto"/>
        </w:rPr>
      </w:pPr>
      <w:r>
        <w:rPr>
          <w:rFonts w:ascii="Times New Roman" w:hAnsi="Times New Roman" w:eastAsia="宋体" w:cs="Times New Roman"/>
          <w:b/>
          <w:bCs/>
          <w:color w:val="auto"/>
          <w:kern w:val="0"/>
          <w:szCs w:val="21"/>
          <w:u w:val="none" w:color="auto"/>
        </w:rPr>
        <w:t>表</w:t>
      </w:r>
      <w:r>
        <w:rPr>
          <w:rFonts w:hint="eastAsia" w:ascii="Times New Roman" w:hAnsi="Times New Roman" w:eastAsia="宋体" w:cs="Times New Roman"/>
          <w:b/>
          <w:bCs/>
          <w:color w:val="auto"/>
          <w:kern w:val="0"/>
          <w:szCs w:val="21"/>
          <w:u w:val="none" w:color="auto"/>
        </w:rPr>
        <w:t>1</w:t>
      </w:r>
      <w:r>
        <w:rPr>
          <w:rFonts w:ascii="Times New Roman" w:hAnsi="Times New Roman" w:eastAsia="宋体" w:cs="Times New Roman"/>
          <w:b/>
          <w:bCs/>
          <w:color w:val="auto"/>
          <w:kern w:val="0"/>
          <w:szCs w:val="21"/>
          <w:u w:val="none" w:color="auto"/>
        </w:rPr>
        <w:t>.5-</w:t>
      </w:r>
      <w:r>
        <w:rPr>
          <w:rFonts w:hint="eastAsia" w:ascii="Times New Roman" w:hAnsi="Times New Roman" w:eastAsia="宋体" w:cs="Times New Roman"/>
          <w:b/>
          <w:bCs/>
          <w:color w:val="auto"/>
          <w:kern w:val="0"/>
          <w:szCs w:val="21"/>
          <w:u w:val="none" w:color="auto"/>
        </w:rPr>
        <w:t>6</w:t>
      </w:r>
      <w:r>
        <w:rPr>
          <w:rFonts w:ascii="Times New Roman" w:hAnsi="Times New Roman" w:eastAsia="宋体" w:cs="Times New Roman"/>
          <w:b/>
          <w:bCs/>
          <w:color w:val="auto"/>
          <w:kern w:val="0"/>
          <w:szCs w:val="21"/>
          <w:u w:val="none" w:color="auto"/>
        </w:rPr>
        <w:t xml:space="preserve"> </w:t>
      </w:r>
      <w:r>
        <w:rPr>
          <w:rFonts w:hint="eastAsia" w:ascii="Times New Roman" w:hAnsi="Times New Roman" w:eastAsia="宋体" w:cs="Times New Roman"/>
          <w:b/>
          <w:bCs/>
          <w:color w:val="auto"/>
          <w:kern w:val="0"/>
          <w:szCs w:val="21"/>
          <w:u w:val="none" w:color="auto"/>
        </w:rPr>
        <w:t>营运期</w:t>
      </w:r>
      <w:r>
        <w:rPr>
          <w:rFonts w:ascii="Times New Roman" w:hAnsi="Times New Roman" w:eastAsia="宋体" w:cs="Times New Roman"/>
          <w:b/>
          <w:bCs/>
          <w:color w:val="auto"/>
          <w:kern w:val="0"/>
          <w:szCs w:val="21"/>
          <w:u w:val="none" w:color="auto"/>
        </w:rPr>
        <w:t>项目厂界噪声执行标准限值单位：dB（A）</w:t>
      </w:r>
    </w:p>
    <w:tbl>
      <w:tblPr>
        <w:tblStyle w:val="37"/>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4"/>
        <w:gridCol w:w="2842"/>
        <w:gridCol w:w="2842"/>
      </w:tblGrid>
      <w:tr w14:paraId="6017A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4" w:type="dxa"/>
            <w:vMerge w:val="restart"/>
            <w:vAlign w:val="center"/>
          </w:tcPr>
          <w:p w14:paraId="2DD90D1E">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项目</w:t>
            </w:r>
          </w:p>
        </w:tc>
        <w:tc>
          <w:tcPr>
            <w:tcW w:w="2842" w:type="dxa"/>
            <w:vAlign w:val="center"/>
          </w:tcPr>
          <w:p w14:paraId="7711282E">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标准值dB（A）</w:t>
            </w:r>
          </w:p>
        </w:tc>
        <w:tc>
          <w:tcPr>
            <w:tcW w:w="2842" w:type="dxa"/>
            <w:vMerge w:val="restart"/>
            <w:vAlign w:val="center"/>
          </w:tcPr>
          <w:p w14:paraId="7686CFB6">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标准来源</w:t>
            </w:r>
          </w:p>
        </w:tc>
      </w:tr>
      <w:tr w14:paraId="6DDC2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4" w:type="dxa"/>
            <w:vMerge w:val="continue"/>
            <w:vAlign w:val="center"/>
          </w:tcPr>
          <w:p w14:paraId="1F3A300D">
            <w:pPr>
              <w:autoSpaceDE w:val="0"/>
              <w:autoSpaceDN w:val="0"/>
              <w:adjustRightInd w:val="0"/>
              <w:jc w:val="center"/>
              <w:rPr>
                <w:rFonts w:ascii="Times New Roman" w:hAnsi="Times New Roman" w:eastAsia="宋体" w:cs="Times New Roman"/>
                <w:b/>
                <w:color w:val="auto"/>
                <w:kern w:val="0"/>
                <w:szCs w:val="21"/>
                <w:u w:val="none" w:color="auto"/>
              </w:rPr>
            </w:pPr>
          </w:p>
        </w:tc>
        <w:tc>
          <w:tcPr>
            <w:tcW w:w="2842" w:type="dxa"/>
            <w:vAlign w:val="center"/>
          </w:tcPr>
          <w:p w14:paraId="34B5C92F">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3类</w:t>
            </w:r>
          </w:p>
        </w:tc>
        <w:tc>
          <w:tcPr>
            <w:tcW w:w="2842" w:type="dxa"/>
            <w:vMerge w:val="continue"/>
            <w:vAlign w:val="center"/>
          </w:tcPr>
          <w:p w14:paraId="5C49ADED">
            <w:pPr>
              <w:autoSpaceDE w:val="0"/>
              <w:autoSpaceDN w:val="0"/>
              <w:adjustRightInd w:val="0"/>
              <w:jc w:val="center"/>
              <w:rPr>
                <w:rFonts w:ascii="Times New Roman" w:hAnsi="Times New Roman" w:eastAsia="宋体" w:cs="Times New Roman"/>
                <w:color w:val="auto"/>
                <w:kern w:val="0"/>
                <w:szCs w:val="21"/>
                <w:u w:val="none" w:color="auto"/>
              </w:rPr>
            </w:pPr>
          </w:p>
        </w:tc>
      </w:tr>
      <w:tr w14:paraId="14258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4" w:type="dxa"/>
            <w:vAlign w:val="center"/>
          </w:tcPr>
          <w:p w14:paraId="1242639C">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昼间</w:t>
            </w:r>
          </w:p>
        </w:tc>
        <w:tc>
          <w:tcPr>
            <w:tcW w:w="2842" w:type="dxa"/>
            <w:vAlign w:val="center"/>
          </w:tcPr>
          <w:p w14:paraId="68A56314">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65</w:t>
            </w:r>
          </w:p>
        </w:tc>
        <w:tc>
          <w:tcPr>
            <w:tcW w:w="2842" w:type="dxa"/>
            <w:vMerge w:val="restart"/>
            <w:vAlign w:val="center"/>
          </w:tcPr>
          <w:p w14:paraId="20906B62">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《工业企业厂界环境噪声排放标准》（GB12348-2008）</w:t>
            </w:r>
          </w:p>
        </w:tc>
      </w:tr>
      <w:tr w14:paraId="3CF60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4" w:type="dxa"/>
            <w:vAlign w:val="center"/>
          </w:tcPr>
          <w:p w14:paraId="4C6C704C">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夜间</w:t>
            </w:r>
          </w:p>
        </w:tc>
        <w:tc>
          <w:tcPr>
            <w:tcW w:w="2842" w:type="dxa"/>
            <w:vAlign w:val="center"/>
          </w:tcPr>
          <w:p w14:paraId="0F7821C9">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55</w:t>
            </w:r>
          </w:p>
        </w:tc>
        <w:tc>
          <w:tcPr>
            <w:tcW w:w="2842" w:type="dxa"/>
            <w:vMerge w:val="continue"/>
            <w:vAlign w:val="center"/>
          </w:tcPr>
          <w:p w14:paraId="39D96505">
            <w:pPr>
              <w:autoSpaceDE w:val="0"/>
              <w:autoSpaceDN w:val="0"/>
              <w:jc w:val="center"/>
              <w:rPr>
                <w:rFonts w:ascii="Times New Roman" w:hAnsi="Times New Roman" w:eastAsia="宋体" w:cs="Times New Roman"/>
                <w:color w:val="auto"/>
                <w:szCs w:val="21"/>
                <w:u w:val="none" w:color="auto"/>
              </w:rPr>
            </w:pPr>
          </w:p>
        </w:tc>
      </w:tr>
    </w:tbl>
    <w:p w14:paraId="700041D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single" w:color="auto"/>
        </w:rPr>
      </w:pPr>
      <w:bookmarkStart w:id="95" w:name="_Toc3728140"/>
      <w:r>
        <w:rPr>
          <w:rFonts w:hint="eastAsia" w:ascii="Times New Roman" w:hAnsi="Times New Roman" w:eastAsia="宋体" w:cs="Times New Roman"/>
          <w:b/>
          <w:color w:val="auto"/>
          <w:kern w:val="0"/>
          <w:sz w:val="28"/>
          <w:szCs w:val="20"/>
          <w:u w:val="single" w:color="auto"/>
        </w:rPr>
        <w:t>1</w:t>
      </w:r>
      <w:r>
        <w:rPr>
          <w:rFonts w:ascii="Times New Roman" w:hAnsi="Times New Roman" w:eastAsia="宋体" w:cs="Times New Roman"/>
          <w:b/>
          <w:color w:val="auto"/>
          <w:kern w:val="0"/>
          <w:sz w:val="28"/>
          <w:szCs w:val="20"/>
          <w:u w:val="single" w:color="auto"/>
        </w:rPr>
        <w:t>.5.</w:t>
      </w:r>
      <w:r>
        <w:rPr>
          <w:rFonts w:hint="eastAsia" w:ascii="Times New Roman" w:hAnsi="Times New Roman" w:eastAsia="宋体" w:cs="Times New Roman"/>
          <w:b/>
          <w:color w:val="auto"/>
          <w:kern w:val="0"/>
          <w:sz w:val="28"/>
          <w:szCs w:val="20"/>
          <w:u w:val="single" w:color="auto"/>
        </w:rPr>
        <w:t>4</w:t>
      </w:r>
      <w:r>
        <w:rPr>
          <w:rFonts w:hint="eastAsia" w:ascii="Times New Roman" w:hAnsi="Times New Roman" w:eastAsia="宋体" w:cs="Times New Roman"/>
          <w:b/>
          <w:color w:val="auto"/>
          <w:kern w:val="0"/>
          <w:sz w:val="28"/>
          <w:szCs w:val="20"/>
          <w:u w:val="single" w:color="auto"/>
          <w:lang w:eastAsia="zh-CN"/>
        </w:rPr>
        <w:t>其他</w:t>
      </w:r>
      <w:r>
        <w:rPr>
          <w:rFonts w:ascii="Times New Roman" w:hAnsi="Times New Roman" w:eastAsia="宋体" w:cs="Times New Roman"/>
          <w:b/>
          <w:color w:val="auto"/>
          <w:kern w:val="0"/>
          <w:sz w:val="28"/>
          <w:szCs w:val="20"/>
          <w:u w:val="single" w:color="auto"/>
        </w:rPr>
        <w:t>相关评价标准</w:t>
      </w:r>
      <w:bookmarkEnd w:id="95"/>
    </w:p>
    <w:p w14:paraId="68A1863F">
      <w:pPr>
        <w:autoSpaceDE w:val="0"/>
        <w:autoSpaceDN w:val="0"/>
        <w:spacing w:line="360" w:lineRule="auto"/>
        <w:ind w:firstLine="480" w:firstLineChars="200"/>
        <w:rPr>
          <w:rFonts w:ascii="Times New Roman" w:hAnsi="Times New Roman" w:eastAsia="宋体" w:cs="Times New Roman"/>
          <w:color w:val="auto"/>
          <w:kern w:val="0"/>
          <w:sz w:val="24"/>
          <w:szCs w:val="20"/>
          <w:u w:val="single" w:color="auto"/>
        </w:rPr>
      </w:pPr>
      <w:r>
        <w:rPr>
          <w:rFonts w:hint="eastAsia" w:ascii="Times New Roman" w:hAnsi="Times New Roman" w:eastAsia="宋体" w:cs="Times New Roman"/>
          <w:color w:val="auto"/>
          <w:kern w:val="0"/>
          <w:sz w:val="24"/>
          <w:szCs w:val="20"/>
          <w:highlight w:val="none"/>
          <w:u w:val="single" w:color="auto"/>
          <w:lang w:eastAsia="zh-CN"/>
        </w:rPr>
        <w:t>一般工业固体废物处理和处置执行《中华人民共和国固体废物污染环境防治法》要求，</w:t>
      </w:r>
      <w:r>
        <w:rPr>
          <w:rFonts w:hint="eastAsia" w:ascii="Times New Roman" w:hAnsi="Times New Roman" w:eastAsia="宋体" w:cs="Times New Roman"/>
          <w:color w:val="auto"/>
          <w:kern w:val="0"/>
          <w:sz w:val="24"/>
          <w:szCs w:val="20"/>
          <w:highlight w:val="none"/>
          <w:u w:val="single" w:color="auto"/>
          <w:lang w:val="en-US" w:eastAsia="zh-CN"/>
        </w:rPr>
        <w:t>危险废物执行</w:t>
      </w:r>
      <w:r>
        <w:rPr>
          <w:rFonts w:hint="eastAsia" w:ascii="Times New Roman" w:hAnsi="Times New Roman" w:eastAsia="宋体" w:cs="Times New Roman"/>
          <w:color w:val="auto"/>
          <w:kern w:val="0"/>
          <w:sz w:val="24"/>
          <w:szCs w:val="20"/>
          <w:u w:val="single" w:color="auto"/>
          <w:lang w:eastAsia="zh-CN"/>
        </w:rPr>
        <w:t>《危险废物贮存污染控制标准》（GB18597-2023）</w:t>
      </w:r>
      <w:r>
        <w:rPr>
          <w:rFonts w:hint="eastAsia" w:ascii="Times New Roman" w:hAnsi="Times New Roman" w:eastAsia="宋体" w:cs="Times New Roman"/>
          <w:color w:val="auto"/>
          <w:kern w:val="0"/>
          <w:sz w:val="24"/>
          <w:szCs w:val="20"/>
          <w:u w:val="single" w:color="auto"/>
          <w:lang w:val="en-US" w:eastAsia="zh-CN"/>
        </w:rPr>
        <w:t>要求</w:t>
      </w:r>
      <w:r>
        <w:rPr>
          <w:rFonts w:ascii="Times New Roman" w:hAnsi="Times New Roman" w:eastAsia="宋体" w:cs="Times New Roman"/>
          <w:color w:val="auto"/>
          <w:kern w:val="0"/>
          <w:sz w:val="24"/>
          <w:szCs w:val="20"/>
          <w:u w:val="single" w:color="auto"/>
        </w:rPr>
        <w:t>。</w:t>
      </w:r>
    </w:p>
    <w:p w14:paraId="1A8BB069">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96" w:name="_Toc24596"/>
      <w:bookmarkStart w:id="97" w:name="_Toc468369158"/>
      <w:bookmarkStart w:id="98" w:name="_Toc3728141"/>
      <w:bookmarkStart w:id="99" w:name="_Toc530130412"/>
      <w:bookmarkStart w:id="100" w:name="_Toc406341000"/>
      <w:bookmarkStart w:id="101" w:name="_Toc160888614"/>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.6评价工作等级</w:t>
      </w:r>
      <w:bookmarkEnd w:id="96"/>
      <w:bookmarkEnd w:id="97"/>
      <w:bookmarkEnd w:id="98"/>
      <w:bookmarkEnd w:id="99"/>
      <w:bookmarkEnd w:id="100"/>
    </w:p>
    <w:p w14:paraId="2F1FBEF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02" w:name="_Toc3728142"/>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.6.1大气环境</w:t>
      </w:r>
      <w:bookmarkEnd w:id="102"/>
    </w:p>
    <w:p w14:paraId="22B04022">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根据《环境影响评价技术导则  大气环境》（HJ2.2-2018）的规定，选择项目污染源正常排放的主要污染物及排放参数，采用附录A推荐模型中估算模型分别计算项目污染源的最大环境影响，然后按评价工作分级判据进行分级。</w:t>
      </w:r>
    </w:p>
    <w:p w14:paraId="596361B6">
      <w:pPr>
        <w:autoSpaceDE w:val="0"/>
        <w:autoSpaceDN w:val="0"/>
        <w:spacing w:line="360" w:lineRule="auto"/>
        <w:ind w:firstLine="482" w:firstLineChars="200"/>
        <w:rPr>
          <w:rFonts w:ascii="Times New Roman" w:hAnsi="Times New Roman" w:eastAsia="宋体" w:cs="Times New Roman"/>
          <w:b/>
          <w:bCs/>
          <w:color w:val="auto"/>
          <w:kern w:val="0"/>
          <w:sz w:val="24"/>
          <w:szCs w:val="24"/>
          <w:u w:val="none" w:color="auto"/>
        </w:rPr>
      </w:pPr>
      <w:r>
        <w:rPr>
          <w:rFonts w:ascii="Times New Roman" w:hAnsi="Times New Roman" w:eastAsia="宋体" w:cs="Times New Roman"/>
          <w:b/>
          <w:bCs/>
          <w:color w:val="auto"/>
          <w:kern w:val="0"/>
          <w:sz w:val="24"/>
          <w:szCs w:val="24"/>
          <w:u w:val="none" w:color="auto"/>
        </w:rPr>
        <w:t>（1）大气评价方法</w:t>
      </w:r>
    </w:p>
    <w:p w14:paraId="63B27077">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根据项目污染源初步调查结果，分别计算项目排放主要污染物的最大地面空气质量浓度占标率Pi（第i个污染物，简称“最大浓度占标率”），及第i个污染物的地面空气质量浓度达到标准值的10%时所对应的最远距离D10%。其中的定义如下：</w:t>
      </w:r>
    </w:p>
    <w:p w14:paraId="2BC2E5F4">
      <w:pPr>
        <w:ind w:firstLine="480"/>
        <w:jc w:val="center"/>
        <w:rPr>
          <w:rFonts w:ascii="Times New Roman" w:hAnsi="Times New Roman" w:cs="Times New Roman"/>
          <w:color w:val="auto"/>
          <w:sz w:val="24"/>
          <w:szCs w:val="24"/>
          <w:u w:val="none" w:color="auto"/>
        </w:rPr>
      </w:pPr>
      <w:r>
        <w:rPr>
          <w:rFonts w:ascii="Times New Roman" w:hAnsi="Times New Roman" w:cs="Times New Roman"/>
          <w:color w:val="auto"/>
          <w:position w:val="-30"/>
          <w:sz w:val="24"/>
          <w:szCs w:val="24"/>
          <w:u w:val="none" w:color="auto"/>
        </w:rPr>
        <w:drawing>
          <wp:inline distT="0" distB="0" distL="114300" distR="114300">
            <wp:extent cx="1002030" cy="461010"/>
            <wp:effectExtent l="0" t="0" r="7620" b="1587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11"/>
                    <a:stretch>
                      <a:fillRect/>
                    </a:stretch>
                  </pic:blipFill>
                  <pic:spPr>
                    <a:xfrm>
                      <a:off x="0" y="0"/>
                      <a:ext cx="1002030" cy="461010"/>
                    </a:xfrm>
                    <a:prstGeom prst="rect">
                      <a:avLst/>
                    </a:prstGeom>
                    <a:noFill/>
                    <a:ln>
                      <a:noFill/>
                    </a:ln>
                  </pic:spPr>
                </pic:pic>
              </a:graphicData>
            </a:graphic>
          </wp:inline>
        </w:drawing>
      </w:r>
    </w:p>
    <w:p w14:paraId="41B3B67A">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Coi选用GB 3095中的1小时平均取样时间的二级标准的浓度限值。对仅有8h平均质量浓度限值、日平均浓度限值或年平均浓度限值的，可分别按2倍、3倍、6倍折算为1h平均质量浓度限值。</w:t>
      </w:r>
    </w:p>
    <w:p w14:paraId="6F77FFBE">
      <w:pPr>
        <w:pStyle w:val="133"/>
        <w:tabs>
          <w:tab w:val="left" w:pos="0"/>
        </w:tabs>
        <w:spacing w:before="156" w:beforeLines="50" w:line="240" w:lineRule="auto"/>
        <w:ind w:firstLine="0" w:firstLineChars="0"/>
        <w:jc w:val="center"/>
        <w:rPr>
          <w:rFonts w:eastAsia="宋体" w:cs="Times New Roman"/>
          <w:b/>
          <w:color w:val="auto"/>
          <w:u w:val="none" w:color="auto"/>
        </w:rPr>
      </w:pPr>
      <w:r>
        <w:rPr>
          <w:rFonts w:eastAsia="宋体" w:cs="Times New Roman"/>
          <w:b/>
          <w:color w:val="auto"/>
          <w:u w:val="none" w:color="auto"/>
        </w:rPr>
        <w:t>表</w:t>
      </w:r>
      <w:r>
        <w:rPr>
          <w:rFonts w:hint="eastAsia" w:eastAsia="宋体" w:cs="Times New Roman"/>
          <w:b/>
          <w:color w:val="auto"/>
          <w:u w:val="none" w:color="auto"/>
        </w:rPr>
        <w:t>1</w:t>
      </w:r>
      <w:r>
        <w:rPr>
          <w:rFonts w:eastAsia="宋体" w:cs="Times New Roman"/>
          <w:b/>
          <w:color w:val="auto"/>
          <w:u w:val="none" w:color="auto"/>
        </w:rPr>
        <w:t xml:space="preserve">.6-1 </w:t>
      </w:r>
      <w:r>
        <w:rPr>
          <w:rFonts w:hint="eastAsia" w:eastAsia="宋体" w:cs="Times New Roman"/>
          <w:b/>
          <w:color w:val="auto"/>
          <w:u w:val="none" w:color="auto"/>
        </w:rPr>
        <w:t>估算模型参数表</w:t>
      </w:r>
    </w:p>
    <w:tbl>
      <w:tblPr>
        <w:tblStyle w:val="38"/>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4"/>
        <w:gridCol w:w="2766"/>
        <w:gridCol w:w="2766"/>
      </w:tblGrid>
      <w:tr w14:paraId="62D35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0" w:type="dxa"/>
            <w:gridSpan w:val="2"/>
            <w:vAlign w:val="center"/>
          </w:tcPr>
          <w:p w14:paraId="25284C2F">
            <w:pPr>
              <w:autoSpaceDE w:val="0"/>
              <w:autoSpaceDN w:val="0"/>
              <w:jc w:val="center"/>
              <w:rPr>
                <w:rFonts w:ascii="Times New Roman" w:hAnsi="Times New Roman" w:eastAsia="宋体" w:cs="Times New Roman"/>
                <w:b/>
                <w:snapToGrid w:val="0"/>
                <w:color w:val="auto"/>
                <w:kern w:val="0"/>
                <w:szCs w:val="21"/>
                <w:u w:val="none" w:color="auto"/>
              </w:rPr>
            </w:pPr>
            <w:r>
              <w:rPr>
                <w:rFonts w:ascii="Times New Roman" w:hAnsi="Times New Roman" w:eastAsia="宋体" w:cs="Times New Roman"/>
                <w:b/>
                <w:snapToGrid w:val="0"/>
                <w:color w:val="auto"/>
                <w:kern w:val="0"/>
                <w:szCs w:val="21"/>
                <w:u w:val="none" w:color="auto"/>
              </w:rPr>
              <w:t>参数</w:t>
            </w:r>
          </w:p>
        </w:tc>
        <w:tc>
          <w:tcPr>
            <w:tcW w:w="2766" w:type="dxa"/>
            <w:vAlign w:val="center"/>
          </w:tcPr>
          <w:p w14:paraId="2E32DB50">
            <w:pPr>
              <w:autoSpaceDE w:val="0"/>
              <w:autoSpaceDN w:val="0"/>
              <w:jc w:val="center"/>
              <w:rPr>
                <w:rFonts w:ascii="Times New Roman" w:hAnsi="Times New Roman" w:eastAsia="宋体" w:cs="Times New Roman"/>
                <w:b/>
                <w:snapToGrid w:val="0"/>
                <w:color w:val="auto"/>
                <w:kern w:val="0"/>
                <w:szCs w:val="21"/>
                <w:u w:val="none" w:color="auto"/>
              </w:rPr>
            </w:pPr>
            <w:r>
              <w:rPr>
                <w:rFonts w:ascii="Times New Roman" w:hAnsi="Times New Roman" w:eastAsia="宋体" w:cs="Times New Roman"/>
                <w:b/>
                <w:snapToGrid w:val="0"/>
                <w:color w:val="auto"/>
                <w:kern w:val="0"/>
                <w:szCs w:val="21"/>
                <w:u w:val="none" w:color="auto"/>
              </w:rPr>
              <w:t>取值</w:t>
            </w:r>
          </w:p>
        </w:tc>
      </w:tr>
      <w:tr w14:paraId="12C44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restart"/>
            <w:vAlign w:val="center"/>
          </w:tcPr>
          <w:p w14:paraId="4E74B1B6">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城市/农村选项</w:t>
            </w:r>
          </w:p>
        </w:tc>
        <w:tc>
          <w:tcPr>
            <w:tcW w:w="2766" w:type="dxa"/>
            <w:vAlign w:val="center"/>
          </w:tcPr>
          <w:p w14:paraId="18516034">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城市/农村</w:t>
            </w:r>
          </w:p>
        </w:tc>
        <w:tc>
          <w:tcPr>
            <w:tcW w:w="2766" w:type="dxa"/>
            <w:vAlign w:val="center"/>
          </w:tcPr>
          <w:p w14:paraId="7FA12F67">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城市</w:t>
            </w:r>
          </w:p>
        </w:tc>
      </w:tr>
      <w:tr w14:paraId="33AE6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continue"/>
            <w:vAlign w:val="center"/>
          </w:tcPr>
          <w:p w14:paraId="6C78C465">
            <w:pPr>
              <w:autoSpaceDE w:val="0"/>
              <w:autoSpaceDN w:val="0"/>
              <w:jc w:val="center"/>
              <w:rPr>
                <w:rFonts w:ascii="Times New Roman" w:hAnsi="Times New Roman" w:eastAsia="宋体" w:cs="Times New Roman"/>
                <w:snapToGrid w:val="0"/>
                <w:color w:val="auto"/>
                <w:kern w:val="0"/>
                <w:szCs w:val="21"/>
                <w:u w:val="none" w:color="auto"/>
              </w:rPr>
            </w:pPr>
          </w:p>
        </w:tc>
        <w:tc>
          <w:tcPr>
            <w:tcW w:w="2766" w:type="dxa"/>
            <w:vAlign w:val="center"/>
          </w:tcPr>
          <w:p w14:paraId="7C57AE5C">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人口数（城市选项时）</w:t>
            </w:r>
          </w:p>
        </w:tc>
        <w:tc>
          <w:tcPr>
            <w:tcW w:w="2766" w:type="dxa"/>
            <w:vAlign w:val="center"/>
          </w:tcPr>
          <w:p w14:paraId="6A42F770">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15.3万</w:t>
            </w:r>
          </w:p>
        </w:tc>
      </w:tr>
      <w:tr w14:paraId="180B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0" w:type="dxa"/>
            <w:gridSpan w:val="2"/>
            <w:vAlign w:val="center"/>
          </w:tcPr>
          <w:p w14:paraId="584C3D34">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最高环境温度/℃</w:t>
            </w:r>
          </w:p>
        </w:tc>
        <w:tc>
          <w:tcPr>
            <w:tcW w:w="2766" w:type="dxa"/>
            <w:vAlign w:val="center"/>
          </w:tcPr>
          <w:p w14:paraId="3B81BC27">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37.9</w:t>
            </w:r>
          </w:p>
        </w:tc>
      </w:tr>
      <w:tr w14:paraId="093C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0" w:type="dxa"/>
            <w:gridSpan w:val="2"/>
            <w:vAlign w:val="center"/>
          </w:tcPr>
          <w:p w14:paraId="69C99808">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最低环境温度/℃</w:t>
            </w:r>
          </w:p>
        </w:tc>
        <w:tc>
          <w:tcPr>
            <w:tcW w:w="2766" w:type="dxa"/>
            <w:vAlign w:val="center"/>
          </w:tcPr>
          <w:p w14:paraId="2E8284B8">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1.6</w:t>
            </w:r>
          </w:p>
        </w:tc>
      </w:tr>
      <w:tr w14:paraId="4E63D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0" w:type="dxa"/>
            <w:gridSpan w:val="2"/>
            <w:vAlign w:val="center"/>
          </w:tcPr>
          <w:p w14:paraId="5EB8FA05">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土地利用类型</w:t>
            </w:r>
          </w:p>
        </w:tc>
        <w:tc>
          <w:tcPr>
            <w:tcW w:w="2766" w:type="dxa"/>
            <w:vAlign w:val="center"/>
          </w:tcPr>
          <w:p w14:paraId="2BF02351">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城市</w:t>
            </w:r>
          </w:p>
        </w:tc>
      </w:tr>
      <w:tr w14:paraId="0F039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0" w:type="dxa"/>
            <w:gridSpan w:val="2"/>
            <w:vAlign w:val="center"/>
          </w:tcPr>
          <w:p w14:paraId="28D41EC7">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区域湿度条件</w:t>
            </w:r>
          </w:p>
        </w:tc>
        <w:tc>
          <w:tcPr>
            <w:tcW w:w="2766" w:type="dxa"/>
            <w:vAlign w:val="center"/>
          </w:tcPr>
          <w:p w14:paraId="7A09F1D1">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潮湿</w:t>
            </w:r>
          </w:p>
        </w:tc>
      </w:tr>
      <w:tr w14:paraId="05480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restart"/>
            <w:vAlign w:val="center"/>
          </w:tcPr>
          <w:p w14:paraId="6FC26842">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是否考虑地形</w:t>
            </w:r>
          </w:p>
        </w:tc>
        <w:tc>
          <w:tcPr>
            <w:tcW w:w="2766" w:type="dxa"/>
            <w:vAlign w:val="center"/>
          </w:tcPr>
          <w:p w14:paraId="61A8D1AF">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考虑地形</w:t>
            </w:r>
          </w:p>
        </w:tc>
        <w:tc>
          <w:tcPr>
            <w:tcW w:w="2766" w:type="dxa"/>
            <w:vAlign w:val="center"/>
          </w:tcPr>
          <w:p w14:paraId="37243826">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■是□否</w:t>
            </w:r>
          </w:p>
        </w:tc>
      </w:tr>
      <w:tr w14:paraId="7D2DA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continue"/>
            <w:vAlign w:val="center"/>
          </w:tcPr>
          <w:p w14:paraId="60192059">
            <w:pPr>
              <w:autoSpaceDE w:val="0"/>
              <w:autoSpaceDN w:val="0"/>
              <w:jc w:val="center"/>
              <w:rPr>
                <w:rFonts w:ascii="Times New Roman" w:hAnsi="Times New Roman" w:eastAsia="宋体" w:cs="Times New Roman"/>
                <w:snapToGrid w:val="0"/>
                <w:color w:val="auto"/>
                <w:kern w:val="0"/>
                <w:szCs w:val="21"/>
                <w:u w:val="none" w:color="auto"/>
              </w:rPr>
            </w:pPr>
          </w:p>
        </w:tc>
        <w:tc>
          <w:tcPr>
            <w:tcW w:w="2766" w:type="dxa"/>
            <w:vAlign w:val="center"/>
          </w:tcPr>
          <w:p w14:paraId="2599B752">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地形数据分辨率/m</w:t>
            </w:r>
          </w:p>
        </w:tc>
        <w:tc>
          <w:tcPr>
            <w:tcW w:w="2766" w:type="dxa"/>
            <w:vAlign w:val="center"/>
          </w:tcPr>
          <w:p w14:paraId="444E4B7C">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90m</w:t>
            </w:r>
          </w:p>
        </w:tc>
      </w:tr>
      <w:tr w14:paraId="441F6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restart"/>
            <w:vAlign w:val="center"/>
          </w:tcPr>
          <w:p w14:paraId="6D03F0FE">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是否考虑岸线熏烟</w:t>
            </w:r>
          </w:p>
        </w:tc>
        <w:tc>
          <w:tcPr>
            <w:tcW w:w="2766" w:type="dxa"/>
            <w:vAlign w:val="center"/>
          </w:tcPr>
          <w:p w14:paraId="07A4AEB5">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考虑岸线熏烟</w:t>
            </w:r>
          </w:p>
        </w:tc>
        <w:tc>
          <w:tcPr>
            <w:tcW w:w="2766" w:type="dxa"/>
            <w:vAlign w:val="center"/>
          </w:tcPr>
          <w:p w14:paraId="0196CBC6">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■是□否</w:t>
            </w:r>
          </w:p>
        </w:tc>
      </w:tr>
      <w:tr w14:paraId="0289F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continue"/>
            <w:vAlign w:val="center"/>
          </w:tcPr>
          <w:p w14:paraId="19B9C557">
            <w:pPr>
              <w:autoSpaceDE w:val="0"/>
              <w:autoSpaceDN w:val="0"/>
              <w:jc w:val="center"/>
              <w:rPr>
                <w:rFonts w:ascii="Times New Roman" w:hAnsi="Times New Roman" w:eastAsia="宋体" w:cs="Times New Roman"/>
                <w:snapToGrid w:val="0"/>
                <w:color w:val="auto"/>
                <w:kern w:val="0"/>
                <w:szCs w:val="21"/>
                <w:u w:val="none" w:color="auto"/>
              </w:rPr>
            </w:pPr>
          </w:p>
        </w:tc>
        <w:tc>
          <w:tcPr>
            <w:tcW w:w="2766" w:type="dxa"/>
            <w:vAlign w:val="center"/>
          </w:tcPr>
          <w:p w14:paraId="05DEB117">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岸线距离</w:t>
            </w:r>
          </w:p>
        </w:tc>
        <w:tc>
          <w:tcPr>
            <w:tcW w:w="2766" w:type="dxa"/>
            <w:vAlign w:val="center"/>
          </w:tcPr>
          <w:p w14:paraId="6CF23438">
            <w:pPr>
              <w:autoSpaceDE w:val="0"/>
              <w:autoSpaceDN w:val="0"/>
              <w:jc w:val="center"/>
              <w:rPr>
                <w:rFonts w:ascii="Times New Roman" w:hAnsi="Times New Roman" w:eastAsia="宋体" w:cs="Times New Roman"/>
                <w:snapToGrid w:val="0"/>
                <w:color w:val="auto"/>
                <w:kern w:val="0"/>
                <w:szCs w:val="21"/>
                <w:u w:val="none" w:color="auto"/>
              </w:rPr>
            </w:pPr>
            <w:r>
              <w:rPr>
                <w:rFonts w:hint="eastAsia" w:ascii="Times New Roman" w:hAnsi="Times New Roman" w:eastAsia="宋体" w:cs="Times New Roman"/>
                <w:snapToGrid w:val="0"/>
                <w:color w:val="auto"/>
                <w:kern w:val="0"/>
                <w:szCs w:val="21"/>
                <w:u w:val="none" w:color="auto"/>
              </w:rPr>
              <w:t>1</w:t>
            </w:r>
            <w:r>
              <w:rPr>
                <w:rFonts w:ascii="Times New Roman" w:hAnsi="Times New Roman" w:eastAsia="宋体" w:cs="Times New Roman"/>
                <w:snapToGrid w:val="0"/>
                <w:color w:val="auto"/>
                <w:kern w:val="0"/>
                <w:szCs w:val="21"/>
                <w:u w:val="none" w:color="auto"/>
              </w:rPr>
              <w:t>m</w:t>
            </w:r>
          </w:p>
        </w:tc>
      </w:tr>
      <w:tr w14:paraId="3AEBA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4" w:type="dxa"/>
            <w:vMerge w:val="continue"/>
            <w:vAlign w:val="center"/>
          </w:tcPr>
          <w:p w14:paraId="39EF4777">
            <w:pPr>
              <w:autoSpaceDE w:val="0"/>
              <w:autoSpaceDN w:val="0"/>
              <w:jc w:val="center"/>
              <w:rPr>
                <w:rFonts w:ascii="Times New Roman" w:hAnsi="Times New Roman" w:eastAsia="宋体" w:cs="Times New Roman"/>
                <w:snapToGrid w:val="0"/>
                <w:color w:val="auto"/>
                <w:kern w:val="0"/>
                <w:szCs w:val="21"/>
                <w:u w:val="none" w:color="auto"/>
              </w:rPr>
            </w:pPr>
          </w:p>
        </w:tc>
        <w:tc>
          <w:tcPr>
            <w:tcW w:w="2766" w:type="dxa"/>
            <w:vAlign w:val="center"/>
          </w:tcPr>
          <w:p w14:paraId="2E1E9B85">
            <w:pPr>
              <w:autoSpaceDE w:val="0"/>
              <w:autoSpaceDN w:val="0"/>
              <w:jc w:val="center"/>
              <w:rPr>
                <w:rFonts w:ascii="Times New Roman" w:hAnsi="Times New Roman" w:eastAsia="宋体" w:cs="Times New Roman"/>
                <w:snapToGrid w:val="0"/>
                <w:color w:val="auto"/>
                <w:kern w:val="0"/>
                <w:szCs w:val="21"/>
                <w:u w:val="none" w:color="auto"/>
              </w:rPr>
            </w:pPr>
            <w:r>
              <w:rPr>
                <w:rFonts w:ascii="Times New Roman" w:hAnsi="Times New Roman" w:eastAsia="宋体" w:cs="Times New Roman"/>
                <w:snapToGrid w:val="0"/>
                <w:color w:val="auto"/>
                <w:kern w:val="0"/>
                <w:szCs w:val="21"/>
                <w:u w:val="none" w:color="auto"/>
              </w:rPr>
              <w:t>岸线方向/°</w:t>
            </w:r>
          </w:p>
        </w:tc>
        <w:tc>
          <w:tcPr>
            <w:tcW w:w="2766" w:type="dxa"/>
            <w:vAlign w:val="center"/>
          </w:tcPr>
          <w:p w14:paraId="17153AD3">
            <w:pPr>
              <w:autoSpaceDE w:val="0"/>
              <w:autoSpaceDN w:val="0"/>
              <w:jc w:val="center"/>
              <w:rPr>
                <w:rFonts w:ascii="Times New Roman" w:hAnsi="Times New Roman" w:eastAsia="宋体" w:cs="Times New Roman"/>
                <w:snapToGrid w:val="0"/>
                <w:color w:val="auto"/>
                <w:kern w:val="0"/>
                <w:szCs w:val="21"/>
                <w:u w:val="none" w:color="auto"/>
              </w:rPr>
            </w:pPr>
            <w:r>
              <w:rPr>
                <w:rFonts w:hint="eastAsia" w:ascii="Times New Roman" w:hAnsi="Times New Roman" w:eastAsia="宋体" w:cs="Times New Roman"/>
                <w:snapToGrid w:val="0"/>
                <w:color w:val="auto"/>
                <w:kern w:val="0"/>
                <w:szCs w:val="21"/>
                <w:u w:val="none" w:color="auto"/>
              </w:rPr>
              <w:t>0</w:t>
            </w:r>
          </w:p>
        </w:tc>
      </w:tr>
    </w:tbl>
    <w:p w14:paraId="0D5F88FB">
      <w:pPr>
        <w:spacing w:line="360" w:lineRule="auto"/>
        <w:ind w:firstLine="482" w:firstLineChars="200"/>
        <w:rPr>
          <w:rFonts w:ascii="Times New Roman" w:hAnsi="Times New Roman" w:eastAsia="宋体" w:cs="Times New Roman"/>
          <w:b/>
          <w:color w:val="auto"/>
          <w:sz w:val="24"/>
          <w:szCs w:val="24"/>
          <w:u w:val="none" w:color="auto"/>
        </w:rPr>
      </w:pPr>
      <w:r>
        <w:rPr>
          <w:rFonts w:ascii="Times New Roman" w:hAnsi="Times New Roman" w:eastAsia="宋体" w:cs="Times New Roman"/>
          <w:b/>
          <w:color w:val="auto"/>
          <w:sz w:val="24"/>
          <w:szCs w:val="24"/>
          <w:u w:val="none" w:color="auto"/>
        </w:rPr>
        <w:t>（</w:t>
      </w:r>
      <w:r>
        <w:rPr>
          <w:rFonts w:hint="eastAsia" w:ascii="Times New Roman" w:hAnsi="Times New Roman" w:eastAsia="宋体" w:cs="Times New Roman"/>
          <w:b/>
          <w:color w:val="auto"/>
          <w:sz w:val="24"/>
          <w:szCs w:val="24"/>
          <w:u w:val="none" w:color="auto"/>
        </w:rPr>
        <w:t>2</w:t>
      </w:r>
      <w:r>
        <w:rPr>
          <w:rFonts w:ascii="Times New Roman" w:hAnsi="Times New Roman" w:eastAsia="宋体" w:cs="Times New Roman"/>
          <w:b/>
          <w:color w:val="auto"/>
          <w:sz w:val="24"/>
          <w:szCs w:val="24"/>
          <w:u w:val="none" w:color="auto"/>
        </w:rPr>
        <w:t>）估算结果</w:t>
      </w:r>
    </w:p>
    <w:bookmarkEnd w:id="101"/>
    <w:p w14:paraId="430BE8E9">
      <w:pPr>
        <w:pStyle w:val="132"/>
        <w:ind w:firstLine="480"/>
        <w:rPr>
          <w:rFonts w:ascii="Times New Roman" w:hAnsi="Times New Roman"/>
          <w:color w:val="auto"/>
          <w:kern w:val="0"/>
          <w:szCs w:val="20"/>
          <w:u w:val="none" w:color="auto"/>
        </w:rPr>
      </w:pPr>
      <w:r>
        <w:rPr>
          <w:rFonts w:ascii="Times New Roman" w:hAnsi="Times New Roman"/>
          <w:color w:val="auto"/>
          <w:kern w:val="0"/>
          <w:szCs w:val="20"/>
          <w:u w:val="none" w:color="auto"/>
        </w:rPr>
        <w:t>本项目评价等级计算结果见表</w:t>
      </w:r>
      <w:r>
        <w:rPr>
          <w:rFonts w:hint="eastAsia" w:ascii="Times New Roman" w:hAnsi="Times New Roman"/>
          <w:color w:val="auto"/>
          <w:kern w:val="0"/>
          <w:szCs w:val="20"/>
          <w:u w:val="none" w:color="auto"/>
        </w:rPr>
        <w:t>1</w:t>
      </w:r>
      <w:r>
        <w:rPr>
          <w:rFonts w:ascii="Times New Roman" w:hAnsi="Times New Roman"/>
          <w:color w:val="auto"/>
          <w:kern w:val="0"/>
          <w:szCs w:val="20"/>
          <w:u w:val="none" w:color="auto"/>
        </w:rPr>
        <w:t>.6-</w:t>
      </w:r>
      <w:r>
        <w:rPr>
          <w:rFonts w:hint="eastAsia" w:ascii="Times New Roman" w:hAnsi="Times New Roman"/>
          <w:color w:val="auto"/>
          <w:kern w:val="0"/>
          <w:szCs w:val="20"/>
          <w:u w:val="none" w:color="auto"/>
        </w:rPr>
        <w:t>2</w:t>
      </w:r>
      <w:r>
        <w:rPr>
          <w:rFonts w:ascii="Times New Roman" w:hAnsi="Times New Roman"/>
          <w:color w:val="auto"/>
          <w:kern w:val="0"/>
          <w:szCs w:val="20"/>
          <w:u w:val="none" w:color="auto"/>
        </w:rPr>
        <w:t>。</w:t>
      </w:r>
    </w:p>
    <w:p w14:paraId="7E23B097">
      <w:pPr>
        <w:widowControl/>
        <w:autoSpaceDE w:val="0"/>
        <w:autoSpaceDN w:val="0"/>
        <w:spacing w:before="156" w:beforeLines="50"/>
        <w:jc w:val="center"/>
        <w:rPr>
          <w:rFonts w:ascii="Times New Roman" w:hAnsi="Times New Roman" w:eastAsia="宋体" w:cs="Times New Roman"/>
          <w:b/>
          <w:color w:val="auto"/>
          <w:sz w:val="24"/>
          <w:szCs w:val="24"/>
          <w:u w:val="none" w:color="auto"/>
        </w:rPr>
      </w:pPr>
      <w:r>
        <w:rPr>
          <w:rFonts w:ascii="Times New Roman" w:hAnsi="Times New Roman" w:eastAsia="宋体" w:cs="Times New Roman"/>
          <w:b/>
          <w:color w:val="auto"/>
          <w:sz w:val="24"/>
          <w:szCs w:val="24"/>
          <w:u w:val="none" w:color="auto"/>
        </w:rPr>
        <w:t>表</w:t>
      </w:r>
      <w:r>
        <w:rPr>
          <w:rFonts w:hint="eastAsia" w:ascii="Times New Roman" w:hAnsi="Times New Roman" w:eastAsia="宋体" w:cs="Times New Roman"/>
          <w:b/>
          <w:color w:val="auto"/>
          <w:sz w:val="24"/>
          <w:szCs w:val="24"/>
          <w:u w:val="none" w:color="auto"/>
        </w:rPr>
        <w:t>1</w:t>
      </w:r>
      <w:r>
        <w:rPr>
          <w:rFonts w:ascii="Times New Roman" w:hAnsi="Times New Roman" w:eastAsia="宋体" w:cs="Times New Roman"/>
          <w:b/>
          <w:color w:val="auto"/>
          <w:sz w:val="24"/>
          <w:szCs w:val="24"/>
          <w:u w:val="none" w:color="auto"/>
        </w:rPr>
        <w:t>.6-</w:t>
      </w:r>
      <w:r>
        <w:rPr>
          <w:rFonts w:hint="eastAsia" w:ascii="Times New Roman" w:hAnsi="Times New Roman" w:eastAsia="宋体" w:cs="Times New Roman"/>
          <w:b/>
          <w:color w:val="auto"/>
          <w:sz w:val="24"/>
          <w:szCs w:val="24"/>
          <w:u w:val="none" w:color="auto"/>
        </w:rPr>
        <w:t>2</w:t>
      </w:r>
      <w:r>
        <w:rPr>
          <w:rFonts w:ascii="Times New Roman" w:hAnsi="Times New Roman" w:eastAsia="宋体" w:cs="Times New Roman"/>
          <w:b/>
          <w:color w:val="auto"/>
          <w:sz w:val="24"/>
          <w:szCs w:val="24"/>
          <w:u w:val="none" w:color="auto"/>
        </w:rPr>
        <w:t xml:space="preserve"> 大气环境影响评价等级结果表</w:t>
      </w:r>
    </w:p>
    <w:tbl>
      <w:tblPr>
        <w:tblStyle w:val="37"/>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1319"/>
        <w:gridCol w:w="1819"/>
        <w:gridCol w:w="1420"/>
        <w:gridCol w:w="1421"/>
        <w:gridCol w:w="1420"/>
      </w:tblGrid>
      <w:tr w14:paraId="26F0E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restart"/>
            <w:vAlign w:val="center"/>
          </w:tcPr>
          <w:p w14:paraId="767895D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污染源</w:t>
            </w:r>
          </w:p>
        </w:tc>
        <w:tc>
          <w:tcPr>
            <w:tcW w:w="1319" w:type="dxa"/>
            <w:vMerge w:val="restart"/>
            <w:vAlign w:val="center"/>
          </w:tcPr>
          <w:p w14:paraId="7CD88FE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污染因子</w:t>
            </w:r>
          </w:p>
        </w:tc>
        <w:tc>
          <w:tcPr>
            <w:tcW w:w="4660" w:type="dxa"/>
            <w:gridSpan w:val="3"/>
            <w:vAlign w:val="center"/>
          </w:tcPr>
          <w:p w14:paraId="2EB892C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最大预测落地质量浓度</w:t>
            </w:r>
          </w:p>
        </w:tc>
        <w:tc>
          <w:tcPr>
            <w:tcW w:w="1420" w:type="dxa"/>
            <w:vMerge w:val="restart"/>
            <w:vAlign w:val="center"/>
          </w:tcPr>
          <w:p w14:paraId="7BEEA7C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D10%/（m）</w:t>
            </w:r>
          </w:p>
        </w:tc>
      </w:tr>
      <w:tr w14:paraId="5C05C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451174FE">
            <w:pPr>
              <w:snapToGrid w:val="0"/>
              <w:jc w:val="center"/>
              <w:rPr>
                <w:rFonts w:ascii="Times New Roman" w:hAnsi="Times New Roman" w:eastAsia="宋体" w:cs="Times New Roman"/>
                <w:color w:val="auto"/>
                <w:szCs w:val="21"/>
                <w:u w:val="single" w:color="auto"/>
              </w:rPr>
            </w:pPr>
          </w:p>
        </w:tc>
        <w:tc>
          <w:tcPr>
            <w:tcW w:w="1319" w:type="dxa"/>
            <w:vMerge w:val="continue"/>
            <w:vAlign w:val="center"/>
          </w:tcPr>
          <w:p w14:paraId="2EF0420B">
            <w:pPr>
              <w:snapToGrid w:val="0"/>
              <w:jc w:val="center"/>
              <w:rPr>
                <w:rFonts w:ascii="Times New Roman" w:hAnsi="Times New Roman" w:eastAsia="宋体" w:cs="Times New Roman"/>
                <w:color w:val="auto"/>
                <w:szCs w:val="21"/>
                <w:u w:val="single" w:color="auto"/>
              </w:rPr>
            </w:pPr>
          </w:p>
        </w:tc>
        <w:tc>
          <w:tcPr>
            <w:tcW w:w="1819" w:type="dxa"/>
            <w:vAlign w:val="center"/>
          </w:tcPr>
          <w:p w14:paraId="351D23B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最大预测落地质量浓度（μg/m</w:t>
            </w:r>
            <w:r>
              <w:rPr>
                <w:rFonts w:ascii="Times New Roman" w:hAnsi="Times New Roman" w:eastAsia="宋体" w:cs="Times New Roman"/>
                <w:color w:val="auto"/>
                <w:szCs w:val="21"/>
                <w:u w:val="single" w:color="auto"/>
                <w:vertAlign w:val="superscript"/>
              </w:rPr>
              <w:t>3</w:t>
            </w:r>
            <w:r>
              <w:rPr>
                <w:rFonts w:ascii="Times New Roman" w:hAnsi="Times New Roman" w:eastAsia="宋体" w:cs="Times New Roman"/>
                <w:color w:val="auto"/>
                <w:szCs w:val="21"/>
                <w:u w:val="single" w:color="auto"/>
              </w:rPr>
              <w:t>）</w:t>
            </w:r>
          </w:p>
        </w:tc>
        <w:tc>
          <w:tcPr>
            <w:tcW w:w="1420" w:type="dxa"/>
            <w:vAlign w:val="center"/>
          </w:tcPr>
          <w:p w14:paraId="75882AB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最大占标率/（%）</w:t>
            </w:r>
          </w:p>
        </w:tc>
        <w:tc>
          <w:tcPr>
            <w:tcW w:w="1421" w:type="dxa"/>
            <w:vAlign w:val="center"/>
          </w:tcPr>
          <w:p w14:paraId="423007C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与源的距离/（m）</w:t>
            </w:r>
          </w:p>
        </w:tc>
        <w:tc>
          <w:tcPr>
            <w:tcW w:w="1420" w:type="dxa"/>
            <w:vMerge w:val="continue"/>
            <w:vAlign w:val="center"/>
          </w:tcPr>
          <w:p w14:paraId="084A8B22">
            <w:pPr>
              <w:snapToGrid w:val="0"/>
              <w:jc w:val="center"/>
              <w:rPr>
                <w:rFonts w:ascii="Times New Roman" w:hAnsi="Times New Roman" w:eastAsia="宋体" w:cs="Times New Roman"/>
                <w:color w:val="auto"/>
                <w:szCs w:val="21"/>
                <w:u w:val="single" w:color="auto"/>
              </w:rPr>
            </w:pPr>
          </w:p>
        </w:tc>
      </w:tr>
      <w:tr w14:paraId="6C8F9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Align w:val="center"/>
          </w:tcPr>
          <w:p w14:paraId="783F4E00">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DA001</w:t>
            </w:r>
          </w:p>
        </w:tc>
        <w:tc>
          <w:tcPr>
            <w:tcW w:w="1319" w:type="dxa"/>
            <w:vAlign w:val="center"/>
          </w:tcPr>
          <w:p w14:paraId="73AAF937">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819" w:type="dxa"/>
            <w:vAlign w:val="center"/>
          </w:tcPr>
          <w:p w14:paraId="72D9C28E">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17.121</w:t>
            </w:r>
          </w:p>
        </w:tc>
        <w:tc>
          <w:tcPr>
            <w:tcW w:w="1420" w:type="dxa"/>
            <w:vAlign w:val="center"/>
          </w:tcPr>
          <w:p w14:paraId="19130080">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3.80</w:t>
            </w:r>
          </w:p>
        </w:tc>
        <w:tc>
          <w:tcPr>
            <w:tcW w:w="1421" w:type="dxa"/>
            <w:vAlign w:val="center"/>
          </w:tcPr>
          <w:p w14:paraId="7F49C9FD">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208</w:t>
            </w:r>
          </w:p>
        </w:tc>
        <w:tc>
          <w:tcPr>
            <w:tcW w:w="1420" w:type="dxa"/>
            <w:vAlign w:val="center"/>
          </w:tcPr>
          <w:p w14:paraId="518AAAE4">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w:t>
            </w:r>
          </w:p>
        </w:tc>
      </w:tr>
      <w:tr w14:paraId="71F3F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restart"/>
            <w:vAlign w:val="center"/>
          </w:tcPr>
          <w:p w14:paraId="681A3F3A">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DA002</w:t>
            </w:r>
          </w:p>
        </w:tc>
        <w:tc>
          <w:tcPr>
            <w:tcW w:w="1319" w:type="dxa"/>
            <w:vAlign w:val="center"/>
          </w:tcPr>
          <w:p w14:paraId="19FE4980">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819" w:type="dxa"/>
            <w:vAlign w:val="center"/>
          </w:tcPr>
          <w:p w14:paraId="52540B6B">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73.95</w:t>
            </w:r>
          </w:p>
        </w:tc>
        <w:tc>
          <w:tcPr>
            <w:tcW w:w="1420" w:type="dxa"/>
            <w:vAlign w:val="center"/>
          </w:tcPr>
          <w:p w14:paraId="35EA5303">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16.43</w:t>
            </w:r>
          </w:p>
        </w:tc>
        <w:tc>
          <w:tcPr>
            <w:tcW w:w="1421" w:type="dxa"/>
            <w:vAlign w:val="center"/>
          </w:tcPr>
          <w:p w14:paraId="2CFC1EBB">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208</w:t>
            </w:r>
          </w:p>
        </w:tc>
        <w:tc>
          <w:tcPr>
            <w:tcW w:w="1420" w:type="dxa"/>
            <w:vAlign w:val="center"/>
          </w:tcPr>
          <w:p w14:paraId="37C0EAEA">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500</w:t>
            </w:r>
          </w:p>
        </w:tc>
      </w:tr>
      <w:tr w14:paraId="06D15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4DF73332">
            <w:pPr>
              <w:snapToGrid w:val="0"/>
              <w:jc w:val="center"/>
              <w:rPr>
                <w:rFonts w:ascii="Times New Roman" w:hAnsi="Times New Roman" w:eastAsia="宋体" w:cs="Times New Roman"/>
                <w:color w:val="auto"/>
                <w:szCs w:val="21"/>
                <w:u w:val="single" w:color="auto"/>
              </w:rPr>
            </w:pPr>
          </w:p>
        </w:tc>
        <w:tc>
          <w:tcPr>
            <w:tcW w:w="1319" w:type="dxa"/>
            <w:vAlign w:val="center"/>
          </w:tcPr>
          <w:p w14:paraId="3022578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非甲烷总烃</w:t>
            </w:r>
          </w:p>
        </w:tc>
        <w:tc>
          <w:tcPr>
            <w:tcW w:w="1819" w:type="dxa"/>
            <w:vAlign w:val="center"/>
          </w:tcPr>
          <w:p w14:paraId="1392C112">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25.3412</w:t>
            </w:r>
          </w:p>
        </w:tc>
        <w:tc>
          <w:tcPr>
            <w:tcW w:w="1420" w:type="dxa"/>
            <w:vAlign w:val="center"/>
          </w:tcPr>
          <w:p w14:paraId="5053749A">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1.27</w:t>
            </w:r>
          </w:p>
        </w:tc>
        <w:tc>
          <w:tcPr>
            <w:tcW w:w="1421" w:type="dxa"/>
            <w:vAlign w:val="center"/>
          </w:tcPr>
          <w:p w14:paraId="16DB6E87">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208</w:t>
            </w:r>
          </w:p>
        </w:tc>
        <w:tc>
          <w:tcPr>
            <w:tcW w:w="1420" w:type="dxa"/>
            <w:vAlign w:val="center"/>
          </w:tcPr>
          <w:p w14:paraId="7C3500B4">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w:t>
            </w:r>
          </w:p>
        </w:tc>
      </w:tr>
      <w:tr w14:paraId="60DAD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7E194486">
            <w:pPr>
              <w:snapToGrid w:val="0"/>
              <w:jc w:val="center"/>
              <w:rPr>
                <w:rFonts w:ascii="Times New Roman" w:hAnsi="Times New Roman" w:eastAsia="宋体" w:cs="Times New Roman"/>
                <w:color w:val="auto"/>
                <w:szCs w:val="21"/>
                <w:u w:val="single" w:color="auto"/>
              </w:rPr>
            </w:pPr>
          </w:p>
        </w:tc>
        <w:tc>
          <w:tcPr>
            <w:tcW w:w="1319" w:type="dxa"/>
            <w:vAlign w:val="center"/>
          </w:tcPr>
          <w:p w14:paraId="08540577">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p>
        </w:tc>
        <w:tc>
          <w:tcPr>
            <w:tcW w:w="1819" w:type="dxa"/>
            <w:vAlign w:val="center"/>
          </w:tcPr>
          <w:p w14:paraId="66F4C0BF">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0.0297</w:t>
            </w:r>
          </w:p>
        </w:tc>
        <w:tc>
          <w:tcPr>
            <w:tcW w:w="1420" w:type="dxa"/>
            <w:vAlign w:val="center"/>
          </w:tcPr>
          <w:p w14:paraId="3F1A5DEB">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0.01</w:t>
            </w:r>
          </w:p>
        </w:tc>
        <w:tc>
          <w:tcPr>
            <w:tcW w:w="1421" w:type="dxa"/>
            <w:vAlign w:val="center"/>
          </w:tcPr>
          <w:p w14:paraId="09469272">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208</w:t>
            </w:r>
          </w:p>
        </w:tc>
        <w:tc>
          <w:tcPr>
            <w:tcW w:w="1420" w:type="dxa"/>
            <w:vAlign w:val="center"/>
          </w:tcPr>
          <w:p w14:paraId="7026A50C">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w:t>
            </w:r>
          </w:p>
        </w:tc>
      </w:tr>
      <w:tr w14:paraId="60F16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1120" w:type="dxa"/>
            <w:vMerge w:val="continue"/>
            <w:vAlign w:val="center"/>
          </w:tcPr>
          <w:p w14:paraId="30DB4C81">
            <w:pPr>
              <w:snapToGrid w:val="0"/>
              <w:jc w:val="center"/>
              <w:rPr>
                <w:rFonts w:ascii="Times New Roman" w:hAnsi="Times New Roman" w:eastAsia="宋体" w:cs="Times New Roman"/>
                <w:color w:val="auto"/>
                <w:szCs w:val="21"/>
                <w:u w:val="single" w:color="auto"/>
              </w:rPr>
            </w:pPr>
          </w:p>
        </w:tc>
        <w:tc>
          <w:tcPr>
            <w:tcW w:w="1319" w:type="dxa"/>
            <w:vAlign w:val="center"/>
          </w:tcPr>
          <w:p w14:paraId="7DDE6D3C">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p>
        </w:tc>
        <w:tc>
          <w:tcPr>
            <w:tcW w:w="1819" w:type="dxa"/>
            <w:vAlign w:val="center"/>
          </w:tcPr>
          <w:p w14:paraId="2187D5D2">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14.0603</w:t>
            </w:r>
          </w:p>
        </w:tc>
        <w:tc>
          <w:tcPr>
            <w:tcW w:w="1420" w:type="dxa"/>
            <w:vAlign w:val="center"/>
          </w:tcPr>
          <w:p w14:paraId="2173CC1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7.03</w:t>
            </w:r>
          </w:p>
        </w:tc>
        <w:tc>
          <w:tcPr>
            <w:tcW w:w="1421" w:type="dxa"/>
            <w:vAlign w:val="center"/>
          </w:tcPr>
          <w:p w14:paraId="6D2C6F4D">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208</w:t>
            </w:r>
          </w:p>
        </w:tc>
        <w:tc>
          <w:tcPr>
            <w:tcW w:w="1420" w:type="dxa"/>
            <w:vAlign w:val="center"/>
          </w:tcPr>
          <w:p w14:paraId="12A81BE1">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w:t>
            </w:r>
          </w:p>
        </w:tc>
      </w:tr>
      <w:tr w14:paraId="1ED5D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Align w:val="center"/>
          </w:tcPr>
          <w:p w14:paraId="23C02D61">
            <w:pPr>
              <w:widowControl/>
              <w:snapToGrid w:val="0"/>
              <w:jc w:val="center"/>
              <w:rPr>
                <w:rFonts w:hint="eastAsia"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lang w:eastAsia="zh-CN"/>
              </w:rPr>
              <w:t>车间</w:t>
            </w:r>
          </w:p>
        </w:tc>
        <w:tc>
          <w:tcPr>
            <w:tcW w:w="1319" w:type="dxa"/>
            <w:vAlign w:val="center"/>
          </w:tcPr>
          <w:p w14:paraId="1DF46B11">
            <w:pPr>
              <w:widowControl/>
              <w:snapToGrid w:val="0"/>
              <w:jc w:val="center"/>
              <w:rPr>
                <w:rFonts w:hint="eastAsia"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819" w:type="dxa"/>
            <w:shd w:val="clear" w:color="auto" w:fill="auto"/>
            <w:vAlign w:val="center"/>
          </w:tcPr>
          <w:p w14:paraId="12ED9658">
            <w:pPr>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kern w:val="2"/>
                <w:sz w:val="21"/>
                <w:szCs w:val="21"/>
                <w:u w:val="single" w:color="auto"/>
                <w:lang w:val="en-US" w:eastAsia="zh-CN" w:bidi="ar-SA"/>
              </w:rPr>
              <w:t>349.93</w:t>
            </w:r>
          </w:p>
        </w:tc>
        <w:tc>
          <w:tcPr>
            <w:tcW w:w="1420" w:type="dxa"/>
            <w:shd w:val="clear" w:color="auto" w:fill="auto"/>
            <w:vAlign w:val="center"/>
          </w:tcPr>
          <w:p w14:paraId="445450D4">
            <w:pPr>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kern w:val="2"/>
                <w:sz w:val="21"/>
                <w:szCs w:val="21"/>
                <w:u w:val="single" w:color="auto"/>
                <w:lang w:val="en-US" w:eastAsia="zh-CN" w:bidi="ar-SA"/>
              </w:rPr>
              <w:t>77.76</w:t>
            </w:r>
          </w:p>
        </w:tc>
        <w:tc>
          <w:tcPr>
            <w:tcW w:w="1421" w:type="dxa"/>
            <w:shd w:val="clear" w:color="auto" w:fill="auto"/>
            <w:vAlign w:val="center"/>
          </w:tcPr>
          <w:p w14:paraId="03F403DD">
            <w:pPr>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kern w:val="2"/>
                <w:sz w:val="21"/>
                <w:szCs w:val="21"/>
                <w:u w:val="single" w:color="auto"/>
                <w:lang w:val="en-US" w:eastAsia="zh-CN" w:bidi="ar-SA"/>
              </w:rPr>
              <w:t>236</w:t>
            </w:r>
          </w:p>
        </w:tc>
        <w:tc>
          <w:tcPr>
            <w:tcW w:w="1420" w:type="dxa"/>
            <w:shd w:val="clear" w:color="auto" w:fill="auto"/>
            <w:vAlign w:val="center"/>
          </w:tcPr>
          <w:p w14:paraId="7F2261D9">
            <w:pPr>
              <w:snapToGrid w:val="0"/>
              <w:jc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Cs w:val="21"/>
                <w:u w:val="single" w:color="auto"/>
                <w:lang w:val="en-US" w:eastAsia="zh-CN"/>
              </w:rPr>
              <w:t>950</w:t>
            </w:r>
          </w:p>
        </w:tc>
      </w:tr>
      <w:tr w14:paraId="004DA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restart"/>
            <w:vAlign w:val="center"/>
          </w:tcPr>
          <w:p w14:paraId="0B71B794">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涂装车间</w:t>
            </w:r>
          </w:p>
        </w:tc>
        <w:tc>
          <w:tcPr>
            <w:tcW w:w="1319" w:type="dxa"/>
            <w:vAlign w:val="center"/>
          </w:tcPr>
          <w:p w14:paraId="2293AF6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TSP</w:t>
            </w:r>
          </w:p>
        </w:tc>
        <w:tc>
          <w:tcPr>
            <w:tcW w:w="1819" w:type="dxa"/>
            <w:vAlign w:val="center"/>
          </w:tcPr>
          <w:p w14:paraId="161D375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111.931</w:t>
            </w:r>
          </w:p>
        </w:tc>
        <w:tc>
          <w:tcPr>
            <w:tcW w:w="1420" w:type="dxa"/>
            <w:vAlign w:val="center"/>
          </w:tcPr>
          <w:p w14:paraId="00CC130C">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12.44</w:t>
            </w:r>
          </w:p>
        </w:tc>
        <w:tc>
          <w:tcPr>
            <w:tcW w:w="1421" w:type="dxa"/>
            <w:vAlign w:val="center"/>
          </w:tcPr>
          <w:p w14:paraId="17F1E2AF">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80</w:t>
            </w:r>
          </w:p>
        </w:tc>
        <w:tc>
          <w:tcPr>
            <w:tcW w:w="1420" w:type="dxa"/>
            <w:vAlign w:val="center"/>
          </w:tcPr>
          <w:p w14:paraId="7F9BE338">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100</w:t>
            </w:r>
          </w:p>
        </w:tc>
      </w:tr>
      <w:tr w14:paraId="7B4C3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4A990BD5">
            <w:pPr>
              <w:snapToGrid w:val="0"/>
              <w:jc w:val="center"/>
              <w:rPr>
                <w:rFonts w:ascii="Times New Roman" w:hAnsi="Times New Roman" w:eastAsia="宋体" w:cs="Times New Roman"/>
                <w:color w:val="auto"/>
                <w:szCs w:val="21"/>
                <w:u w:val="single" w:color="auto"/>
              </w:rPr>
            </w:pPr>
          </w:p>
        </w:tc>
        <w:tc>
          <w:tcPr>
            <w:tcW w:w="1319" w:type="dxa"/>
            <w:vAlign w:val="center"/>
          </w:tcPr>
          <w:p w14:paraId="3641ED4C">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非甲烷总烃</w:t>
            </w:r>
          </w:p>
        </w:tc>
        <w:tc>
          <w:tcPr>
            <w:tcW w:w="1819" w:type="dxa"/>
            <w:vAlign w:val="center"/>
          </w:tcPr>
          <w:p w14:paraId="4835AE65">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307.0274</w:t>
            </w:r>
          </w:p>
        </w:tc>
        <w:tc>
          <w:tcPr>
            <w:tcW w:w="1420" w:type="dxa"/>
            <w:vAlign w:val="center"/>
          </w:tcPr>
          <w:p w14:paraId="0395EA71">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15.35</w:t>
            </w:r>
          </w:p>
        </w:tc>
        <w:tc>
          <w:tcPr>
            <w:tcW w:w="1421" w:type="dxa"/>
            <w:vAlign w:val="center"/>
          </w:tcPr>
          <w:p w14:paraId="61435CFA">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80</w:t>
            </w:r>
          </w:p>
        </w:tc>
        <w:tc>
          <w:tcPr>
            <w:tcW w:w="1420" w:type="dxa"/>
            <w:vAlign w:val="center"/>
          </w:tcPr>
          <w:p w14:paraId="2D17936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125</w:t>
            </w:r>
          </w:p>
        </w:tc>
      </w:tr>
      <w:tr w14:paraId="0FFD5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77F65CFF">
            <w:pPr>
              <w:snapToGrid w:val="0"/>
              <w:jc w:val="center"/>
              <w:rPr>
                <w:rFonts w:ascii="Times New Roman" w:hAnsi="Times New Roman" w:eastAsia="宋体" w:cs="Times New Roman"/>
                <w:color w:val="auto"/>
                <w:szCs w:val="21"/>
                <w:u w:val="single" w:color="auto"/>
              </w:rPr>
            </w:pPr>
          </w:p>
        </w:tc>
        <w:tc>
          <w:tcPr>
            <w:tcW w:w="1319" w:type="dxa"/>
            <w:vAlign w:val="center"/>
          </w:tcPr>
          <w:p w14:paraId="745D521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p>
        </w:tc>
        <w:tc>
          <w:tcPr>
            <w:tcW w:w="1819" w:type="dxa"/>
            <w:vAlign w:val="center"/>
          </w:tcPr>
          <w:p w14:paraId="2747F5A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0.3235</w:t>
            </w:r>
          </w:p>
        </w:tc>
        <w:tc>
          <w:tcPr>
            <w:tcW w:w="1420" w:type="dxa"/>
            <w:vAlign w:val="center"/>
          </w:tcPr>
          <w:p w14:paraId="2AEE2E4C">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0.16</w:t>
            </w:r>
          </w:p>
        </w:tc>
        <w:tc>
          <w:tcPr>
            <w:tcW w:w="1421" w:type="dxa"/>
            <w:vAlign w:val="center"/>
          </w:tcPr>
          <w:p w14:paraId="76D78791">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80</w:t>
            </w:r>
          </w:p>
        </w:tc>
        <w:tc>
          <w:tcPr>
            <w:tcW w:w="1420" w:type="dxa"/>
            <w:vAlign w:val="center"/>
          </w:tcPr>
          <w:p w14:paraId="5105BC08">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0</w:t>
            </w:r>
          </w:p>
        </w:tc>
      </w:tr>
      <w:tr w14:paraId="2CA4B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vMerge w:val="continue"/>
            <w:vAlign w:val="center"/>
          </w:tcPr>
          <w:p w14:paraId="42F1CD2B">
            <w:pPr>
              <w:snapToGrid w:val="0"/>
              <w:jc w:val="center"/>
              <w:rPr>
                <w:rFonts w:ascii="Times New Roman" w:hAnsi="Times New Roman" w:eastAsia="宋体" w:cs="Times New Roman"/>
                <w:color w:val="auto"/>
                <w:szCs w:val="21"/>
                <w:u w:val="single" w:color="auto"/>
              </w:rPr>
            </w:pPr>
          </w:p>
        </w:tc>
        <w:tc>
          <w:tcPr>
            <w:tcW w:w="1319" w:type="dxa"/>
            <w:vAlign w:val="center"/>
          </w:tcPr>
          <w:p w14:paraId="7BCE7A0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p>
        </w:tc>
        <w:tc>
          <w:tcPr>
            <w:tcW w:w="1819" w:type="dxa"/>
            <w:vAlign w:val="center"/>
          </w:tcPr>
          <w:p w14:paraId="01642F0F">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170.161</w:t>
            </w:r>
          </w:p>
        </w:tc>
        <w:tc>
          <w:tcPr>
            <w:tcW w:w="1420" w:type="dxa"/>
            <w:vAlign w:val="center"/>
          </w:tcPr>
          <w:p w14:paraId="0E5136D2">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85.08</w:t>
            </w:r>
          </w:p>
        </w:tc>
        <w:tc>
          <w:tcPr>
            <w:tcW w:w="1421" w:type="dxa"/>
            <w:vAlign w:val="center"/>
          </w:tcPr>
          <w:p w14:paraId="695FD692">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80</w:t>
            </w:r>
          </w:p>
        </w:tc>
        <w:tc>
          <w:tcPr>
            <w:tcW w:w="1420" w:type="dxa"/>
            <w:vAlign w:val="center"/>
          </w:tcPr>
          <w:p w14:paraId="09BCDD90">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475</w:t>
            </w:r>
          </w:p>
        </w:tc>
      </w:tr>
    </w:tbl>
    <w:p w14:paraId="0EFB6AC9">
      <w:pPr>
        <w:autoSpaceDE w:val="0"/>
        <w:autoSpaceDN w:val="0"/>
        <w:spacing w:line="360" w:lineRule="auto"/>
        <w:ind w:firstLine="480" w:firstLineChars="200"/>
        <w:jc w:val="left"/>
        <w:rPr>
          <w:rFonts w:ascii="Times New Roman" w:hAnsi="Times New Roman" w:eastAsia="宋体" w:cs="Times New Roman"/>
          <w:snapToGrid w:val="0"/>
          <w:color w:val="auto"/>
          <w:kern w:val="0"/>
          <w:sz w:val="24"/>
          <w:szCs w:val="24"/>
          <w:u w:val="single" w:color="auto"/>
        </w:rPr>
      </w:pPr>
      <w:r>
        <w:rPr>
          <w:rFonts w:hint="eastAsia" w:ascii="Times New Roman" w:hAnsi="Times New Roman" w:eastAsia="宋体" w:cs="Times New Roman"/>
          <w:snapToGrid w:val="0"/>
          <w:color w:val="auto"/>
          <w:kern w:val="0"/>
          <w:sz w:val="24"/>
          <w:szCs w:val="24"/>
          <w:u w:val="single" w:color="auto"/>
        </w:rPr>
        <w:t>本项目污染物排放中，</w:t>
      </w:r>
      <w:r>
        <w:rPr>
          <w:rFonts w:hint="eastAsia" w:ascii="Times New Roman" w:hAnsi="Times New Roman" w:eastAsia="宋体" w:cs="Times New Roman"/>
          <w:snapToGrid w:val="0"/>
          <w:color w:val="auto"/>
          <w:kern w:val="0"/>
          <w:sz w:val="24"/>
          <w:szCs w:val="24"/>
          <w:u w:val="single" w:color="auto"/>
          <w:lang w:val="en-US" w:eastAsia="zh-CN"/>
        </w:rPr>
        <w:t>涂装车间</w:t>
      </w:r>
      <w:r>
        <w:rPr>
          <w:rFonts w:hint="eastAsia" w:ascii="Times New Roman" w:hAnsi="Times New Roman" w:eastAsia="宋体" w:cs="Times New Roman"/>
          <w:snapToGrid w:val="0"/>
          <w:color w:val="auto"/>
          <w:kern w:val="0"/>
          <w:sz w:val="24"/>
          <w:szCs w:val="24"/>
          <w:u w:val="single" w:color="auto"/>
        </w:rPr>
        <w:t>产生的</w:t>
      </w:r>
      <w:r>
        <w:rPr>
          <w:rFonts w:hint="eastAsia" w:ascii="Times New Roman" w:hAnsi="Times New Roman" w:eastAsia="宋体" w:cs="Times New Roman"/>
          <w:snapToGrid w:val="0"/>
          <w:color w:val="auto"/>
          <w:kern w:val="0"/>
          <w:sz w:val="24"/>
          <w:szCs w:val="24"/>
          <w:u w:val="single" w:color="auto"/>
          <w:lang w:val="en-US" w:eastAsia="zh-CN"/>
        </w:rPr>
        <w:t>二甲苯</w:t>
      </w:r>
      <w:r>
        <w:rPr>
          <w:rFonts w:hint="eastAsia" w:ascii="Times New Roman" w:hAnsi="Times New Roman" w:eastAsia="宋体" w:cs="Times New Roman"/>
          <w:snapToGrid w:val="0"/>
          <w:color w:val="auto"/>
          <w:kern w:val="0"/>
          <w:sz w:val="24"/>
          <w:szCs w:val="24"/>
          <w:u w:val="single" w:color="auto"/>
        </w:rPr>
        <w:t>的最大地面浓度占标率Pmax最大，为</w:t>
      </w:r>
      <w:r>
        <w:rPr>
          <w:rFonts w:hint="eastAsia" w:ascii="Times New Roman" w:hAnsi="Times New Roman" w:eastAsia="宋体" w:cs="Times New Roman"/>
          <w:snapToGrid w:val="0"/>
          <w:color w:val="auto"/>
          <w:kern w:val="0"/>
          <w:sz w:val="24"/>
          <w:szCs w:val="24"/>
          <w:u w:val="single" w:color="auto"/>
          <w:lang w:val="en-US" w:eastAsia="zh-CN"/>
        </w:rPr>
        <w:t>85.08</w:t>
      </w:r>
      <w:r>
        <w:rPr>
          <w:rFonts w:hint="eastAsia" w:ascii="Times New Roman" w:hAnsi="Times New Roman" w:eastAsia="宋体" w:cs="Times New Roman"/>
          <w:snapToGrid w:val="0"/>
          <w:color w:val="auto"/>
          <w:kern w:val="0"/>
          <w:sz w:val="24"/>
          <w:szCs w:val="24"/>
          <w:u w:val="single" w:color="auto"/>
        </w:rPr>
        <w:t>%。</w:t>
      </w:r>
    </w:p>
    <w:p w14:paraId="1593F941">
      <w:pPr>
        <w:pStyle w:val="35"/>
        <w:spacing w:after="0" w:line="360" w:lineRule="auto"/>
        <w:ind w:firstLine="480" w:firstLineChars="200"/>
        <w:rPr>
          <w:rFonts w:ascii="Times New Roman" w:hAnsi="Times New Roman" w:cs="Times New Roman"/>
          <w:color w:val="auto"/>
          <w:u w:val="none" w:color="auto"/>
        </w:rPr>
      </w:pPr>
      <w:r>
        <w:rPr>
          <w:rFonts w:ascii="Times New Roman" w:hAnsi="Times New Roman" w:eastAsia="宋体" w:cs="Times New Roman"/>
          <w:snapToGrid w:val="0"/>
          <w:color w:val="auto"/>
          <w:kern w:val="0"/>
          <w:sz w:val="24"/>
          <w:szCs w:val="24"/>
          <w:u w:val="none" w:color="auto"/>
        </w:rPr>
        <w:t>根据《环境影响评价技术导则大气环境》（HJ2.2-2018）中评价工作分级方法，本项目大气环境影响评价等级为</w:t>
      </w:r>
      <w:r>
        <w:rPr>
          <w:rFonts w:hint="eastAsia" w:ascii="Times New Roman" w:hAnsi="Times New Roman" w:eastAsia="宋体" w:cs="Times New Roman"/>
          <w:snapToGrid w:val="0"/>
          <w:color w:val="auto"/>
          <w:kern w:val="0"/>
          <w:sz w:val="24"/>
          <w:szCs w:val="24"/>
          <w:u w:val="none" w:color="auto"/>
        </w:rPr>
        <w:t>一</w:t>
      </w:r>
      <w:r>
        <w:rPr>
          <w:rFonts w:ascii="Times New Roman" w:hAnsi="Times New Roman" w:eastAsia="宋体" w:cs="Times New Roman"/>
          <w:snapToGrid w:val="0"/>
          <w:color w:val="auto"/>
          <w:kern w:val="0"/>
          <w:sz w:val="24"/>
          <w:szCs w:val="24"/>
          <w:u w:val="none" w:color="auto"/>
        </w:rPr>
        <w:t>级。</w:t>
      </w:r>
    </w:p>
    <w:p w14:paraId="7F43EC4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03" w:name="_Toc3728143"/>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.6.2地表水环境</w:t>
      </w:r>
      <w:bookmarkEnd w:id="103"/>
    </w:p>
    <w:p w14:paraId="4693B5E7">
      <w:pPr>
        <w:pStyle w:val="35"/>
        <w:spacing w:after="0" w:line="360" w:lineRule="auto"/>
        <w:ind w:firstLine="480" w:firstLineChars="200"/>
        <w:rPr>
          <w:rFonts w:ascii="Times New Roman" w:hAnsi="Times New Roman" w:eastAsia="宋体" w:cs="Times New Roman"/>
          <w:snapToGrid w:val="0"/>
          <w:color w:val="auto"/>
          <w:kern w:val="0"/>
          <w:sz w:val="24"/>
          <w:szCs w:val="24"/>
          <w:u w:val="none" w:color="auto"/>
        </w:rPr>
      </w:pPr>
      <w:r>
        <w:rPr>
          <w:rFonts w:ascii="Times New Roman" w:hAnsi="Times New Roman" w:eastAsia="宋体" w:cs="Times New Roman"/>
          <w:snapToGrid w:val="0"/>
          <w:color w:val="auto"/>
          <w:kern w:val="0"/>
          <w:sz w:val="24"/>
          <w:szCs w:val="24"/>
          <w:u w:val="none" w:color="auto"/>
        </w:rPr>
        <w:t>根据工程分析，项目</w:t>
      </w:r>
      <w:r>
        <w:rPr>
          <w:rFonts w:hint="eastAsia" w:ascii="Times New Roman" w:hAnsi="Times New Roman" w:eastAsia="宋体" w:cs="Times New Roman"/>
          <w:snapToGrid w:val="0"/>
          <w:color w:val="auto"/>
          <w:kern w:val="0"/>
          <w:sz w:val="24"/>
          <w:szCs w:val="24"/>
          <w:u w:val="none" w:color="auto"/>
        </w:rPr>
        <w:t>无生产废水产生，</w:t>
      </w:r>
      <w:r>
        <w:rPr>
          <w:rFonts w:ascii="Times New Roman" w:hAnsi="Times New Roman" w:eastAsia="宋体" w:cs="Times New Roman"/>
          <w:color w:val="auto"/>
          <w:spacing w:val="-2"/>
          <w:kern w:val="0"/>
          <w:sz w:val="24"/>
          <w:szCs w:val="24"/>
          <w:u w:val="none" w:color="auto"/>
        </w:rPr>
        <w:t>生活污水经化粪池处理后通过管网送至大榄坪污水处理厂集中处理</w:t>
      </w:r>
      <w:r>
        <w:rPr>
          <w:rFonts w:ascii="Times New Roman" w:hAnsi="Times New Roman" w:eastAsia="宋体" w:cs="Times New Roman"/>
          <w:snapToGrid w:val="0"/>
          <w:color w:val="auto"/>
          <w:kern w:val="0"/>
          <w:sz w:val="24"/>
          <w:szCs w:val="24"/>
          <w:u w:val="none" w:color="auto"/>
        </w:rPr>
        <w:t>。根据《环境影响评价技术导则 地表水环境》（HJ2.3-2018）中按照影响类型、排放方式、排放量或影响情况、受纳水体环境质量现状、水环境保护目标等综合确定。项目无生产废水外排，对地表水的影响类型为水污染影响型，不涉及水文要素影响型，分级判据见表1.</w:t>
      </w:r>
      <w:r>
        <w:rPr>
          <w:rFonts w:hint="eastAsia" w:ascii="Times New Roman" w:hAnsi="Times New Roman" w:eastAsia="宋体" w:cs="Times New Roman"/>
          <w:snapToGrid w:val="0"/>
          <w:color w:val="auto"/>
          <w:kern w:val="0"/>
          <w:sz w:val="24"/>
          <w:szCs w:val="24"/>
          <w:u w:val="none" w:color="auto"/>
        </w:rPr>
        <w:t>6</w:t>
      </w:r>
      <w:r>
        <w:rPr>
          <w:rFonts w:ascii="Times New Roman" w:hAnsi="Times New Roman" w:eastAsia="宋体" w:cs="Times New Roman"/>
          <w:snapToGrid w:val="0"/>
          <w:color w:val="auto"/>
          <w:kern w:val="0"/>
          <w:sz w:val="24"/>
          <w:szCs w:val="24"/>
          <w:u w:val="none" w:color="auto"/>
        </w:rPr>
        <w:t>-</w:t>
      </w:r>
      <w:r>
        <w:rPr>
          <w:rFonts w:hint="eastAsia" w:ascii="Times New Roman" w:hAnsi="Times New Roman" w:eastAsia="宋体" w:cs="Times New Roman"/>
          <w:snapToGrid w:val="0"/>
          <w:color w:val="auto"/>
          <w:kern w:val="0"/>
          <w:sz w:val="24"/>
          <w:szCs w:val="24"/>
          <w:u w:val="none" w:color="auto"/>
        </w:rPr>
        <w:t>3</w:t>
      </w:r>
      <w:r>
        <w:rPr>
          <w:rFonts w:ascii="Times New Roman" w:hAnsi="Times New Roman" w:eastAsia="宋体" w:cs="Times New Roman"/>
          <w:snapToGrid w:val="0"/>
          <w:color w:val="auto"/>
          <w:kern w:val="0"/>
          <w:sz w:val="24"/>
          <w:szCs w:val="24"/>
          <w:u w:val="none" w:color="auto"/>
        </w:rPr>
        <w:t>。</w:t>
      </w:r>
    </w:p>
    <w:p w14:paraId="536B1FEA">
      <w:pPr>
        <w:jc w:val="center"/>
        <w:rPr>
          <w:rFonts w:ascii="Times New Roman" w:hAnsi="Times New Roman"/>
          <w:b/>
          <w:color w:val="auto"/>
          <w:spacing w:val="-2"/>
          <w:kern w:val="0"/>
          <w:szCs w:val="21"/>
          <w:u w:val="none" w:color="auto"/>
        </w:rPr>
      </w:pPr>
      <w:r>
        <w:rPr>
          <w:rFonts w:ascii="Times New Roman" w:hAnsi="Times New Roman"/>
          <w:b/>
          <w:color w:val="auto"/>
          <w:spacing w:val="-2"/>
          <w:kern w:val="0"/>
          <w:szCs w:val="21"/>
          <w:u w:val="none" w:color="auto"/>
        </w:rPr>
        <w:t>表1.</w:t>
      </w:r>
      <w:r>
        <w:rPr>
          <w:rFonts w:hint="eastAsia" w:ascii="Times New Roman" w:hAnsi="Times New Roman"/>
          <w:b/>
          <w:color w:val="auto"/>
          <w:spacing w:val="-2"/>
          <w:kern w:val="0"/>
          <w:szCs w:val="21"/>
          <w:u w:val="none" w:color="auto"/>
        </w:rPr>
        <w:t>6</w:t>
      </w:r>
      <w:r>
        <w:rPr>
          <w:rFonts w:ascii="Times New Roman" w:hAnsi="Times New Roman"/>
          <w:b/>
          <w:color w:val="auto"/>
          <w:spacing w:val="-2"/>
          <w:kern w:val="0"/>
          <w:szCs w:val="21"/>
          <w:u w:val="none" w:color="auto"/>
        </w:rPr>
        <w:t>-</w:t>
      </w:r>
      <w:r>
        <w:rPr>
          <w:rFonts w:hint="eastAsia" w:ascii="Times New Roman" w:hAnsi="Times New Roman"/>
          <w:b/>
          <w:color w:val="auto"/>
          <w:spacing w:val="-2"/>
          <w:kern w:val="0"/>
          <w:szCs w:val="21"/>
          <w:u w:val="none" w:color="auto"/>
        </w:rPr>
        <w:t>3</w:t>
      </w:r>
      <w:r>
        <w:rPr>
          <w:rFonts w:ascii="Times New Roman" w:hAnsi="Times New Roman"/>
          <w:b/>
          <w:color w:val="auto"/>
          <w:spacing w:val="-2"/>
          <w:kern w:val="0"/>
          <w:szCs w:val="21"/>
          <w:u w:val="none" w:color="auto"/>
        </w:rPr>
        <w:t xml:space="preserve">  水污染影响型建设项目评价等级判定表</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92"/>
        <w:gridCol w:w="1292"/>
        <w:gridCol w:w="5936"/>
      </w:tblGrid>
      <w:tr w14:paraId="20C98F2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vMerge w:val="restart"/>
            <w:tcBorders>
              <w:tl2br w:val="nil"/>
              <w:tr2bl w:val="nil"/>
            </w:tcBorders>
            <w:vAlign w:val="center"/>
          </w:tcPr>
          <w:p w14:paraId="7849BFB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评价等级</w:t>
            </w:r>
          </w:p>
        </w:tc>
        <w:tc>
          <w:tcPr>
            <w:tcW w:w="7228" w:type="dxa"/>
            <w:gridSpan w:val="2"/>
            <w:tcBorders>
              <w:tl2br w:val="nil"/>
              <w:tr2bl w:val="nil"/>
            </w:tcBorders>
            <w:vAlign w:val="center"/>
          </w:tcPr>
          <w:p w14:paraId="30A5C91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判定依据</w:t>
            </w:r>
          </w:p>
        </w:tc>
      </w:tr>
      <w:tr w14:paraId="639060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vMerge w:val="continue"/>
            <w:tcBorders>
              <w:tl2br w:val="nil"/>
              <w:tr2bl w:val="nil"/>
            </w:tcBorders>
            <w:vAlign w:val="center"/>
          </w:tcPr>
          <w:p w14:paraId="56D2CAF0">
            <w:pPr>
              <w:jc w:val="center"/>
              <w:rPr>
                <w:rFonts w:ascii="Times New Roman" w:hAnsi="Times New Roman" w:eastAsia="宋体" w:cs="Times New Roman"/>
                <w:color w:val="auto"/>
                <w:spacing w:val="-2"/>
                <w:kern w:val="0"/>
                <w:szCs w:val="21"/>
                <w:u w:val="none" w:color="auto"/>
              </w:rPr>
            </w:pPr>
          </w:p>
        </w:tc>
        <w:tc>
          <w:tcPr>
            <w:tcW w:w="1292" w:type="dxa"/>
            <w:tcBorders>
              <w:tl2br w:val="nil"/>
              <w:tr2bl w:val="nil"/>
            </w:tcBorders>
            <w:vAlign w:val="center"/>
          </w:tcPr>
          <w:p w14:paraId="028F087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排放方式</w:t>
            </w:r>
          </w:p>
        </w:tc>
        <w:tc>
          <w:tcPr>
            <w:tcW w:w="5936" w:type="dxa"/>
            <w:tcBorders>
              <w:tl2br w:val="nil"/>
              <w:tr2bl w:val="nil"/>
            </w:tcBorders>
            <w:vAlign w:val="center"/>
          </w:tcPr>
          <w:p w14:paraId="023C1DC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废水排放量Q/（m</w:t>
            </w:r>
            <w:r>
              <w:rPr>
                <w:rFonts w:ascii="Times New Roman" w:hAnsi="Times New Roman" w:eastAsia="宋体" w:cs="Times New Roman"/>
                <w:color w:val="auto"/>
                <w:spacing w:val="-2"/>
                <w:kern w:val="0"/>
                <w:szCs w:val="21"/>
                <w:u w:val="none" w:color="auto"/>
                <w:vertAlign w:val="superscript"/>
              </w:rPr>
              <w:t>3</w:t>
            </w:r>
            <w:r>
              <w:rPr>
                <w:rFonts w:ascii="Times New Roman" w:hAnsi="Times New Roman" w:eastAsia="宋体" w:cs="Times New Roman"/>
                <w:color w:val="auto"/>
                <w:spacing w:val="-2"/>
                <w:kern w:val="0"/>
                <w:szCs w:val="21"/>
                <w:u w:val="none" w:color="auto"/>
              </w:rPr>
              <w:t>/d）；水污染物当量数W/（无量纲）</w:t>
            </w:r>
          </w:p>
        </w:tc>
      </w:tr>
      <w:tr w14:paraId="4196F1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tcBorders>
              <w:tl2br w:val="nil"/>
              <w:tr2bl w:val="nil"/>
            </w:tcBorders>
            <w:vAlign w:val="center"/>
          </w:tcPr>
          <w:p w14:paraId="021B9D6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1292" w:type="dxa"/>
            <w:tcBorders>
              <w:tl2br w:val="nil"/>
              <w:tr2bl w:val="nil"/>
            </w:tcBorders>
            <w:vAlign w:val="center"/>
          </w:tcPr>
          <w:p w14:paraId="0B13017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直接排放</w:t>
            </w:r>
          </w:p>
        </w:tc>
        <w:tc>
          <w:tcPr>
            <w:tcW w:w="5936" w:type="dxa"/>
            <w:tcBorders>
              <w:tl2br w:val="nil"/>
              <w:tr2bl w:val="nil"/>
            </w:tcBorders>
            <w:vAlign w:val="center"/>
          </w:tcPr>
          <w:p w14:paraId="294E113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Q≥20000或W≥600000</w:t>
            </w:r>
          </w:p>
        </w:tc>
      </w:tr>
      <w:tr w14:paraId="6E2E502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tcBorders>
              <w:tl2br w:val="nil"/>
              <w:tr2bl w:val="nil"/>
            </w:tcBorders>
            <w:vAlign w:val="center"/>
          </w:tcPr>
          <w:p w14:paraId="4BF5EC8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1292" w:type="dxa"/>
            <w:tcBorders>
              <w:tl2br w:val="nil"/>
              <w:tr2bl w:val="nil"/>
            </w:tcBorders>
            <w:vAlign w:val="center"/>
          </w:tcPr>
          <w:p w14:paraId="526BD4B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直接排放</w:t>
            </w:r>
          </w:p>
        </w:tc>
        <w:tc>
          <w:tcPr>
            <w:tcW w:w="5936" w:type="dxa"/>
            <w:tcBorders>
              <w:tl2br w:val="nil"/>
              <w:tr2bl w:val="nil"/>
            </w:tcBorders>
            <w:vAlign w:val="center"/>
          </w:tcPr>
          <w:p w14:paraId="12A358A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其他</w:t>
            </w:r>
          </w:p>
        </w:tc>
      </w:tr>
      <w:tr w14:paraId="7ED8C1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tcBorders>
              <w:tl2br w:val="nil"/>
              <w:tr2bl w:val="nil"/>
            </w:tcBorders>
            <w:vAlign w:val="center"/>
          </w:tcPr>
          <w:p w14:paraId="0C71E0B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三级A</w:t>
            </w:r>
          </w:p>
        </w:tc>
        <w:tc>
          <w:tcPr>
            <w:tcW w:w="1292" w:type="dxa"/>
            <w:tcBorders>
              <w:tl2br w:val="nil"/>
              <w:tr2bl w:val="nil"/>
            </w:tcBorders>
            <w:vAlign w:val="center"/>
          </w:tcPr>
          <w:p w14:paraId="1729534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直接排放</w:t>
            </w:r>
          </w:p>
        </w:tc>
        <w:tc>
          <w:tcPr>
            <w:tcW w:w="5936" w:type="dxa"/>
            <w:tcBorders>
              <w:tl2br w:val="nil"/>
              <w:tr2bl w:val="nil"/>
            </w:tcBorders>
            <w:vAlign w:val="center"/>
          </w:tcPr>
          <w:p w14:paraId="4C9C87E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Q＜200且W＜6000</w:t>
            </w:r>
          </w:p>
        </w:tc>
      </w:tr>
      <w:tr w14:paraId="4F2C1F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292" w:type="dxa"/>
            <w:tcBorders>
              <w:tl2br w:val="nil"/>
              <w:tr2bl w:val="nil"/>
            </w:tcBorders>
            <w:vAlign w:val="center"/>
          </w:tcPr>
          <w:p w14:paraId="49EB082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三级B</w:t>
            </w:r>
          </w:p>
        </w:tc>
        <w:tc>
          <w:tcPr>
            <w:tcW w:w="1292" w:type="dxa"/>
            <w:tcBorders>
              <w:tl2br w:val="nil"/>
              <w:tr2bl w:val="nil"/>
            </w:tcBorders>
            <w:vAlign w:val="center"/>
          </w:tcPr>
          <w:p w14:paraId="22F06D2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间接排放</w:t>
            </w:r>
          </w:p>
        </w:tc>
        <w:tc>
          <w:tcPr>
            <w:tcW w:w="5936" w:type="dxa"/>
            <w:tcBorders>
              <w:tl2br w:val="nil"/>
              <w:tr2bl w:val="nil"/>
            </w:tcBorders>
            <w:vAlign w:val="center"/>
          </w:tcPr>
          <w:p w14:paraId="7DEFC37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w:t>
            </w:r>
          </w:p>
        </w:tc>
      </w:tr>
    </w:tbl>
    <w:p w14:paraId="5B4C4E4A">
      <w:pPr>
        <w:autoSpaceDE w:val="0"/>
        <w:autoSpaceDN w:val="0"/>
        <w:spacing w:line="360" w:lineRule="auto"/>
        <w:ind w:firstLine="472" w:firstLineChars="200"/>
        <w:rPr>
          <w:rFonts w:ascii="Times New Roman" w:hAnsi="Times New Roman" w:eastAsia="宋体" w:cs="Times New Roman"/>
          <w:bCs/>
          <w:color w:val="auto"/>
          <w:kern w:val="0"/>
          <w:sz w:val="24"/>
          <w:szCs w:val="32"/>
          <w:u w:val="none" w:color="auto"/>
        </w:rPr>
      </w:pPr>
      <w:r>
        <w:rPr>
          <w:rFonts w:hint="eastAsia" w:ascii="Times New Roman" w:hAnsi="Times New Roman" w:eastAsia="宋体" w:cs="Times New Roman"/>
          <w:color w:val="auto"/>
          <w:spacing w:val="-2"/>
          <w:kern w:val="0"/>
          <w:sz w:val="24"/>
          <w:szCs w:val="24"/>
          <w:u w:val="none" w:color="auto"/>
        </w:rPr>
        <w:t>项目营运期废水排放方式为间接排放，依据水污染影响判定评价等级为三级B。</w:t>
      </w:r>
    </w:p>
    <w:p w14:paraId="1B939D4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04" w:name="_Toc3728144"/>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.6.3地下水</w:t>
      </w:r>
      <w:bookmarkEnd w:id="104"/>
    </w:p>
    <w:p w14:paraId="53EA11FA">
      <w:pPr>
        <w:autoSpaceDE w:val="0"/>
        <w:autoSpaceDN w:val="0"/>
        <w:spacing w:line="360" w:lineRule="auto"/>
        <w:ind w:firstLine="480" w:firstLineChars="200"/>
        <w:jc w:val="left"/>
        <w:rPr>
          <w:rFonts w:ascii="Times New Roman" w:hAnsi="Times New Roman" w:eastAsia="宋体" w:cs="Times New Roman"/>
          <w:bCs/>
          <w:color w:val="auto"/>
          <w:kern w:val="0"/>
          <w:sz w:val="24"/>
          <w:szCs w:val="32"/>
          <w:u w:val="none" w:color="auto"/>
        </w:rPr>
      </w:pPr>
      <w:r>
        <w:rPr>
          <w:rFonts w:ascii="Times New Roman" w:hAnsi="Times New Roman" w:eastAsia="宋体" w:cs="Times New Roman"/>
          <w:bCs/>
          <w:color w:val="auto"/>
          <w:kern w:val="0"/>
          <w:sz w:val="24"/>
          <w:szCs w:val="32"/>
          <w:u w:val="none" w:color="auto"/>
        </w:rPr>
        <w:t>根据《环境影响评价技术导则-地下水环境》（HJ610-2016）的要求，地下水环境影响评价工作等级划分应依据建设项目行业分类和地下水环境敏感程度分级进行判定。</w:t>
      </w:r>
    </w:p>
    <w:p w14:paraId="2581B30B">
      <w:pPr>
        <w:autoSpaceDE w:val="0"/>
        <w:autoSpaceDN w:val="0"/>
        <w:spacing w:line="360" w:lineRule="auto"/>
        <w:ind w:firstLine="480" w:firstLineChars="200"/>
        <w:jc w:val="left"/>
        <w:rPr>
          <w:rFonts w:ascii="Times New Roman" w:hAnsi="Times New Roman" w:eastAsia="宋体" w:cs="Times New Roman"/>
          <w:bCs/>
          <w:color w:val="auto"/>
          <w:kern w:val="0"/>
          <w:sz w:val="24"/>
          <w:szCs w:val="32"/>
          <w:u w:val="none" w:color="auto"/>
        </w:rPr>
      </w:pPr>
      <w:r>
        <w:rPr>
          <w:rFonts w:ascii="Times New Roman" w:hAnsi="Times New Roman" w:eastAsia="宋体" w:cs="Times New Roman"/>
          <w:bCs/>
          <w:color w:val="auto"/>
          <w:kern w:val="0"/>
          <w:sz w:val="24"/>
          <w:szCs w:val="32"/>
          <w:u w:val="none" w:color="auto"/>
        </w:rPr>
        <w:t>1）建设项目行业分类</w:t>
      </w:r>
    </w:p>
    <w:p w14:paraId="4ECB4172">
      <w:pPr>
        <w:autoSpaceDE w:val="0"/>
        <w:autoSpaceDN w:val="0"/>
        <w:spacing w:line="360" w:lineRule="auto"/>
        <w:ind w:firstLine="480" w:firstLineChars="200"/>
        <w:jc w:val="left"/>
        <w:rPr>
          <w:rFonts w:ascii="Times New Roman" w:hAnsi="Times New Roman" w:eastAsia="宋体" w:cs="Times New Roman"/>
          <w:bCs/>
          <w:color w:val="auto"/>
          <w:kern w:val="0"/>
          <w:sz w:val="24"/>
          <w:szCs w:val="32"/>
          <w:u w:val="none" w:color="auto"/>
        </w:rPr>
      </w:pPr>
      <w:r>
        <w:rPr>
          <w:rFonts w:ascii="Times New Roman" w:hAnsi="Times New Roman" w:eastAsia="宋体" w:cs="Times New Roman"/>
          <w:bCs/>
          <w:color w:val="auto"/>
          <w:kern w:val="0"/>
          <w:sz w:val="24"/>
          <w:szCs w:val="32"/>
          <w:u w:val="none" w:color="auto"/>
        </w:rPr>
        <w:t>根据《环境影响评价技术导则-地下水环境》（HJ610-2016）中“地下水环境影响评价行业分类表”的规定，地下水环境影响评价项目类别</w:t>
      </w:r>
      <w:r>
        <w:rPr>
          <w:rFonts w:hint="eastAsia" w:ascii="Times New Roman" w:hAnsi="Times New Roman" w:eastAsia="宋体" w:cs="Times New Roman"/>
          <w:bCs/>
          <w:color w:val="auto"/>
          <w:kern w:val="0"/>
          <w:sz w:val="24"/>
          <w:szCs w:val="32"/>
          <w:u w:val="none" w:color="auto"/>
        </w:rPr>
        <w:t>属</w:t>
      </w:r>
      <w:r>
        <w:rPr>
          <w:rFonts w:ascii="Times New Roman" w:hAnsi="Times New Roman" w:eastAsia="宋体" w:cs="Times New Roman"/>
          <w:bCs/>
          <w:color w:val="auto"/>
          <w:kern w:val="0"/>
          <w:sz w:val="24"/>
          <w:szCs w:val="32"/>
          <w:u w:val="none" w:color="auto"/>
        </w:rPr>
        <w:t>“Ⅲ类”项目（</w:t>
      </w:r>
      <w:r>
        <w:rPr>
          <w:rFonts w:hint="eastAsia" w:ascii="Times New Roman" w:hAnsi="Times New Roman" w:eastAsia="宋体" w:cs="Times New Roman"/>
          <w:bCs/>
          <w:color w:val="auto"/>
          <w:kern w:val="0"/>
          <w:sz w:val="24"/>
          <w:szCs w:val="32"/>
          <w:u w:val="none" w:color="auto"/>
          <w:lang w:val="en-US" w:eastAsia="zh-CN"/>
        </w:rPr>
        <w:t>I金属制品类别中的53金属制品加工制造</w:t>
      </w:r>
      <w:r>
        <w:rPr>
          <w:rFonts w:ascii="Times New Roman" w:hAnsi="Times New Roman" w:eastAsia="宋体" w:cs="Times New Roman"/>
          <w:bCs/>
          <w:color w:val="auto"/>
          <w:kern w:val="0"/>
          <w:sz w:val="24"/>
          <w:szCs w:val="32"/>
          <w:u w:val="none" w:color="auto"/>
        </w:rPr>
        <w:t>：有电镀或喷漆工艺的报告书）。</w:t>
      </w:r>
    </w:p>
    <w:p w14:paraId="340AF19F">
      <w:pPr>
        <w:autoSpaceDE w:val="0"/>
        <w:autoSpaceDN w:val="0"/>
        <w:spacing w:line="360" w:lineRule="auto"/>
        <w:ind w:firstLine="480" w:firstLineChars="200"/>
        <w:jc w:val="left"/>
        <w:rPr>
          <w:rFonts w:ascii="Times New Roman" w:hAnsi="Times New Roman" w:eastAsia="宋体" w:cs="Times New Roman"/>
          <w:bCs/>
          <w:color w:val="auto"/>
          <w:kern w:val="0"/>
          <w:sz w:val="24"/>
          <w:szCs w:val="32"/>
          <w:u w:val="none" w:color="auto"/>
        </w:rPr>
      </w:pPr>
      <w:r>
        <w:rPr>
          <w:rFonts w:ascii="Times New Roman" w:hAnsi="Times New Roman" w:eastAsia="宋体" w:cs="Times New Roman"/>
          <w:bCs/>
          <w:color w:val="auto"/>
          <w:kern w:val="0"/>
          <w:sz w:val="24"/>
          <w:szCs w:val="32"/>
          <w:u w:val="none" w:color="auto"/>
        </w:rPr>
        <w:t>2）地下水环境敏感程度分级</w:t>
      </w:r>
    </w:p>
    <w:p w14:paraId="1DF1DB36">
      <w:pPr>
        <w:autoSpaceDE w:val="0"/>
        <w:autoSpaceDN w:val="0"/>
        <w:spacing w:line="360" w:lineRule="auto"/>
        <w:ind w:firstLine="480" w:firstLineChars="200"/>
        <w:jc w:val="left"/>
        <w:rPr>
          <w:rFonts w:ascii="Times New Roman" w:hAnsi="Times New Roman" w:eastAsia="宋体" w:cs="Times New Roman"/>
          <w:bCs/>
          <w:color w:val="auto"/>
          <w:kern w:val="0"/>
          <w:sz w:val="24"/>
          <w:szCs w:val="32"/>
          <w:u w:val="none" w:color="auto"/>
        </w:rPr>
      </w:pPr>
      <w:r>
        <w:rPr>
          <w:rFonts w:ascii="Times New Roman" w:hAnsi="Times New Roman" w:eastAsia="宋体" w:cs="Times New Roman"/>
          <w:bCs/>
          <w:color w:val="auto"/>
          <w:kern w:val="0"/>
          <w:sz w:val="24"/>
          <w:szCs w:val="32"/>
          <w:u w:val="none" w:color="auto"/>
        </w:rPr>
        <w:t>根据调查资料及结合本次评价现场调查成果，项目所在区域为工业区，项目所在区域及周边影响范围内没有集中饮用水源准保护区、除集中饮用水源以外的国家或地方政府设定的与地下环境</w:t>
      </w:r>
      <w:r>
        <w:rPr>
          <w:rFonts w:hint="eastAsia" w:ascii="Times New Roman" w:hAnsi="Times New Roman" w:eastAsia="宋体" w:cs="Times New Roman"/>
          <w:bCs/>
          <w:color w:val="auto"/>
          <w:kern w:val="0"/>
          <w:sz w:val="24"/>
          <w:szCs w:val="32"/>
          <w:u w:val="none" w:color="auto"/>
          <w:lang w:eastAsia="zh-CN"/>
        </w:rPr>
        <w:t>相关的其他</w:t>
      </w:r>
      <w:r>
        <w:rPr>
          <w:rFonts w:ascii="Times New Roman" w:hAnsi="Times New Roman" w:eastAsia="宋体" w:cs="Times New Roman"/>
          <w:bCs/>
          <w:color w:val="auto"/>
          <w:kern w:val="0"/>
          <w:sz w:val="24"/>
          <w:szCs w:val="32"/>
          <w:u w:val="none" w:color="auto"/>
        </w:rPr>
        <w:t>保护区，也无集中式饮用水源准保护区以外的补给径流区、未划定准保护区的集中水式饮用水源、其保护区以外的补给径流区，依据分散式饮用水水源地环境保护指南（试行），分散式地下水水源保护区范为取水口30~50m范围内，项目50m范围内无地下水</w:t>
      </w:r>
      <w:r>
        <w:rPr>
          <w:rFonts w:hint="eastAsia" w:ascii="Times New Roman" w:hAnsi="Times New Roman" w:eastAsia="宋体" w:cs="Times New Roman"/>
          <w:bCs/>
          <w:color w:val="auto"/>
          <w:kern w:val="0"/>
          <w:sz w:val="24"/>
          <w:szCs w:val="32"/>
          <w:u w:val="none" w:color="auto"/>
        </w:rPr>
        <w:t>取</w:t>
      </w:r>
      <w:r>
        <w:rPr>
          <w:rFonts w:ascii="Times New Roman" w:hAnsi="Times New Roman" w:eastAsia="宋体" w:cs="Times New Roman"/>
          <w:bCs/>
          <w:color w:val="auto"/>
          <w:kern w:val="0"/>
          <w:sz w:val="24"/>
          <w:szCs w:val="32"/>
          <w:u w:val="none" w:color="auto"/>
        </w:rPr>
        <w:t>水口，因此不在分散式饮用水源地保护范围内，也不在特殊地下水资源保护区以外的分布区等，所在区域属于不敏感区。参照《环境影响评价技术导则地下水环境》（HJ610-2016）中“评价等级分级表”，本项目地下水环境影响评价等级为</w:t>
      </w:r>
      <w:r>
        <w:rPr>
          <w:rFonts w:hint="eastAsia" w:ascii="Times New Roman" w:hAnsi="Times New Roman" w:eastAsia="宋体" w:cs="Times New Roman"/>
          <w:bCs/>
          <w:color w:val="auto"/>
          <w:kern w:val="0"/>
          <w:sz w:val="24"/>
          <w:szCs w:val="32"/>
          <w:u w:val="none" w:color="auto"/>
        </w:rPr>
        <w:t>三</w:t>
      </w:r>
      <w:r>
        <w:rPr>
          <w:rFonts w:ascii="Times New Roman" w:hAnsi="Times New Roman" w:eastAsia="宋体" w:cs="Times New Roman"/>
          <w:bCs/>
          <w:color w:val="auto"/>
          <w:kern w:val="0"/>
          <w:sz w:val="24"/>
          <w:szCs w:val="32"/>
          <w:u w:val="none" w:color="auto"/>
        </w:rPr>
        <w:t>级。具体见表</w:t>
      </w:r>
      <w:r>
        <w:rPr>
          <w:rFonts w:hint="eastAsia" w:ascii="Times New Roman" w:hAnsi="Times New Roman" w:eastAsia="宋体" w:cs="Times New Roman"/>
          <w:bCs/>
          <w:color w:val="auto"/>
          <w:kern w:val="0"/>
          <w:sz w:val="24"/>
          <w:szCs w:val="32"/>
          <w:u w:val="none" w:color="auto"/>
        </w:rPr>
        <w:t>1</w:t>
      </w:r>
      <w:r>
        <w:rPr>
          <w:rFonts w:ascii="Times New Roman" w:hAnsi="Times New Roman" w:eastAsia="宋体" w:cs="Times New Roman"/>
          <w:bCs/>
          <w:color w:val="auto"/>
          <w:kern w:val="0"/>
          <w:sz w:val="24"/>
          <w:szCs w:val="32"/>
          <w:u w:val="none" w:color="auto"/>
        </w:rPr>
        <w:t>.6-</w:t>
      </w:r>
      <w:r>
        <w:rPr>
          <w:rFonts w:hint="eastAsia" w:ascii="Times New Roman" w:hAnsi="Times New Roman" w:eastAsia="宋体" w:cs="Times New Roman"/>
          <w:bCs/>
          <w:color w:val="auto"/>
          <w:kern w:val="0"/>
          <w:sz w:val="24"/>
          <w:szCs w:val="32"/>
          <w:u w:val="none" w:color="auto"/>
        </w:rPr>
        <w:t>4</w:t>
      </w:r>
      <w:r>
        <w:rPr>
          <w:rFonts w:ascii="Times New Roman" w:hAnsi="Times New Roman" w:eastAsia="宋体" w:cs="Times New Roman"/>
          <w:bCs/>
          <w:color w:val="auto"/>
          <w:kern w:val="0"/>
          <w:sz w:val="24"/>
          <w:szCs w:val="32"/>
          <w:u w:val="none" w:color="auto"/>
        </w:rPr>
        <w:t>。</w:t>
      </w:r>
    </w:p>
    <w:p w14:paraId="15A898D2">
      <w:pPr>
        <w:jc w:val="center"/>
        <w:rPr>
          <w:rFonts w:ascii="宋体" w:hAnsi="宋体" w:eastAsia="宋体" w:cs="宋体"/>
          <w:b/>
          <w:color w:val="auto"/>
          <w:spacing w:val="-2"/>
          <w:kern w:val="0"/>
          <w:szCs w:val="21"/>
          <w:u w:val="none" w:color="auto"/>
        </w:rPr>
      </w:pPr>
      <w:r>
        <w:rPr>
          <w:rFonts w:hint="eastAsia" w:ascii="宋体" w:hAnsi="宋体" w:eastAsia="宋体" w:cs="宋体"/>
          <w:b/>
          <w:color w:val="auto"/>
          <w:spacing w:val="-2"/>
          <w:kern w:val="0"/>
          <w:szCs w:val="21"/>
          <w:u w:val="none" w:color="auto"/>
        </w:rPr>
        <w:t>表1.6-4 项目地下水环境敏感程度分级表</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22"/>
        <w:gridCol w:w="856"/>
        <w:gridCol w:w="5150"/>
        <w:gridCol w:w="1292"/>
      </w:tblGrid>
      <w:tr w14:paraId="68932A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22" w:type="dxa"/>
            <w:tcBorders>
              <w:tl2br w:val="nil"/>
              <w:tr2bl w:val="nil"/>
            </w:tcBorders>
            <w:vAlign w:val="center"/>
          </w:tcPr>
          <w:p w14:paraId="2491897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划分依据</w:t>
            </w:r>
          </w:p>
        </w:tc>
        <w:tc>
          <w:tcPr>
            <w:tcW w:w="856" w:type="dxa"/>
            <w:tcBorders>
              <w:tl2br w:val="nil"/>
              <w:tr2bl w:val="nil"/>
            </w:tcBorders>
            <w:vAlign w:val="center"/>
          </w:tcPr>
          <w:p w14:paraId="068493D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分级</w:t>
            </w:r>
          </w:p>
        </w:tc>
        <w:tc>
          <w:tcPr>
            <w:tcW w:w="5150" w:type="dxa"/>
            <w:tcBorders>
              <w:tl2br w:val="nil"/>
              <w:tr2bl w:val="nil"/>
            </w:tcBorders>
            <w:vAlign w:val="center"/>
          </w:tcPr>
          <w:p w14:paraId="180CDCF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分级规定</w:t>
            </w:r>
          </w:p>
        </w:tc>
        <w:tc>
          <w:tcPr>
            <w:tcW w:w="1292" w:type="dxa"/>
            <w:tcBorders>
              <w:tl2br w:val="nil"/>
              <w:tr2bl w:val="nil"/>
            </w:tcBorders>
            <w:vAlign w:val="center"/>
          </w:tcPr>
          <w:p w14:paraId="44C7ED3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本项目情况</w:t>
            </w:r>
          </w:p>
        </w:tc>
      </w:tr>
      <w:tr w14:paraId="1ABBB44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22" w:type="dxa"/>
            <w:vMerge w:val="restart"/>
            <w:tcBorders>
              <w:tl2br w:val="nil"/>
              <w:tr2bl w:val="nil"/>
            </w:tcBorders>
            <w:vAlign w:val="center"/>
          </w:tcPr>
          <w:p w14:paraId="21A78A3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地下水环境敏感程度分级</w:t>
            </w:r>
          </w:p>
        </w:tc>
        <w:tc>
          <w:tcPr>
            <w:tcW w:w="856" w:type="dxa"/>
            <w:tcBorders>
              <w:tl2br w:val="nil"/>
              <w:tr2bl w:val="nil"/>
            </w:tcBorders>
            <w:vAlign w:val="center"/>
          </w:tcPr>
          <w:p w14:paraId="706B30A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敏感</w:t>
            </w:r>
          </w:p>
        </w:tc>
        <w:tc>
          <w:tcPr>
            <w:tcW w:w="5150" w:type="dxa"/>
            <w:tcBorders>
              <w:tl2br w:val="nil"/>
              <w:tr2bl w:val="nil"/>
            </w:tcBorders>
            <w:vAlign w:val="center"/>
          </w:tcPr>
          <w:p w14:paraId="361D8C9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集中式饮用水源地（包括已建成的在用、备用、应急水源地，在建和规划的水源地）准保护区；除集中式饮用水水源地以外的国家或地方政府设定的与地下水环境相关的其他保护区。如热水、矿泉水、温泉等特殊地下水资源保护区。</w:t>
            </w:r>
          </w:p>
        </w:tc>
        <w:tc>
          <w:tcPr>
            <w:tcW w:w="1292" w:type="dxa"/>
            <w:vMerge w:val="restart"/>
            <w:tcBorders>
              <w:tl2br w:val="nil"/>
              <w:tr2bl w:val="nil"/>
            </w:tcBorders>
            <w:vAlign w:val="center"/>
          </w:tcPr>
          <w:p w14:paraId="3E4BF499">
            <w:pPr>
              <w:jc w:val="center"/>
              <w:rPr>
                <w:rFonts w:ascii="Times New Roman" w:hAnsi="Times New Roman" w:eastAsia="宋体" w:cs="Times New Roman"/>
                <w:color w:val="auto"/>
                <w:spacing w:val="-2"/>
                <w:kern w:val="0"/>
                <w:szCs w:val="21"/>
                <w:u w:val="none" w:color="auto"/>
              </w:rPr>
            </w:pPr>
          </w:p>
          <w:p w14:paraId="0209F3EA">
            <w:pPr>
              <w:jc w:val="center"/>
              <w:rPr>
                <w:rFonts w:ascii="Times New Roman" w:hAnsi="Times New Roman" w:eastAsia="宋体" w:cs="Times New Roman"/>
                <w:color w:val="auto"/>
                <w:spacing w:val="-2"/>
                <w:kern w:val="0"/>
                <w:szCs w:val="21"/>
                <w:u w:val="none" w:color="auto"/>
              </w:rPr>
            </w:pPr>
          </w:p>
          <w:p w14:paraId="6B48F9DA">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项目周边</w:t>
            </w:r>
            <w:r>
              <w:rPr>
                <w:rFonts w:hint="eastAsia" w:ascii="Times New Roman" w:hAnsi="Times New Roman" w:eastAsia="宋体" w:cs="Times New Roman"/>
                <w:color w:val="auto"/>
                <w:spacing w:val="-2"/>
                <w:kern w:val="0"/>
                <w:szCs w:val="21"/>
                <w:u w:val="none" w:color="auto"/>
              </w:rPr>
              <w:t>无</w:t>
            </w:r>
            <w:r>
              <w:rPr>
                <w:rFonts w:ascii="Times New Roman" w:hAnsi="Times New Roman" w:eastAsia="宋体" w:cs="Times New Roman"/>
                <w:color w:val="auto"/>
                <w:spacing w:val="-2"/>
                <w:kern w:val="0"/>
                <w:szCs w:val="21"/>
                <w:u w:val="none" w:color="auto"/>
              </w:rPr>
              <w:t>饮用水源，地下水环境敏感程度为</w:t>
            </w:r>
            <w:r>
              <w:rPr>
                <w:rFonts w:hint="eastAsia" w:ascii="Times New Roman" w:hAnsi="Times New Roman" w:eastAsia="宋体" w:cs="Times New Roman"/>
                <w:color w:val="auto"/>
                <w:spacing w:val="-2"/>
                <w:kern w:val="0"/>
                <w:szCs w:val="21"/>
                <w:u w:val="none" w:color="auto"/>
              </w:rPr>
              <w:t>不</w:t>
            </w:r>
            <w:r>
              <w:rPr>
                <w:rFonts w:ascii="Times New Roman" w:hAnsi="Times New Roman" w:eastAsia="宋体" w:cs="Times New Roman"/>
                <w:color w:val="auto"/>
                <w:spacing w:val="-2"/>
                <w:kern w:val="0"/>
                <w:szCs w:val="21"/>
                <w:u w:val="none" w:color="auto"/>
              </w:rPr>
              <w:t>敏感。</w:t>
            </w:r>
          </w:p>
        </w:tc>
      </w:tr>
      <w:tr w14:paraId="079A131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222" w:type="dxa"/>
            <w:vMerge w:val="continue"/>
            <w:tcBorders>
              <w:tl2br w:val="nil"/>
              <w:tr2bl w:val="nil"/>
            </w:tcBorders>
            <w:vAlign w:val="center"/>
          </w:tcPr>
          <w:p w14:paraId="0175104D">
            <w:pPr>
              <w:jc w:val="center"/>
              <w:rPr>
                <w:rFonts w:ascii="Times New Roman" w:hAnsi="Times New Roman" w:eastAsia="宋体" w:cs="Times New Roman"/>
                <w:color w:val="auto"/>
                <w:spacing w:val="-2"/>
                <w:kern w:val="0"/>
                <w:szCs w:val="21"/>
                <w:u w:val="none" w:color="auto"/>
              </w:rPr>
            </w:pPr>
          </w:p>
        </w:tc>
        <w:tc>
          <w:tcPr>
            <w:tcW w:w="856" w:type="dxa"/>
            <w:tcBorders>
              <w:tl2br w:val="nil"/>
              <w:tr2bl w:val="nil"/>
            </w:tcBorders>
            <w:vAlign w:val="center"/>
          </w:tcPr>
          <w:p w14:paraId="7241475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较敏感</w:t>
            </w:r>
          </w:p>
        </w:tc>
        <w:tc>
          <w:tcPr>
            <w:tcW w:w="5150" w:type="dxa"/>
            <w:tcBorders>
              <w:tl2br w:val="nil"/>
              <w:tr2bl w:val="nil"/>
            </w:tcBorders>
          </w:tcPr>
          <w:p w14:paraId="040DD45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集中式饮用水源地（包括已建成的在用、备用、应急水源地，在建和规划的水源地）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ascii="Times New Roman" w:hAnsi="Times New Roman" w:eastAsia="宋体" w:cs="Times New Roman"/>
                <w:color w:val="auto"/>
                <w:spacing w:val="-2"/>
                <w:kern w:val="0"/>
                <w:szCs w:val="21"/>
                <w:u w:val="none" w:color="auto"/>
                <w:vertAlign w:val="superscript"/>
              </w:rPr>
              <w:t>a</w:t>
            </w:r>
            <w:r>
              <w:rPr>
                <w:rFonts w:ascii="Times New Roman" w:hAnsi="Times New Roman" w:eastAsia="宋体" w:cs="Times New Roman"/>
                <w:color w:val="auto"/>
                <w:spacing w:val="-2"/>
                <w:kern w:val="0"/>
                <w:szCs w:val="21"/>
                <w:u w:val="none" w:color="auto"/>
              </w:rPr>
              <w:t>。</w:t>
            </w:r>
          </w:p>
        </w:tc>
        <w:tc>
          <w:tcPr>
            <w:tcW w:w="1292" w:type="dxa"/>
            <w:vMerge w:val="continue"/>
            <w:tcBorders>
              <w:tl2br w:val="nil"/>
              <w:tr2bl w:val="nil"/>
            </w:tcBorders>
            <w:vAlign w:val="center"/>
          </w:tcPr>
          <w:p w14:paraId="3016AAC6">
            <w:pPr>
              <w:jc w:val="center"/>
              <w:rPr>
                <w:rFonts w:ascii="Times New Roman" w:hAnsi="Times New Roman" w:eastAsia="宋体" w:cs="Times New Roman"/>
                <w:color w:val="auto"/>
                <w:spacing w:val="-2"/>
                <w:kern w:val="0"/>
                <w:szCs w:val="21"/>
                <w:u w:val="none" w:color="auto"/>
              </w:rPr>
            </w:pPr>
          </w:p>
        </w:tc>
      </w:tr>
      <w:tr w14:paraId="6355E13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2" w:hRule="atLeast"/>
        </w:trPr>
        <w:tc>
          <w:tcPr>
            <w:tcW w:w="1222" w:type="dxa"/>
            <w:vMerge w:val="continue"/>
            <w:tcBorders>
              <w:tl2br w:val="nil"/>
              <w:tr2bl w:val="nil"/>
            </w:tcBorders>
            <w:vAlign w:val="center"/>
          </w:tcPr>
          <w:p w14:paraId="23EC1C51">
            <w:pPr>
              <w:jc w:val="center"/>
              <w:rPr>
                <w:rFonts w:ascii="Times New Roman" w:hAnsi="Times New Roman" w:eastAsia="宋体" w:cs="Times New Roman"/>
                <w:color w:val="auto"/>
                <w:spacing w:val="-2"/>
                <w:kern w:val="0"/>
                <w:szCs w:val="21"/>
                <w:u w:val="none" w:color="auto"/>
              </w:rPr>
            </w:pPr>
          </w:p>
        </w:tc>
        <w:tc>
          <w:tcPr>
            <w:tcW w:w="856" w:type="dxa"/>
            <w:tcBorders>
              <w:tl2br w:val="nil"/>
              <w:tr2bl w:val="nil"/>
            </w:tcBorders>
            <w:vAlign w:val="center"/>
          </w:tcPr>
          <w:p w14:paraId="012C026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不敏感</w:t>
            </w:r>
          </w:p>
        </w:tc>
        <w:tc>
          <w:tcPr>
            <w:tcW w:w="5150" w:type="dxa"/>
            <w:tcBorders>
              <w:tl2br w:val="nil"/>
              <w:tr2bl w:val="nil"/>
            </w:tcBorders>
            <w:vAlign w:val="center"/>
          </w:tcPr>
          <w:p w14:paraId="7E72F50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上述地区之外的其他地区。</w:t>
            </w:r>
          </w:p>
        </w:tc>
        <w:tc>
          <w:tcPr>
            <w:tcW w:w="1292" w:type="dxa"/>
            <w:vMerge w:val="continue"/>
            <w:tcBorders>
              <w:tl2br w:val="nil"/>
              <w:tr2bl w:val="nil"/>
            </w:tcBorders>
            <w:vAlign w:val="center"/>
          </w:tcPr>
          <w:p w14:paraId="202FB133">
            <w:pPr>
              <w:jc w:val="center"/>
              <w:rPr>
                <w:rFonts w:ascii="Times New Roman" w:hAnsi="Times New Roman" w:eastAsia="宋体" w:cs="Times New Roman"/>
                <w:color w:val="auto"/>
                <w:spacing w:val="-2"/>
                <w:kern w:val="0"/>
                <w:szCs w:val="21"/>
                <w:u w:val="none" w:color="auto"/>
              </w:rPr>
            </w:pPr>
          </w:p>
        </w:tc>
      </w:tr>
    </w:tbl>
    <w:p w14:paraId="775BE6E3">
      <w:pPr>
        <w:rPr>
          <w:rFonts w:ascii="Times New Roman" w:hAnsi="Times New Roman" w:eastAsia="宋体" w:cs="Times New Roman"/>
          <w:b/>
          <w:color w:val="auto"/>
          <w:spacing w:val="-2"/>
          <w:kern w:val="0"/>
          <w:szCs w:val="21"/>
          <w:u w:val="none" w:color="auto"/>
        </w:rPr>
      </w:pPr>
      <w:r>
        <w:rPr>
          <w:rFonts w:ascii="Times New Roman" w:hAnsi="Times New Roman" w:eastAsia="宋体" w:cs="Times New Roman"/>
          <w:bCs/>
          <w:color w:val="auto"/>
          <w:spacing w:val="-2"/>
          <w:kern w:val="0"/>
          <w:szCs w:val="21"/>
          <w:u w:val="none" w:color="auto"/>
        </w:rPr>
        <w:t>注：a“环境敏感区”是指《建设项目环境影响评价分类管理名录》中所界定的涉及地下水的环境敏感区。</w:t>
      </w:r>
    </w:p>
    <w:p w14:paraId="7C5B864C">
      <w:pPr>
        <w:spacing w:line="360" w:lineRule="auto"/>
        <w:ind w:firstLine="472" w:firstLineChars="20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（3）评价工作等级划分</w:t>
      </w:r>
    </w:p>
    <w:p w14:paraId="20B275A0">
      <w:pPr>
        <w:autoSpaceDE w:val="0"/>
        <w:autoSpaceDN w:val="0"/>
        <w:spacing w:line="360" w:lineRule="auto"/>
        <w:ind w:firstLine="480" w:firstLineChars="200"/>
        <w:rPr>
          <w:color w:val="auto"/>
          <w:u w:val="none" w:color="auto"/>
        </w:rPr>
      </w:pPr>
      <w:r>
        <w:rPr>
          <w:rFonts w:ascii="Times New Roman" w:hAnsi="Times New Roman" w:eastAsia="宋体" w:cs="Times New Roman"/>
          <w:bCs/>
          <w:color w:val="auto"/>
          <w:kern w:val="0"/>
          <w:sz w:val="24"/>
          <w:szCs w:val="32"/>
          <w:u w:val="none" w:color="auto"/>
        </w:rPr>
        <w:t>项目地下水环境影响评价工作等级划分见表1.6-</w:t>
      </w:r>
      <w:r>
        <w:rPr>
          <w:rFonts w:hint="eastAsia" w:ascii="Times New Roman" w:hAnsi="Times New Roman" w:eastAsia="宋体" w:cs="Times New Roman"/>
          <w:bCs/>
          <w:color w:val="auto"/>
          <w:kern w:val="0"/>
          <w:sz w:val="24"/>
          <w:szCs w:val="32"/>
          <w:u w:val="none" w:color="auto"/>
        </w:rPr>
        <w:t>5</w:t>
      </w:r>
      <w:r>
        <w:rPr>
          <w:rFonts w:ascii="Times New Roman" w:hAnsi="Times New Roman" w:eastAsia="宋体" w:cs="Times New Roman"/>
          <w:bCs/>
          <w:color w:val="auto"/>
          <w:kern w:val="0"/>
          <w:sz w:val="24"/>
          <w:szCs w:val="32"/>
          <w:u w:val="none" w:color="auto"/>
        </w:rPr>
        <w:t>。</w:t>
      </w:r>
    </w:p>
    <w:p w14:paraId="37040D32">
      <w:pPr>
        <w:jc w:val="center"/>
        <w:rPr>
          <w:rFonts w:ascii="Times New Roman" w:hAnsi="Times New Roman" w:eastAsia="宋体" w:cs="Times New Roman"/>
          <w:b/>
          <w:color w:val="auto"/>
          <w:spacing w:val="-2"/>
          <w:kern w:val="0"/>
          <w:szCs w:val="21"/>
          <w:u w:val="none" w:color="auto"/>
        </w:rPr>
      </w:pPr>
      <w:r>
        <w:rPr>
          <w:rFonts w:ascii="Times New Roman" w:hAnsi="Times New Roman" w:eastAsia="宋体" w:cs="Times New Roman"/>
          <w:b/>
          <w:color w:val="auto"/>
          <w:spacing w:val="-2"/>
          <w:kern w:val="0"/>
          <w:szCs w:val="21"/>
          <w:u w:val="none" w:color="auto"/>
        </w:rPr>
        <w:t>表1.6-</w:t>
      </w:r>
      <w:r>
        <w:rPr>
          <w:rFonts w:hint="eastAsia" w:ascii="Times New Roman" w:hAnsi="Times New Roman" w:eastAsia="宋体" w:cs="Times New Roman"/>
          <w:b/>
          <w:color w:val="auto"/>
          <w:spacing w:val="-2"/>
          <w:kern w:val="0"/>
          <w:szCs w:val="21"/>
          <w:u w:val="none" w:color="auto"/>
        </w:rPr>
        <w:t>5</w:t>
      </w:r>
      <w:r>
        <w:rPr>
          <w:rFonts w:ascii="Times New Roman" w:hAnsi="Times New Roman" w:eastAsia="宋体" w:cs="Times New Roman"/>
          <w:b/>
          <w:color w:val="auto"/>
          <w:spacing w:val="-2"/>
          <w:kern w:val="0"/>
          <w:szCs w:val="21"/>
          <w:u w:val="none" w:color="auto"/>
        </w:rPr>
        <w:t xml:space="preserve"> </w:t>
      </w:r>
      <w:r>
        <w:rPr>
          <w:rFonts w:hint="eastAsia" w:ascii="Times New Roman" w:hAnsi="Times New Roman" w:eastAsia="宋体" w:cs="Times New Roman"/>
          <w:b/>
          <w:color w:val="auto"/>
          <w:spacing w:val="-2"/>
          <w:kern w:val="0"/>
          <w:szCs w:val="21"/>
          <w:u w:val="none" w:color="auto"/>
        </w:rPr>
        <w:t xml:space="preserve">  </w:t>
      </w:r>
      <w:r>
        <w:rPr>
          <w:rFonts w:ascii="Times New Roman" w:hAnsi="Times New Roman" w:eastAsia="宋体" w:cs="Times New Roman"/>
          <w:b/>
          <w:color w:val="auto"/>
          <w:spacing w:val="-2"/>
          <w:kern w:val="0"/>
          <w:szCs w:val="21"/>
          <w:u w:val="none" w:color="auto"/>
        </w:rPr>
        <w:t>评价工作等级分级表</w:t>
      </w:r>
    </w:p>
    <w:tbl>
      <w:tblPr>
        <w:tblStyle w:val="37"/>
        <w:tblW w:w="851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129"/>
        <w:gridCol w:w="2130"/>
        <w:gridCol w:w="2130"/>
        <w:gridCol w:w="2130"/>
      </w:tblGrid>
      <w:tr w14:paraId="20A39C5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91" w:hRule="atLeast"/>
        </w:trPr>
        <w:tc>
          <w:tcPr>
            <w:tcW w:w="2129" w:type="dxa"/>
            <w:tcBorders>
              <w:tl2br w:val="nil"/>
              <w:tr2bl w:val="nil"/>
            </w:tcBorders>
            <w:vAlign w:val="center"/>
          </w:tcPr>
          <w:p w14:paraId="72BF087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 xml:space="preserve">            </w:t>
            </w:r>
          </w:p>
          <w:p w14:paraId="7984FBFE">
            <w:pPr>
              <w:snapToGrid w:val="0"/>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环境敏感程度</w:t>
            </w:r>
          </w:p>
          <w:p w14:paraId="11CCE49C">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项目类别</w:t>
            </w:r>
          </w:p>
        </w:tc>
        <w:tc>
          <w:tcPr>
            <w:tcW w:w="2130" w:type="dxa"/>
            <w:tcBorders>
              <w:tl2br w:val="nil"/>
              <w:tr2bl w:val="nil"/>
            </w:tcBorders>
            <w:vAlign w:val="center"/>
          </w:tcPr>
          <w:p w14:paraId="02BE1CB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Ⅰ类项目</w:t>
            </w:r>
          </w:p>
        </w:tc>
        <w:tc>
          <w:tcPr>
            <w:tcW w:w="2130" w:type="dxa"/>
            <w:tcBorders>
              <w:tl2br w:val="nil"/>
              <w:tr2bl w:val="nil"/>
            </w:tcBorders>
            <w:vAlign w:val="center"/>
          </w:tcPr>
          <w:p w14:paraId="4A12CF9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Ⅱ类项目</w:t>
            </w:r>
          </w:p>
        </w:tc>
        <w:tc>
          <w:tcPr>
            <w:tcW w:w="2130" w:type="dxa"/>
            <w:tcBorders>
              <w:tl2br w:val="nil"/>
              <w:tr2bl w:val="nil"/>
            </w:tcBorders>
            <w:vAlign w:val="center"/>
          </w:tcPr>
          <w:p w14:paraId="1B4DE2E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Ⅲ类项目</w:t>
            </w:r>
          </w:p>
        </w:tc>
      </w:tr>
      <w:tr w14:paraId="77C4B6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2129" w:type="dxa"/>
            <w:tcBorders>
              <w:tl2br w:val="nil"/>
              <w:tr2bl w:val="nil"/>
            </w:tcBorders>
            <w:vAlign w:val="center"/>
          </w:tcPr>
          <w:p w14:paraId="4D2D55B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敏感</w:t>
            </w:r>
          </w:p>
        </w:tc>
        <w:tc>
          <w:tcPr>
            <w:tcW w:w="2130" w:type="dxa"/>
            <w:tcBorders>
              <w:tl2br w:val="nil"/>
              <w:tr2bl w:val="nil"/>
            </w:tcBorders>
            <w:vAlign w:val="center"/>
          </w:tcPr>
          <w:p w14:paraId="3F602F7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w:t>
            </w:r>
          </w:p>
        </w:tc>
        <w:tc>
          <w:tcPr>
            <w:tcW w:w="2130" w:type="dxa"/>
            <w:tcBorders>
              <w:tl2br w:val="nil"/>
              <w:tr2bl w:val="nil"/>
            </w:tcBorders>
            <w:vAlign w:val="center"/>
          </w:tcPr>
          <w:p w14:paraId="6AD6BF9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w:t>
            </w:r>
          </w:p>
        </w:tc>
        <w:tc>
          <w:tcPr>
            <w:tcW w:w="2130" w:type="dxa"/>
            <w:tcBorders>
              <w:tl2br w:val="nil"/>
              <w:tr2bl w:val="nil"/>
            </w:tcBorders>
            <w:vAlign w:val="center"/>
          </w:tcPr>
          <w:p w14:paraId="261165A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w:t>
            </w:r>
          </w:p>
        </w:tc>
      </w:tr>
      <w:tr w14:paraId="1C696A8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2129" w:type="dxa"/>
            <w:tcBorders>
              <w:tl2br w:val="nil"/>
              <w:tr2bl w:val="nil"/>
            </w:tcBorders>
            <w:vAlign w:val="center"/>
          </w:tcPr>
          <w:p w14:paraId="1C22962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较敏感</w:t>
            </w:r>
          </w:p>
        </w:tc>
        <w:tc>
          <w:tcPr>
            <w:tcW w:w="2130" w:type="dxa"/>
            <w:tcBorders>
              <w:tl2br w:val="nil"/>
              <w:tr2bl w:val="nil"/>
            </w:tcBorders>
            <w:vAlign w:val="center"/>
          </w:tcPr>
          <w:p w14:paraId="4A6DBA3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w:t>
            </w:r>
          </w:p>
        </w:tc>
        <w:tc>
          <w:tcPr>
            <w:tcW w:w="2130" w:type="dxa"/>
            <w:tcBorders>
              <w:tl2br w:val="nil"/>
              <w:tr2bl w:val="nil"/>
            </w:tcBorders>
            <w:vAlign w:val="center"/>
          </w:tcPr>
          <w:p w14:paraId="67FCC34F">
            <w:pPr>
              <w:jc w:val="center"/>
              <w:rPr>
                <w:rFonts w:ascii="Times New Roman" w:hAnsi="Times New Roman" w:eastAsia="宋体" w:cs="Times New Roman"/>
                <w:b/>
                <w:color w:val="auto"/>
                <w:spacing w:val="-2"/>
                <w:kern w:val="0"/>
                <w:szCs w:val="21"/>
                <w:u w:val="none" w:color="auto"/>
              </w:rPr>
            </w:pPr>
            <w:r>
              <w:rPr>
                <w:rFonts w:ascii="Times New Roman" w:hAnsi="Times New Roman" w:eastAsia="宋体" w:cs="Times New Roman"/>
                <w:color w:val="auto"/>
                <w:spacing w:val="-2"/>
                <w:kern w:val="0"/>
                <w:szCs w:val="21"/>
                <w:u w:val="none" w:color="auto"/>
              </w:rPr>
              <w:t>二</w:t>
            </w:r>
          </w:p>
        </w:tc>
        <w:tc>
          <w:tcPr>
            <w:tcW w:w="2130" w:type="dxa"/>
            <w:tcBorders>
              <w:tl2br w:val="nil"/>
              <w:tr2bl w:val="nil"/>
            </w:tcBorders>
            <w:vAlign w:val="center"/>
          </w:tcPr>
          <w:p w14:paraId="214C11F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w:t>
            </w:r>
          </w:p>
        </w:tc>
      </w:tr>
      <w:tr w14:paraId="5728B96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2129" w:type="dxa"/>
            <w:tcBorders>
              <w:tl2br w:val="nil"/>
              <w:tr2bl w:val="nil"/>
            </w:tcBorders>
            <w:vAlign w:val="center"/>
          </w:tcPr>
          <w:p w14:paraId="2D0DB39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不敏感</w:t>
            </w:r>
          </w:p>
        </w:tc>
        <w:tc>
          <w:tcPr>
            <w:tcW w:w="2130" w:type="dxa"/>
            <w:tcBorders>
              <w:tl2br w:val="nil"/>
              <w:tr2bl w:val="nil"/>
            </w:tcBorders>
            <w:vAlign w:val="center"/>
          </w:tcPr>
          <w:p w14:paraId="5CAE3C4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w:t>
            </w:r>
          </w:p>
        </w:tc>
        <w:tc>
          <w:tcPr>
            <w:tcW w:w="2130" w:type="dxa"/>
            <w:tcBorders>
              <w:tl2br w:val="nil"/>
              <w:tr2bl w:val="nil"/>
            </w:tcBorders>
            <w:vAlign w:val="center"/>
          </w:tcPr>
          <w:p w14:paraId="1F57EA4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w:t>
            </w:r>
          </w:p>
        </w:tc>
        <w:tc>
          <w:tcPr>
            <w:tcW w:w="2130" w:type="dxa"/>
            <w:tcBorders>
              <w:tl2br w:val="nil"/>
              <w:tr2bl w:val="nil"/>
            </w:tcBorders>
            <w:vAlign w:val="center"/>
          </w:tcPr>
          <w:p w14:paraId="4BCAB79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b/>
                <w:bCs/>
                <w:color w:val="auto"/>
                <w:spacing w:val="-2"/>
                <w:kern w:val="0"/>
                <w:szCs w:val="21"/>
                <w:u w:val="none" w:color="auto"/>
              </w:rPr>
              <w:t>三</w:t>
            </w:r>
          </w:p>
        </w:tc>
      </w:tr>
    </w:tbl>
    <w:p w14:paraId="2131FADC">
      <w:pPr>
        <w:pStyle w:val="35"/>
        <w:spacing w:after="0" w:line="360" w:lineRule="auto"/>
        <w:ind w:firstLine="480" w:firstLineChars="200"/>
        <w:rPr>
          <w:rFonts w:ascii="Times New Roman" w:hAnsi="Times New Roman" w:eastAsia="宋体" w:cs="Times New Roman"/>
          <w:b/>
          <w:color w:val="auto"/>
          <w:szCs w:val="21"/>
          <w:u w:val="none" w:color="auto"/>
        </w:rPr>
      </w:pPr>
      <w:r>
        <w:rPr>
          <w:rFonts w:ascii="Times New Roman" w:hAnsi="Times New Roman" w:eastAsia="宋体" w:cs="Times New Roman"/>
          <w:bCs/>
          <w:color w:val="auto"/>
          <w:kern w:val="0"/>
          <w:sz w:val="24"/>
          <w:szCs w:val="32"/>
          <w:u w:val="none" w:color="auto"/>
        </w:rPr>
        <w:t>综合判定结果，项目地下水评价等级为</w:t>
      </w:r>
      <w:r>
        <w:rPr>
          <w:rFonts w:hint="eastAsia" w:ascii="Times New Roman" w:hAnsi="Times New Roman" w:eastAsia="宋体" w:cs="Times New Roman"/>
          <w:bCs/>
          <w:color w:val="auto"/>
          <w:kern w:val="0"/>
          <w:sz w:val="24"/>
          <w:szCs w:val="32"/>
          <w:u w:val="none" w:color="auto"/>
        </w:rPr>
        <w:t>三</w:t>
      </w:r>
      <w:r>
        <w:rPr>
          <w:rFonts w:ascii="Times New Roman" w:hAnsi="Times New Roman" w:eastAsia="宋体" w:cs="Times New Roman"/>
          <w:bCs/>
          <w:color w:val="auto"/>
          <w:kern w:val="0"/>
          <w:sz w:val="24"/>
          <w:szCs w:val="32"/>
          <w:u w:val="none" w:color="auto"/>
        </w:rPr>
        <w:t>级。</w:t>
      </w:r>
    </w:p>
    <w:p w14:paraId="53E0BAEA">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05" w:name="_Toc3728145"/>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.6.4噪声</w:t>
      </w:r>
      <w:bookmarkEnd w:id="105"/>
    </w:p>
    <w:p w14:paraId="00B82814">
      <w:pPr>
        <w:autoSpaceDE w:val="0"/>
        <w:autoSpaceDN w:val="0"/>
        <w:spacing w:line="360" w:lineRule="auto"/>
        <w:ind w:firstLine="480" w:firstLineChars="200"/>
        <w:jc w:val="left"/>
        <w:rPr>
          <w:rFonts w:hint="eastAsia" w:ascii="Times New Roman" w:hAnsi="Times New Roman" w:eastAsia="宋体" w:cs="Times New Roman"/>
          <w:bCs/>
          <w:color w:val="auto"/>
          <w:kern w:val="0"/>
          <w:sz w:val="24"/>
          <w:szCs w:val="32"/>
          <w:u w:val="none" w:color="auto"/>
        </w:rPr>
      </w:pPr>
      <w:r>
        <w:rPr>
          <w:rFonts w:hint="eastAsia" w:ascii="Times New Roman" w:hAnsi="Times New Roman" w:eastAsia="宋体" w:cs="Times New Roman"/>
          <w:bCs/>
          <w:color w:val="auto"/>
          <w:kern w:val="0"/>
          <w:sz w:val="24"/>
          <w:szCs w:val="32"/>
          <w:u w:val="none" w:color="auto"/>
        </w:rPr>
        <w:t>根据《环境影响评价技术导则声环境》（HJ2.4-2021）。声环境影响评价工作等级划分依据包括：建设项目所在区域的声环境功能区类别、建设项目建设前后所在区域的声环境质量变化程度和受建设项目影响人口的数量，分级判据见表1.</w:t>
      </w:r>
      <w:r>
        <w:rPr>
          <w:rFonts w:hint="eastAsia" w:ascii="Times New Roman" w:hAnsi="Times New Roman" w:eastAsia="宋体" w:cs="Times New Roman"/>
          <w:bCs/>
          <w:color w:val="auto"/>
          <w:kern w:val="0"/>
          <w:sz w:val="24"/>
          <w:szCs w:val="32"/>
          <w:u w:val="none" w:color="auto"/>
          <w:lang w:val="en-US" w:eastAsia="zh-CN"/>
        </w:rPr>
        <w:t>6</w:t>
      </w:r>
      <w:r>
        <w:rPr>
          <w:rFonts w:hint="eastAsia" w:ascii="Times New Roman" w:hAnsi="Times New Roman" w:eastAsia="宋体" w:cs="Times New Roman"/>
          <w:bCs/>
          <w:color w:val="auto"/>
          <w:kern w:val="0"/>
          <w:sz w:val="24"/>
          <w:szCs w:val="32"/>
          <w:u w:val="none" w:color="auto"/>
        </w:rPr>
        <w:t>-</w:t>
      </w:r>
      <w:r>
        <w:rPr>
          <w:rFonts w:hint="eastAsia" w:ascii="Times New Roman" w:hAnsi="Times New Roman" w:eastAsia="宋体" w:cs="Times New Roman"/>
          <w:bCs/>
          <w:color w:val="auto"/>
          <w:kern w:val="0"/>
          <w:sz w:val="24"/>
          <w:szCs w:val="32"/>
          <w:u w:val="none" w:color="auto"/>
          <w:lang w:val="en-US" w:eastAsia="zh-CN"/>
        </w:rPr>
        <w:t>6</w:t>
      </w:r>
      <w:r>
        <w:rPr>
          <w:rFonts w:hint="eastAsia" w:ascii="Times New Roman" w:hAnsi="Times New Roman" w:eastAsia="宋体" w:cs="Times New Roman"/>
          <w:bCs/>
          <w:color w:val="auto"/>
          <w:kern w:val="0"/>
          <w:sz w:val="24"/>
          <w:szCs w:val="32"/>
          <w:u w:val="none" w:color="auto"/>
        </w:rPr>
        <w:t>。</w:t>
      </w:r>
    </w:p>
    <w:p w14:paraId="0EE16344">
      <w:pPr>
        <w:jc w:val="center"/>
        <w:rPr>
          <w:rFonts w:hint="default" w:ascii="Times New Roman" w:hAnsi="Times New Roman" w:eastAsia="宋体" w:cs="Times New Roman"/>
          <w:b/>
          <w:color w:val="auto"/>
          <w:spacing w:val="-2"/>
          <w:kern w:val="0"/>
          <w:szCs w:val="21"/>
          <w:u w:val="none" w:color="auto"/>
        </w:rPr>
      </w:pPr>
      <w:r>
        <w:rPr>
          <w:rFonts w:hint="eastAsia" w:ascii="Times New Roman" w:hAnsi="Times New Roman" w:eastAsia="宋体" w:cs="Times New Roman"/>
          <w:b/>
          <w:color w:val="auto"/>
          <w:spacing w:val="-2"/>
          <w:kern w:val="0"/>
          <w:szCs w:val="21"/>
          <w:u w:val="none" w:color="auto"/>
          <w:lang w:val="en-US" w:eastAsia="zh-CN"/>
        </w:rPr>
        <w:t>表1.6-6</w:t>
      </w:r>
      <w:r>
        <w:rPr>
          <w:rFonts w:hint="default" w:ascii="Times New Roman" w:hAnsi="Times New Roman" w:eastAsia="宋体" w:cs="Times New Roman"/>
          <w:b/>
          <w:color w:val="auto"/>
          <w:spacing w:val="-2"/>
          <w:kern w:val="0"/>
          <w:szCs w:val="21"/>
          <w:u w:val="none" w:color="auto"/>
        </w:rPr>
        <w:t>项目声环境评价工作等级划分判据</w:t>
      </w:r>
    </w:p>
    <w:tbl>
      <w:tblPr>
        <w:tblStyle w:val="37"/>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25"/>
        <w:gridCol w:w="5535"/>
        <w:gridCol w:w="2580"/>
      </w:tblGrid>
      <w:tr w14:paraId="7A17A2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79B1B232">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分级</w:t>
            </w:r>
          </w:p>
        </w:tc>
        <w:tc>
          <w:tcPr>
            <w:tcW w:w="5535" w:type="dxa"/>
            <w:tcBorders>
              <w:tl2br w:val="nil"/>
              <w:tr2bl w:val="nil"/>
            </w:tcBorders>
            <w:noWrap w:val="0"/>
            <w:vAlign w:val="center"/>
          </w:tcPr>
          <w:p w14:paraId="5D95A17B">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分级规定</w:t>
            </w:r>
          </w:p>
        </w:tc>
        <w:tc>
          <w:tcPr>
            <w:tcW w:w="2580" w:type="dxa"/>
            <w:tcBorders>
              <w:tl2br w:val="nil"/>
              <w:tr2bl w:val="nil"/>
            </w:tcBorders>
            <w:noWrap w:val="0"/>
            <w:vAlign w:val="center"/>
          </w:tcPr>
          <w:p w14:paraId="1A33B769">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本项目情况</w:t>
            </w:r>
          </w:p>
        </w:tc>
      </w:tr>
      <w:tr w14:paraId="269BDF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639BAEB4">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一级</w:t>
            </w:r>
          </w:p>
        </w:tc>
        <w:tc>
          <w:tcPr>
            <w:tcW w:w="5535" w:type="dxa"/>
            <w:tcBorders>
              <w:tl2br w:val="nil"/>
              <w:tr2bl w:val="nil"/>
            </w:tcBorders>
            <w:noWrap w:val="0"/>
            <w:vAlign w:val="center"/>
          </w:tcPr>
          <w:p w14:paraId="1624AFCA">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声环境功能区为GB3096规定的0类声环境功能区域，或建设项目建设前后评价范围内敏感目标噪声等级增高量达5dB（A）以上（不含5dB（A）），或受影响人口数量显著增多</w:t>
            </w:r>
          </w:p>
        </w:tc>
        <w:tc>
          <w:tcPr>
            <w:tcW w:w="2580" w:type="dxa"/>
            <w:vMerge w:val="restart"/>
            <w:tcBorders>
              <w:tl2br w:val="nil"/>
              <w:tr2bl w:val="nil"/>
            </w:tcBorders>
            <w:noWrap w:val="0"/>
            <w:vAlign w:val="center"/>
          </w:tcPr>
          <w:p w14:paraId="1188AC8D">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项目属于3类地区，项目建成后评价范围内敏感目标噪声级增加＜3dB（A），受本项目噪声影响人口数量变化不大。</w:t>
            </w:r>
          </w:p>
        </w:tc>
      </w:tr>
      <w:tr w14:paraId="1C699B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6B71BEA0">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5535" w:type="dxa"/>
            <w:tcBorders>
              <w:tl2br w:val="nil"/>
              <w:tr2bl w:val="nil"/>
            </w:tcBorders>
            <w:noWrap w:val="0"/>
            <w:vAlign w:val="center"/>
          </w:tcPr>
          <w:p w14:paraId="3ACF3D28">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声环境功能区为GB3096规定的1类、2类地区，或建设项目建设前后评价范围内敏感目标噪声等级增高量达3dB（A）～5dB（A）（含5dB（A）），或受影响人口数量增加较多</w:t>
            </w:r>
          </w:p>
        </w:tc>
        <w:tc>
          <w:tcPr>
            <w:tcW w:w="2580" w:type="dxa"/>
            <w:vMerge w:val="continue"/>
            <w:tcBorders>
              <w:tl2br w:val="nil"/>
              <w:tr2bl w:val="nil"/>
            </w:tcBorders>
            <w:noWrap w:val="0"/>
            <w:vAlign w:val="center"/>
          </w:tcPr>
          <w:p w14:paraId="7571DF6B">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p>
        </w:tc>
      </w:tr>
      <w:tr w14:paraId="39ED29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620CCD75">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三级</w:t>
            </w:r>
          </w:p>
        </w:tc>
        <w:tc>
          <w:tcPr>
            <w:tcW w:w="5535" w:type="dxa"/>
            <w:tcBorders>
              <w:tl2br w:val="nil"/>
              <w:tr2bl w:val="nil"/>
            </w:tcBorders>
            <w:noWrap w:val="0"/>
            <w:vAlign w:val="center"/>
          </w:tcPr>
          <w:p w14:paraId="704607DC">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声环境功能区为GB3096规定的3类、4类地区，或建设项目建设前后评价范围内敏感目标噪声等级增高量在3dB（A）以下（不含3dB（A）），且受影响人口数量变化不大</w:t>
            </w:r>
          </w:p>
        </w:tc>
        <w:tc>
          <w:tcPr>
            <w:tcW w:w="2580" w:type="dxa"/>
            <w:vMerge w:val="continue"/>
            <w:tcBorders>
              <w:tl2br w:val="nil"/>
              <w:tr2bl w:val="nil"/>
            </w:tcBorders>
            <w:noWrap w:val="0"/>
            <w:vAlign w:val="center"/>
          </w:tcPr>
          <w:p w14:paraId="0BD757AA">
            <w:pPr>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sz w:val="21"/>
                <w:szCs w:val="21"/>
                <w:u w:val="none" w:color="auto"/>
              </w:rPr>
            </w:pPr>
          </w:p>
        </w:tc>
      </w:tr>
    </w:tbl>
    <w:p w14:paraId="78842C8E">
      <w:pPr>
        <w:adjustRightInd w:val="0"/>
        <w:snapToGrid w:val="0"/>
        <w:spacing w:before="163" w:beforeLines="50" w:line="360" w:lineRule="auto"/>
        <w:ind w:firstLine="480" w:firstLineChars="200"/>
        <w:rPr>
          <w:rFonts w:ascii="Times New Roman" w:hAnsi="Times New Roman" w:eastAsia="宋体" w:cs="Times New Roman"/>
          <w:bCs/>
          <w:color w:val="auto"/>
          <w:kern w:val="0"/>
          <w:sz w:val="24"/>
          <w:szCs w:val="32"/>
          <w:u w:val="none" w:color="auto"/>
        </w:rPr>
      </w:pPr>
      <w:r>
        <w:rPr>
          <w:rFonts w:hint="default" w:ascii="Times New Roman" w:hAnsi="Times New Roman" w:eastAsia="宋体" w:cs="Times New Roman"/>
          <w:bCs/>
          <w:color w:val="auto"/>
          <w:kern w:val="0"/>
          <w:sz w:val="24"/>
          <w:szCs w:val="32"/>
          <w:u w:val="none" w:color="auto"/>
        </w:rPr>
        <w:t>项目位于中国(广西)自由贸易试验区钦州港片区大榄坪二号路西面、中船规划支路北侧和南侧，所在区域的声功能区属于3类区，项目周边200m范围内无噪声敏感点，受影响人口数量变化不大，根据《环境影响评价技术导则——声环境》（HJ2.4-2021），本项目声环境评价工作等级为三级。</w:t>
      </w:r>
    </w:p>
    <w:p w14:paraId="4B520EE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06" w:name="_Toc3728146"/>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.6.5土壤环境</w:t>
      </w:r>
    </w:p>
    <w:p w14:paraId="63FC6527">
      <w:pPr>
        <w:pStyle w:val="48"/>
        <w:spacing w:line="360" w:lineRule="auto"/>
        <w:ind w:firstLine="480" w:firstLineChars="200"/>
        <w:jc w:val="both"/>
        <w:rPr>
          <w:rFonts w:hint="default" w:ascii="Times New Roman" w:hAnsi="Times New Roman" w:eastAsia="宋体"/>
          <w:color w:val="auto"/>
          <w:szCs w:val="24"/>
          <w:u w:val="none" w:color="auto"/>
        </w:rPr>
      </w:pPr>
      <w:r>
        <w:rPr>
          <w:rFonts w:hint="default" w:ascii="Times New Roman" w:hAnsi="Times New Roman" w:eastAsia="宋体"/>
          <w:color w:val="auto"/>
          <w:szCs w:val="24"/>
          <w:u w:val="none" w:color="auto"/>
        </w:rPr>
        <w:t>根据环保部发布《环境影响评价技术导则 土壤环境（试行）》（HJ964-2018）中规定，对建设项目进行分类，项目为制造业中的使用有机涂层的，按表 A.1“土壤环境影响评价类别”划分，属于Ⅰ类行业。</w:t>
      </w:r>
    </w:p>
    <w:p w14:paraId="0E3B71A7">
      <w:pPr>
        <w:pStyle w:val="48"/>
        <w:spacing w:line="360" w:lineRule="auto"/>
        <w:ind w:firstLine="480" w:firstLineChars="200"/>
        <w:jc w:val="both"/>
        <w:rPr>
          <w:rFonts w:hint="default" w:ascii="Times New Roman" w:hAnsi="Times New Roman" w:eastAsia="宋体"/>
          <w:color w:val="auto"/>
          <w:szCs w:val="24"/>
          <w:u w:val="none" w:color="auto"/>
        </w:rPr>
      </w:pPr>
      <w:r>
        <w:rPr>
          <w:rFonts w:hint="default" w:ascii="Times New Roman" w:hAnsi="Times New Roman" w:eastAsia="宋体"/>
          <w:color w:val="auto"/>
          <w:szCs w:val="24"/>
          <w:u w:val="none" w:color="auto"/>
        </w:rPr>
        <w:t>项目位于工业园内</w:t>
      </w:r>
      <w:r>
        <w:rPr>
          <w:rFonts w:ascii="Times New Roman" w:hAnsi="Times New Roman" w:eastAsia="宋体"/>
          <w:color w:val="auto"/>
          <w:szCs w:val="24"/>
          <w:u w:val="none" w:color="auto"/>
        </w:rPr>
        <w:t>，</w:t>
      </w:r>
      <w:r>
        <w:rPr>
          <w:rFonts w:hint="default" w:ascii="Times New Roman" w:hAnsi="Times New Roman" w:eastAsia="宋体"/>
          <w:color w:val="auto"/>
          <w:szCs w:val="24"/>
          <w:u w:val="none" w:color="auto"/>
        </w:rPr>
        <w:t>周边用地现状主要是荒地和工业企业，属不敏感</w:t>
      </w:r>
      <w:r>
        <w:rPr>
          <w:rFonts w:ascii="Times New Roman" w:hAnsi="Times New Roman" w:eastAsia="宋体"/>
          <w:color w:val="auto"/>
          <w:szCs w:val="24"/>
          <w:u w:val="none" w:color="auto"/>
        </w:rPr>
        <w:t>；</w:t>
      </w:r>
      <w:r>
        <w:rPr>
          <w:rFonts w:hint="default" w:ascii="Times New Roman" w:hAnsi="Times New Roman" w:eastAsia="宋体"/>
          <w:color w:val="auto"/>
          <w:szCs w:val="24"/>
          <w:u w:val="none" w:color="auto"/>
        </w:rPr>
        <w:t>项目占地</w:t>
      </w:r>
      <w:r>
        <w:rPr>
          <w:rFonts w:hint="eastAsia" w:ascii="Times New Roman" w:hAnsi="Times New Roman" w:eastAsia="宋体"/>
          <w:color w:val="auto"/>
          <w:szCs w:val="24"/>
          <w:u w:val="none" w:color="auto"/>
          <w:lang w:eastAsia="zh-CN"/>
        </w:rPr>
        <w:t>167636.32</w:t>
      </w:r>
      <w:r>
        <w:rPr>
          <w:rFonts w:hint="default" w:ascii="Times New Roman" w:hAnsi="Times New Roman" w:eastAsia="宋体"/>
          <w:color w:val="auto"/>
          <w:szCs w:val="24"/>
          <w:u w:val="none" w:color="auto"/>
        </w:rPr>
        <w:t>m</w:t>
      </w:r>
      <w:r>
        <w:rPr>
          <w:rFonts w:hint="default" w:ascii="Times New Roman" w:hAnsi="Times New Roman" w:eastAsia="宋体"/>
          <w:color w:val="auto"/>
          <w:szCs w:val="24"/>
          <w:u w:val="none" w:color="auto"/>
          <w:vertAlign w:val="superscript"/>
        </w:rPr>
        <w:t>2</w:t>
      </w:r>
      <w:r>
        <w:rPr>
          <w:rFonts w:hint="default" w:ascii="Times New Roman" w:hAnsi="Times New Roman" w:eastAsia="宋体"/>
          <w:color w:val="auto"/>
          <w:szCs w:val="24"/>
          <w:u w:val="none" w:color="auto"/>
        </w:rPr>
        <w:t>，</w:t>
      </w:r>
      <w:r>
        <w:rPr>
          <w:rFonts w:ascii="Times New Roman" w:hAnsi="Times New Roman" w:eastAsia="宋体"/>
          <w:color w:val="auto"/>
          <w:szCs w:val="24"/>
          <w:u w:val="none" w:color="auto"/>
        </w:rPr>
        <w:t>大</w:t>
      </w:r>
      <w:r>
        <w:rPr>
          <w:rFonts w:hint="default" w:ascii="Times New Roman" w:hAnsi="Times New Roman" w:eastAsia="宋体"/>
          <w:color w:val="auto"/>
          <w:szCs w:val="24"/>
          <w:u w:val="none" w:color="auto"/>
        </w:rPr>
        <w:t>于50000m</w:t>
      </w:r>
      <w:r>
        <w:rPr>
          <w:rFonts w:hint="default" w:ascii="Times New Roman" w:hAnsi="Times New Roman" w:eastAsia="宋体"/>
          <w:color w:val="auto"/>
          <w:szCs w:val="24"/>
          <w:u w:val="none" w:color="auto"/>
          <w:vertAlign w:val="superscript"/>
        </w:rPr>
        <w:t>2</w:t>
      </w:r>
      <w:r>
        <w:rPr>
          <w:rFonts w:hint="default" w:ascii="Times New Roman" w:hAnsi="Times New Roman" w:eastAsia="宋体"/>
          <w:color w:val="auto"/>
          <w:szCs w:val="24"/>
          <w:u w:val="none" w:color="auto"/>
        </w:rPr>
        <w:t>，</w:t>
      </w:r>
      <w:r>
        <w:rPr>
          <w:rFonts w:ascii="Times New Roman" w:hAnsi="Times New Roman" w:eastAsia="宋体"/>
          <w:color w:val="auto"/>
          <w:szCs w:val="24"/>
          <w:u w:val="none" w:color="auto"/>
        </w:rPr>
        <w:t>小于500000m</w:t>
      </w:r>
      <w:r>
        <w:rPr>
          <w:rFonts w:ascii="Times New Roman" w:hAnsi="Times New Roman" w:eastAsia="宋体"/>
          <w:color w:val="auto"/>
          <w:szCs w:val="24"/>
          <w:u w:val="none" w:color="auto"/>
          <w:vertAlign w:val="superscript"/>
        </w:rPr>
        <w:t>2</w:t>
      </w:r>
      <w:r>
        <w:rPr>
          <w:rFonts w:ascii="Times New Roman" w:hAnsi="Times New Roman" w:eastAsia="宋体"/>
          <w:color w:val="auto"/>
          <w:szCs w:val="24"/>
          <w:u w:val="none" w:color="auto"/>
        </w:rPr>
        <w:t>，</w:t>
      </w:r>
      <w:r>
        <w:rPr>
          <w:rFonts w:hint="default" w:ascii="Times New Roman" w:hAnsi="Times New Roman" w:eastAsia="宋体"/>
          <w:color w:val="auto"/>
          <w:szCs w:val="24"/>
          <w:u w:val="none" w:color="auto"/>
        </w:rPr>
        <w:t>占地规模属</w:t>
      </w:r>
      <w:r>
        <w:rPr>
          <w:rFonts w:ascii="Times New Roman" w:hAnsi="Times New Roman" w:eastAsia="宋体"/>
          <w:color w:val="auto"/>
          <w:szCs w:val="24"/>
          <w:u w:val="none" w:color="auto"/>
        </w:rPr>
        <w:t>中</w:t>
      </w:r>
      <w:r>
        <w:rPr>
          <w:rFonts w:hint="default" w:ascii="Times New Roman" w:hAnsi="Times New Roman" w:eastAsia="宋体"/>
          <w:color w:val="auto"/>
          <w:szCs w:val="24"/>
          <w:u w:val="none" w:color="auto"/>
        </w:rPr>
        <w:t>型。</w:t>
      </w:r>
    </w:p>
    <w:p w14:paraId="425C94F1">
      <w:pPr>
        <w:pStyle w:val="48"/>
        <w:spacing w:line="360" w:lineRule="auto"/>
        <w:ind w:firstLine="480" w:firstLineChars="200"/>
        <w:jc w:val="both"/>
        <w:rPr>
          <w:rFonts w:hint="default" w:ascii="Times New Roman" w:hAnsi="Times New Roman" w:eastAsia="宋体"/>
          <w:color w:val="auto"/>
          <w:szCs w:val="24"/>
          <w:u w:val="none" w:color="auto"/>
        </w:rPr>
      </w:pPr>
      <w:r>
        <w:rPr>
          <w:rFonts w:hint="default" w:ascii="Times New Roman" w:hAnsi="Times New Roman" w:eastAsia="宋体"/>
          <w:color w:val="auto"/>
          <w:szCs w:val="24"/>
          <w:u w:val="none" w:color="auto"/>
        </w:rPr>
        <w:t>建设项目所在地周边的土壤环境敏感程度分为敏感、较敏感和不敏感，判别依据见表1.6-</w:t>
      </w:r>
      <w:r>
        <w:rPr>
          <w:rFonts w:ascii="Times New Roman" w:hAnsi="Times New Roman" w:eastAsia="宋体"/>
          <w:color w:val="auto"/>
          <w:szCs w:val="24"/>
          <w:u w:val="none" w:color="auto"/>
        </w:rPr>
        <w:t>7</w:t>
      </w:r>
      <w:r>
        <w:rPr>
          <w:rFonts w:hint="default" w:ascii="Times New Roman" w:hAnsi="Times New Roman" w:eastAsia="宋体"/>
          <w:color w:val="auto"/>
          <w:szCs w:val="24"/>
          <w:u w:val="none" w:color="auto"/>
        </w:rPr>
        <w:t>。</w:t>
      </w:r>
    </w:p>
    <w:p w14:paraId="5114C3CF">
      <w:pPr>
        <w:jc w:val="center"/>
        <w:rPr>
          <w:rFonts w:ascii="Times New Roman" w:hAnsi="Times New Roman" w:eastAsia="宋体" w:cs="Times New Roman"/>
          <w:b/>
          <w:color w:val="auto"/>
          <w:spacing w:val="-2"/>
          <w:kern w:val="0"/>
          <w:szCs w:val="21"/>
          <w:u w:val="none" w:color="auto"/>
        </w:rPr>
      </w:pPr>
      <w:r>
        <w:rPr>
          <w:rFonts w:ascii="Times New Roman" w:hAnsi="Times New Roman" w:eastAsia="宋体" w:cs="Times New Roman"/>
          <w:b/>
          <w:color w:val="auto"/>
          <w:spacing w:val="-2"/>
          <w:kern w:val="0"/>
          <w:szCs w:val="21"/>
          <w:u w:val="none" w:color="auto"/>
        </w:rPr>
        <w:t>表1.6-</w:t>
      </w:r>
      <w:r>
        <w:rPr>
          <w:rFonts w:hint="eastAsia" w:ascii="Times New Roman" w:hAnsi="Times New Roman" w:eastAsia="宋体" w:cs="Times New Roman"/>
          <w:b/>
          <w:color w:val="auto"/>
          <w:spacing w:val="-2"/>
          <w:kern w:val="0"/>
          <w:szCs w:val="21"/>
          <w:u w:val="none" w:color="auto"/>
        </w:rPr>
        <w:t>7</w:t>
      </w:r>
      <w:r>
        <w:rPr>
          <w:rFonts w:ascii="Times New Roman" w:hAnsi="Times New Roman" w:eastAsia="宋体" w:cs="Times New Roman"/>
          <w:b/>
          <w:color w:val="auto"/>
          <w:spacing w:val="-2"/>
          <w:kern w:val="0"/>
          <w:szCs w:val="21"/>
          <w:u w:val="none" w:color="auto"/>
        </w:rPr>
        <w:t xml:space="preserve"> 污染影响型敏感程度分级表</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55"/>
        <w:gridCol w:w="4467"/>
        <w:gridCol w:w="2698"/>
      </w:tblGrid>
      <w:tr w14:paraId="3F0FE22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55" w:type="dxa"/>
            <w:tcBorders>
              <w:tl2br w:val="nil"/>
              <w:tr2bl w:val="nil"/>
            </w:tcBorders>
          </w:tcPr>
          <w:p w14:paraId="31374D6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敏感程度</w:t>
            </w:r>
          </w:p>
        </w:tc>
        <w:tc>
          <w:tcPr>
            <w:tcW w:w="4467" w:type="dxa"/>
            <w:tcBorders>
              <w:tl2br w:val="nil"/>
              <w:tr2bl w:val="nil"/>
            </w:tcBorders>
          </w:tcPr>
          <w:p w14:paraId="3603BBA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判别依据</w:t>
            </w:r>
          </w:p>
        </w:tc>
        <w:tc>
          <w:tcPr>
            <w:tcW w:w="2698" w:type="dxa"/>
            <w:tcBorders>
              <w:tl2br w:val="nil"/>
              <w:tr2bl w:val="nil"/>
            </w:tcBorders>
          </w:tcPr>
          <w:p w14:paraId="544E223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项目情况</w:t>
            </w:r>
          </w:p>
        </w:tc>
      </w:tr>
      <w:tr w14:paraId="456A195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55" w:type="dxa"/>
            <w:tcBorders>
              <w:tl2br w:val="nil"/>
              <w:tr2bl w:val="nil"/>
            </w:tcBorders>
            <w:vAlign w:val="center"/>
          </w:tcPr>
          <w:p w14:paraId="7F5A91F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敏感</w:t>
            </w:r>
          </w:p>
        </w:tc>
        <w:tc>
          <w:tcPr>
            <w:tcW w:w="4467" w:type="dxa"/>
            <w:tcBorders>
              <w:tl2br w:val="nil"/>
              <w:tr2bl w:val="nil"/>
            </w:tcBorders>
          </w:tcPr>
          <w:p w14:paraId="7158BDA2">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建设项目周边存在耕地、园地、牧草地、饮用水水源地或居民区、学校、医院、疗养院、养老院等土壤环境敏感目标的</w:t>
            </w:r>
          </w:p>
        </w:tc>
        <w:tc>
          <w:tcPr>
            <w:tcW w:w="2698" w:type="dxa"/>
            <w:vMerge w:val="restart"/>
            <w:tcBorders>
              <w:tl2br w:val="nil"/>
              <w:tr2bl w:val="nil"/>
            </w:tcBorders>
            <w:vAlign w:val="center"/>
          </w:tcPr>
          <w:p w14:paraId="58076B86">
            <w:pPr>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single" w:color="auto"/>
              </w:rPr>
              <w:t>项目位于</w:t>
            </w:r>
            <w:r>
              <w:rPr>
                <w:rFonts w:hint="eastAsia" w:ascii="Times New Roman" w:hAnsi="Times New Roman" w:eastAsia="宋体" w:cs="Times New Roman"/>
                <w:color w:val="auto"/>
                <w:spacing w:val="-2"/>
                <w:kern w:val="0"/>
                <w:szCs w:val="21"/>
                <w:u w:val="single" w:color="auto"/>
                <w:lang w:val="en-US" w:eastAsia="zh-CN"/>
              </w:rPr>
              <w:t>填海区，周围为水域和工厂</w:t>
            </w:r>
            <w:r>
              <w:rPr>
                <w:rFonts w:ascii="Times New Roman" w:hAnsi="Times New Roman" w:eastAsia="宋体" w:cs="Times New Roman"/>
                <w:color w:val="auto"/>
                <w:spacing w:val="-2"/>
                <w:kern w:val="0"/>
                <w:szCs w:val="21"/>
                <w:u w:val="single" w:color="auto"/>
              </w:rPr>
              <w:t>，不敏感</w:t>
            </w:r>
          </w:p>
        </w:tc>
      </w:tr>
      <w:tr w14:paraId="68DB0C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55" w:type="dxa"/>
            <w:tcBorders>
              <w:tl2br w:val="nil"/>
              <w:tr2bl w:val="nil"/>
            </w:tcBorders>
            <w:vAlign w:val="center"/>
          </w:tcPr>
          <w:p w14:paraId="34B30D1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较敏感</w:t>
            </w:r>
          </w:p>
        </w:tc>
        <w:tc>
          <w:tcPr>
            <w:tcW w:w="4467" w:type="dxa"/>
            <w:tcBorders>
              <w:tl2br w:val="nil"/>
              <w:tr2bl w:val="nil"/>
            </w:tcBorders>
          </w:tcPr>
          <w:p w14:paraId="573B7448">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建设项目周边存在其他土壤环境敏感目标的</w:t>
            </w:r>
          </w:p>
        </w:tc>
        <w:tc>
          <w:tcPr>
            <w:tcW w:w="2698" w:type="dxa"/>
            <w:vMerge w:val="continue"/>
            <w:tcBorders>
              <w:tl2br w:val="nil"/>
              <w:tr2bl w:val="nil"/>
            </w:tcBorders>
            <w:vAlign w:val="center"/>
          </w:tcPr>
          <w:p w14:paraId="6EC41FAC">
            <w:pPr>
              <w:jc w:val="center"/>
              <w:rPr>
                <w:rFonts w:ascii="Times New Roman" w:hAnsi="Times New Roman" w:eastAsia="宋体" w:cs="Times New Roman"/>
                <w:color w:val="auto"/>
                <w:spacing w:val="-2"/>
                <w:kern w:val="0"/>
                <w:szCs w:val="21"/>
                <w:u w:val="none" w:color="auto"/>
              </w:rPr>
            </w:pPr>
          </w:p>
        </w:tc>
      </w:tr>
      <w:tr w14:paraId="313E8A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55" w:type="dxa"/>
            <w:tcBorders>
              <w:tl2br w:val="nil"/>
              <w:tr2bl w:val="nil"/>
            </w:tcBorders>
            <w:vAlign w:val="center"/>
          </w:tcPr>
          <w:p w14:paraId="4EE40CD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不敏感</w:t>
            </w:r>
          </w:p>
        </w:tc>
        <w:tc>
          <w:tcPr>
            <w:tcW w:w="4467" w:type="dxa"/>
            <w:tcBorders>
              <w:tl2br w:val="nil"/>
              <w:tr2bl w:val="nil"/>
            </w:tcBorders>
          </w:tcPr>
          <w:p w14:paraId="7875277B">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其他情况</w:t>
            </w:r>
          </w:p>
        </w:tc>
        <w:tc>
          <w:tcPr>
            <w:tcW w:w="2698" w:type="dxa"/>
            <w:vMerge w:val="continue"/>
            <w:tcBorders>
              <w:tl2br w:val="nil"/>
              <w:tr2bl w:val="nil"/>
            </w:tcBorders>
            <w:vAlign w:val="center"/>
          </w:tcPr>
          <w:p w14:paraId="4A0F936E">
            <w:pPr>
              <w:jc w:val="center"/>
              <w:rPr>
                <w:rFonts w:ascii="Times New Roman" w:hAnsi="Times New Roman" w:eastAsia="宋体" w:cs="Times New Roman"/>
                <w:color w:val="auto"/>
                <w:spacing w:val="-2"/>
                <w:kern w:val="0"/>
                <w:szCs w:val="21"/>
                <w:u w:val="none" w:color="auto"/>
              </w:rPr>
            </w:pPr>
          </w:p>
        </w:tc>
      </w:tr>
    </w:tbl>
    <w:p w14:paraId="35078D76">
      <w:pPr>
        <w:pStyle w:val="48"/>
        <w:spacing w:line="360" w:lineRule="auto"/>
        <w:ind w:firstLine="480" w:firstLineChars="200"/>
        <w:jc w:val="both"/>
        <w:rPr>
          <w:rFonts w:hint="default" w:ascii="Times New Roman" w:hAnsi="Times New Roman" w:eastAsia="宋体"/>
          <w:color w:val="auto"/>
          <w:szCs w:val="24"/>
          <w:u w:val="none" w:color="auto"/>
        </w:rPr>
      </w:pPr>
      <w:r>
        <w:rPr>
          <w:rFonts w:hint="default" w:ascii="Times New Roman" w:hAnsi="Times New Roman" w:eastAsia="宋体"/>
          <w:color w:val="auto"/>
          <w:szCs w:val="24"/>
          <w:u w:val="none" w:color="auto"/>
        </w:rPr>
        <w:t>根据土壤环境影响评价项目类别、占地规模及敏感程度划分评价工作等级见表1.6-</w:t>
      </w:r>
      <w:r>
        <w:rPr>
          <w:rFonts w:ascii="Times New Roman" w:hAnsi="Times New Roman" w:eastAsia="宋体"/>
          <w:color w:val="auto"/>
          <w:szCs w:val="24"/>
          <w:u w:val="none" w:color="auto"/>
        </w:rPr>
        <w:t>8</w:t>
      </w:r>
      <w:r>
        <w:rPr>
          <w:rFonts w:hint="default" w:ascii="Times New Roman" w:hAnsi="Times New Roman" w:eastAsia="宋体"/>
          <w:color w:val="auto"/>
          <w:szCs w:val="24"/>
          <w:u w:val="none" w:color="auto"/>
        </w:rPr>
        <w:t>。</w:t>
      </w:r>
    </w:p>
    <w:p w14:paraId="1E7E0CBA">
      <w:pPr>
        <w:jc w:val="center"/>
        <w:rPr>
          <w:rFonts w:ascii="Times New Roman" w:hAnsi="Times New Roman" w:eastAsia="宋体" w:cs="Times New Roman"/>
          <w:b/>
          <w:color w:val="auto"/>
          <w:spacing w:val="-2"/>
          <w:kern w:val="0"/>
          <w:szCs w:val="21"/>
          <w:u w:val="none" w:color="auto"/>
        </w:rPr>
      </w:pPr>
      <w:r>
        <w:rPr>
          <w:rFonts w:ascii="Times New Roman" w:hAnsi="Times New Roman" w:eastAsia="宋体" w:cs="Times New Roman"/>
          <w:b/>
          <w:color w:val="auto"/>
          <w:spacing w:val="-2"/>
          <w:kern w:val="0"/>
          <w:szCs w:val="21"/>
          <w:u w:val="none" w:color="auto"/>
        </w:rPr>
        <w:t>表1.6-</w:t>
      </w:r>
      <w:r>
        <w:rPr>
          <w:rFonts w:hint="eastAsia" w:ascii="Times New Roman" w:hAnsi="Times New Roman" w:eastAsia="宋体" w:cs="Times New Roman"/>
          <w:b/>
          <w:color w:val="auto"/>
          <w:spacing w:val="-2"/>
          <w:kern w:val="0"/>
          <w:szCs w:val="21"/>
          <w:u w:val="none" w:color="auto"/>
        </w:rPr>
        <w:t>8</w:t>
      </w:r>
      <w:r>
        <w:rPr>
          <w:rFonts w:ascii="Times New Roman" w:hAnsi="Times New Roman" w:eastAsia="宋体" w:cs="Times New Roman"/>
          <w:b/>
          <w:color w:val="auto"/>
          <w:spacing w:val="-2"/>
          <w:kern w:val="0"/>
          <w:szCs w:val="21"/>
          <w:u w:val="none" w:color="auto"/>
        </w:rPr>
        <w:t xml:space="preserve"> 污染影响型评价工作等级划分表</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26"/>
        <w:gridCol w:w="797"/>
        <w:gridCol w:w="797"/>
        <w:gridCol w:w="803"/>
        <w:gridCol w:w="797"/>
        <w:gridCol w:w="797"/>
        <w:gridCol w:w="803"/>
        <w:gridCol w:w="797"/>
        <w:gridCol w:w="798"/>
        <w:gridCol w:w="805"/>
      </w:tblGrid>
      <w:tr w14:paraId="26D990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397" w:hRule="atLeast"/>
        </w:trPr>
        <w:tc>
          <w:tcPr>
            <w:tcW w:w="1326" w:type="dxa"/>
            <w:vMerge w:val="restart"/>
            <w:tcBorders>
              <w:tl2br w:val="nil"/>
              <w:tr2bl w:val="nil"/>
            </w:tcBorders>
            <w:vAlign w:val="center"/>
          </w:tcPr>
          <w:p w14:paraId="66D9182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占地规模</w:t>
            </w:r>
          </w:p>
          <w:p w14:paraId="35171645">
            <w:pPr>
              <w:jc w:val="center"/>
              <w:rPr>
                <w:rFonts w:ascii="Times New Roman" w:hAnsi="Times New Roman" w:eastAsia="宋体" w:cs="Times New Roman"/>
                <w:color w:val="auto"/>
                <w:spacing w:val="-2"/>
                <w:kern w:val="0"/>
                <w:szCs w:val="21"/>
                <w:u w:val="none" w:color="auto"/>
              </w:rPr>
            </w:pPr>
            <w:bookmarkStart w:id="107" w:name="_Toc18911140"/>
            <w:bookmarkStart w:id="108" w:name="_Toc18911076"/>
            <w:r>
              <w:rPr>
                <w:rFonts w:ascii="Times New Roman" w:hAnsi="Times New Roman" w:eastAsia="宋体" w:cs="Times New Roman"/>
                <w:color w:val="auto"/>
                <w:spacing w:val="-2"/>
                <w:kern w:val="0"/>
                <w:szCs w:val="21"/>
                <w:u w:val="none" w:color="auto"/>
              </w:rPr>
              <w:t>工作等级</w:t>
            </w:r>
            <w:bookmarkEnd w:id="107"/>
            <w:bookmarkEnd w:id="108"/>
          </w:p>
          <w:p w14:paraId="5ED0C406">
            <w:pPr>
              <w:jc w:val="center"/>
              <w:rPr>
                <w:rFonts w:ascii="Times New Roman" w:hAnsi="Times New Roman" w:eastAsia="宋体" w:cs="Times New Roman"/>
                <w:color w:val="auto"/>
                <w:spacing w:val="-2"/>
                <w:kern w:val="0"/>
                <w:szCs w:val="21"/>
                <w:u w:val="none" w:color="auto"/>
              </w:rPr>
            </w:pPr>
            <w:bookmarkStart w:id="109" w:name="_Toc18911077"/>
            <w:bookmarkStart w:id="110" w:name="_Toc18911141"/>
            <w:r>
              <w:rPr>
                <w:rFonts w:ascii="Times New Roman" w:hAnsi="Times New Roman" w:eastAsia="宋体" w:cs="Times New Roman"/>
                <w:color w:val="auto"/>
                <w:spacing w:val="-2"/>
                <w:kern w:val="0"/>
                <w:szCs w:val="21"/>
                <w:u w:val="none" w:color="auto"/>
              </w:rPr>
              <w:t>敏感程度</w:t>
            </w:r>
            <w:bookmarkEnd w:id="109"/>
            <w:bookmarkEnd w:id="110"/>
          </w:p>
        </w:tc>
        <w:tc>
          <w:tcPr>
            <w:tcW w:w="2397" w:type="dxa"/>
            <w:gridSpan w:val="3"/>
            <w:tcBorders>
              <w:tl2br w:val="nil"/>
              <w:tr2bl w:val="nil"/>
            </w:tcBorders>
            <w:vAlign w:val="center"/>
          </w:tcPr>
          <w:p w14:paraId="5590B98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Ⅰ类</w:t>
            </w:r>
          </w:p>
        </w:tc>
        <w:tc>
          <w:tcPr>
            <w:tcW w:w="2397" w:type="dxa"/>
            <w:gridSpan w:val="3"/>
            <w:tcBorders>
              <w:tl2br w:val="nil"/>
              <w:tr2bl w:val="nil"/>
            </w:tcBorders>
            <w:vAlign w:val="center"/>
          </w:tcPr>
          <w:p w14:paraId="2088EDD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Ⅱ类</w:t>
            </w:r>
          </w:p>
        </w:tc>
        <w:tc>
          <w:tcPr>
            <w:tcW w:w="2400" w:type="dxa"/>
            <w:gridSpan w:val="3"/>
            <w:tcBorders>
              <w:tl2br w:val="nil"/>
              <w:tr2bl w:val="nil"/>
            </w:tcBorders>
            <w:vAlign w:val="center"/>
          </w:tcPr>
          <w:p w14:paraId="624502C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Ⅲ类</w:t>
            </w:r>
          </w:p>
        </w:tc>
      </w:tr>
      <w:tr w14:paraId="31F174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26" w:type="dxa"/>
            <w:vMerge w:val="continue"/>
            <w:tcBorders>
              <w:tl2br w:val="nil"/>
              <w:tr2bl w:val="nil"/>
            </w:tcBorders>
            <w:vAlign w:val="center"/>
          </w:tcPr>
          <w:p w14:paraId="56C8E2C5">
            <w:pPr>
              <w:jc w:val="center"/>
              <w:rPr>
                <w:rFonts w:ascii="Times New Roman" w:hAnsi="Times New Roman" w:eastAsia="宋体" w:cs="Times New Roman"/>
                <w:color w:val="auto"/>
                <w:spacing w:val="-2"/>
                <w:kern w:val="0"/>
                <w:szCs w:val="21"/>
                <w:u w:val="none" w:color="auto"/>
              </w:rPr>
            </w:pPr>
          </w:p>
        </w:tc>
        <w:tc>
          <w:tcPr>
            <w:tcW w:w="797" w:type="dxa"/>
            <w:tcBorders>
              <w:tl2br w:val="nil"/>
              <w:tr2bl w:val="nil"/>
            </w:tcBorders>
            <w:vAlign w:val="center"/>
          </w:tcPr>
          <w:p w14:paraId="7D9BDBB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大</w:t>
            </w:r>
          </w:p>
        </w:tc>
        <w:tc>
          <w:tcPr>
            <w:tcW w:w="797" w:type="dxa"/>
            <w:tcBorders>
              <w:tl2br w:val="nil"/>
              <w:tr2bl w:val="nil"/>
            </w:tcBorders>
            <w:vAlign w:val="center"/>
          </w:tcPr>
          <w:p w14:paraId="27F39B1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中</w:t>
            </w:r>
          </w:p>
        </w:tc>
        <w:tc>
          <w:tcPr>
            <w:tcW w:w="803" w:type="dxa"/>
            <w:tcBorders>
              <w:tl2br w:val="nil"/>
              <w:tr2bl w:val="nil"/>
            </w:tcBorders>
            <w:vAlign w:val="center"/>
          </w:tcPr>
          <w:p w14:paraId="60A01B5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小</w:t>
            </w:r>
          </w:p>
        </w:tc>
        <w:tc>
          <w:tcPr>
            <w:tcW w:w="797" w:type="dxa"/>
            <w:tcBorders>
              <w:tl2br w:val="nil"/>
              <w:tr2bl w:val="nil"/>
            </w:tcBorders>
            <w:vAlign w:val="center"/>
          </w:tcPr>
          <w:p w14:paraId="04F6080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大</w:t>
            </w:r>
          </w:p>
        </w:tc>
        <w:tc>
          <w:tcPr>
            <w:tcW w:w="797" w:type="dxa"/>
            <w:tcBorders>
              <w:tl2br w:val="nil"/>
              <w:tr2bl w:val="nil"/>
            </w:tcBorders>
            <w:vAlign w:val="center"/>
          </w:tcPr>
          <w:p w14:paraId="3583B6D0">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中</w:t>
            </w:r>
          </w:p>
        </w:tc>
        <w:tc>
          <w:tcPr>
            <w:tcW w:w="803" w:type="dxa"/>
            <w:tcBorders>
              <w:tl2br w:val="nil"/>
              <w:tr2bl w:val="nil"/>
            </w:tcBorders>
            <w:vAlign w:val="center"/>
          </w:tcPr>
          <w:p w14:paraId="272EFD5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小</w:t>
            </w:r>
          </w:p>
        </w:tc>
        <w:tc>
          <w:tcPr>
            <w:tcW w:w="797" w:type="dxa"/>
            <w:tcBorders>
              <w:tl2br w:val="nil"/>
              <w:tr2bl w:val="nil"/>
            </w:tcBorders>
            <w:vAlign w:val="center"/>
          </w:tcPr>
          <w:p w14:paraId="429D62B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大</w:t>
            </w:r>
          </w:p>
        </w:tc>
        <w:tc>
          <w:tcPr>
            <w:tcW w:w="798" w:type="dxa"/>
            <w:tcBorders>
              <w:tl2br w:val="nil"/>
              <w:tr2bl w:val="nil"/>
            </w:tcBorders>
            <w:vAlign w:val="center"/>
          </w:tcPr>
          <w:p w14:paraId="3DA4AFB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中</w:t>
            </w:r>
          </w:p>
        </w:tc>
        <w:tc>
          <w:tcPr>
            <w:tcW w:w="805" w:type="dxa"/>
            <w:tcBorders>
              <w:tl2br w:val="nil"/>
              <w:tr2bl w:val="nil"/>
            </w:tcBorders>
            <w:vAlign w:val="center"/>
          </w:tcPr>
          <w:p w14:paraId="54CC7F1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小</w:t>
            </w:r>
          </w:p>
        </w:tc>
      </w:tr>
      <w:tr w14:paraId="7A234E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26" w:type="dxa"/>
            <w:tcBorders>
              <w:tl2br w:val="nil"/>
              <w:tr2bl w:val="nil"/>
            </w:tcBorders>
            <w:vAlign w:val="center"/>
          </w:tcPr>
          <w:p w14:paraId="2165663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敏感</w:t>
            </w:r>
          </w:p>
        </w:tc>
        <w:tc>
          <w:tcPr>
            <w:tcW w:w="797" w:type="dxa"/>
            <w:tcBorders>
              <w:tl2br w:val="nil"/>
              <w:tr2bl w:val="nil"/>
            </w:tcBorders>
            <w:vAlign w:val="center"/>
          </w:tcPr>
          <w:p w14:paraId="7479744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797" w:type="dxa"/>
            <w:tcBorders>
              <w:tl2br w:val="nil"/>
              <w:tr2bl w:val="nil"/>
            </w:tcBorders>
            <w:vAlign w:val="center"/>
          </w:tcPr>
          <w:p w14:paraId="05C0023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803" w:type="dxa"/>
            <w:tcBorders>
              <w:tl2br w:val="nil"/>
              <w:tr2bl w:val="nil"/>
            </w:tcBorders>
            <w:vAlign w:val="center"/>
          </w:tcPr>
          <w:p w14:paraId="5382073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797" w:type="dxa"/>
            <w:tcBorders>
              <w:tl2br w:val="nil"/>
              <w:tr2bl w:val="nil"/>
            </w:tcBorders>
            <w:vAlign w:val="center"/>
          </w:tcPr>
          <w:p w14:paraId="323C798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1DDB778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803" w:type="dxa"/>
            <w:tcBorders>
              <w:tl2br w:val="nil"/>
              <w:tr2bl w:val="nil"/>
            </w:tcBorders>
            <w:vAlign w:val="center"/>
          </w:tcPr>
          <w:p w14:paraId="6DA97F6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49732C9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798" w:type="dxa"/>
            <w:tcBorders>
              <w:tl2br w:val="nil"/>
              <w:tr2bl w:val="nil"/>
            </w:tcBorders>
            <w:vAlign w:val="center"/>
          </w:tcPr>
          <w:p w14:paraId="65EC197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805" w:type="dxa"/>
            <w:tcBorders>
              <w:tl2br w:val="nil"/>
              <w:tr2bl w:val="nil"/>
            </w:tcBorders>
            <w:vAlign w:val="center"/>
          </w:tcPr>
          <w:p w14:paraId="5A2161B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r>
      <w:tr w14:paraId="0294F99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26" w:type="dxa"/>
            <w:tcBorders>
              <w:tl2br w:val="nil"/>
              <w:tr2bl w:val="nil"/>
            </w:tcBorders>
            <w:vAlign w:val="center"/>
          </w:tcPr>
          <w:p w14:paraId="6A5FB16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较敏感</w:t>
            </w:r>
          </w:p>
        </w:tc>
        <w:tc>
          <w:tcPr>
            <w:tcW w:w="797" w:type="dxa"/>
            <w:tcBorders>
              <w:tl2br w:val="nil"/>
              <w:tr2bl w:val="nil"/>
            </w:tcBorders>
            <w:vAlign w:val="center"/>
          </w:tcPr>
          <w:p w14:paraId="7B3F86E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797" w:type="dxa"/>
            <w:tcBorders>
              <w:tl2br w:val="nil"/>
              <w:tr2bl w:val="nil"/>
            </w:tcBorders>
            <w:vAlign w:val="center"/>
          </w:tcPr>
          <w:p w14:paraId="5F0E029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803" w:type="dxa"/>
            <w:tcBorders>
              <w:tl2br w:val="nil"/>
              <w:tr2bl w:val="nil"/>
            </w:tcBorders>
            <w:vAlign w:val="center"/>
          </w:tcPr>
          <w:p w14:paraId="5D07E0C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40284FA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7FC8FAA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803" w:type="dxa"/>
            <w:tcBorders>
              <w:tl2br w:val="nil"/>
              <w:tr2bl w:val="nil"/>
            </w:tcBorders>
            <w:vAlign w:val="center"/>
          </w:tcPr>
          <w:p w14:paraId="59306CF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797" w:type="dxa"/>
            <w:tcBorders>
              <w:tl2br w:val="nil"/>
              <w:tr2bl w:val="nil"/>
            </w:tcBorders>
            <w:vAlign w:val="center"/>
          </w:tcPr>
          <w:p w14:paraId="7A13159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798" w:type="dxa"/>
            <w:tcBorders>
              <w:tl2br w:val="nil"/>
              <w:tr2bl w:val="nil"/>
            </w:tcBorders>
            <w:vAlign w:val="center"/>
          </w:tcPr>
          <w:p w14:paraId="147EFD6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805" w:type="dxa"/>
            <w:tcBorders>
              <w:tl2br w:val="nil"/>
              <w:tr2bl w:val="nil"/>
            </w:tcBorders>
            <w:vAlign w:val="center"/>
          </w:tcPr>
          <w:p w14:paraId="238453C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w:t>
            </w:r>
          </w:p>
        </w:tc>
      </w:tr>
      <w:tr w14:paraId="320D5D5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26" w:type="dxa"/>
            <w:tcBorders>
              <w:tl2br w:val="nil"/>
              <w:tr2bl w:val="nil"/>
            </w:tcBorders>
            <w:vAlign w:val="center"/>
          </w:tcPr>
          <w:p w14:paraId="642F191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不敏感</w:t>
            </w:r>
          </w:p>
        </w:tc>
        <w:tc>
          <w:tcPr>
            <w:tcW w:w="797" w:type="dxa"/>
            <w:tcBorders>
              <w:tl2br w:val="nil"/>
              <w:tr2bl w:val="nil"/>
            </w:tcBorders>
            <w:vAlign w:val="center"/>
          </w:tcPr>
          <w:p w14:paraId="6C4CD3A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一级</w:t>
            </w:r>
          </w:p>
        </w:tc>
        <w:tc>
          <w:tcPr>
            <w:tcW w:w="797" w:type="dxa"/>
            <w:tcBorders>
              <w:tl2br w:val="nil"/>
              <w:tr2bl w:val="nil"/>
            </w:tcBorders>
            <w:vAlign w:val="center"/>
          </w:tcPr>
          <w:p w14:paraId="47C05BF0">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803" w:type="dxa"/>
            <w:tcBorders>
              <w:tl2br w:val="nil"/>
              <w:tr2bl w:val="nil"/>
            </w:tcBorders>
            <w:vAlign w:val="center"/>
          </w:tcPr>
          <w:p w14:paraId="7A57D28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5C4573B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二级</w:t>
            </w:r>
          </w:p>
        </w:tc>
        <w:tc>
          <w:tcPr>
            <w:tcW w:w="797" w:type="dxa"/>
            <w:tcBorders>
              <w:tl2br w:val="nil"/>
              <w:tr2bl w:val="nil"/>
            </w:tcBorders>
            <w:vAlign w:val="center"/>
          </w:tcPr>
          <w:p w14:paraId="60DDC1B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803" w:type="dxa"/>
            <w:tcBorders>
              <w:tl2br w:val="nil"/>
              <w:tr2bl w:val="nil"/>
            </w:tcBorders>
            <w:vAlign w:val="center"/>
          </w:tcPr>
          <w:p w14:paraId="2223D83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797" w:type="dxa"/>
            <w:tcBorders>
              <w:tl2br w:val="nil"/>
              <w:tr2bl w:val="nil"/>
            </w:tcBorders>
            <w:vAlign w:val="center"/>
          </w:tcPr>
          <w:p w14:paraId="46F9D7A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三级</w:t>
            </w:r>
          </w:p>
        </w:tc>
        <w:tc>
          <w:tcPr>
            <w:tcW w:w="798" w:type="dxa"/>
            <w:tcBorders>
              <w:tl2br w:val="nil"/>
              <w:tr2bl w:val="nil"/>
            </w:tcBorders>
            <w:vAlign w:val="center"/>
          </w:tcPr>
          <w:p w14:paraId="36B29D8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w:t>
            </w:r>
          </w:p>
        </w:tc>
        <w:tc>
          <w:tcPr>
            <w:tcW w:w="805" w:type="dxa"/>
            <w:tcBorders>
              <w:tl2br w:val="nil"/>
              <w:tr2bl w:val="nil"/>
            </w:tcBorders>
            <w:vAlign w:val="center"/>
          </w:tcPr>
          <w:p w14:paraId="01094DC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w:t>
            </w:r>
          </w:p>
        </w:tc>
      </w:tr>
      <w:tr w14:paraId="3C472B6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0" w:type="dxa"/>
            <w:gridSpan w:val="10"/>
            <w:tcBorders>
              <w:tl2br w:val="nil"/>
              <w:tr2bl w:val="nil"/>
            </w:tcBorders>
          </w:tcPr>
          <w:p w14:paraId="4E585137">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注：“—”表示可不开展土壤环境影响评价工作</w:t>
            </w:r>
          </w:p>
        </w:tc>
      </w:tr>
    </w:tbl>
    <w:p w14:paraId="2EBDE192">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项目为污染型Ⅰ类项目，占地为中型，敏感程度为不敏感，土壤环境评价工作等级为二级。</w:t>
      </w:r>
    </w:p>
    <w:p w14:paraId="7B18F5F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.6.6生态环境</w:t>
      </w:r>
      <w:bookmarkEnd w:id="106"/>
    </w:p>
    <w:p w14:paraId="78D3F86C">
      <w:pPr>
        <w:autoSpaceDE w:val="0"/>
        <w:autoSpaceDN w:val="0"/>
        <w:spacing w:line="360" w:lineRule="auto"/>
        <w:ind w:firstLine="480" w:firstLineChars="200"/>
        <w:rPr>
          <w:rFonts w:hint="default" w:ascii="Times New Roman" w:hAnsi="Times New Roman" w:eastAsia="宋体" w:cs="Times New Roman"/>
          <w:color w:val="auto"/>
          <w:kern w:val="0"/>
          <w:sz w:val="24"/>
          <w:szCs w:val="20"/>
          <w:u w:val="none" w:color="auto"/>
        </w:rPr>
      </w:pPr>
      <w:bookmarkStart w:id="111" w:name="_Toc3728147"/>
      <w:r>
        <w:rPr>
          <w:rFonts w:hint="default" w:ascii="Times New Roman" w:hAnsi="Times New Roman" w:eastAsia="宋体" w:cs="Times New Roman"/>
          <w:color w:val="auto"/>
          <w:kern w:val="0"/>
          <w:sz w:val="24"/>
          <w:szCs w:val="20"/>
          <w:u w:val="none" w:color="auto"/>
        </w:rPr>
        <w:t>根据《环境影响评价技术导则生态环境》（HJ19-2022），生态影响评价等级依据建设项目影响区域的生态敏感性和影响程度，分级判据见表1.</w:t>
      </w:r>
      <w:r>
        <w:rPr>
          <w:rFonts w:hint="eastAsia" w:ascii="Times New Roman" w:hAnsi="Times New Roman" w:eastAsia="宋体" w:cs="Times New Roman"/>
          <w:color w:val="auto"/>
          <w:kern w:val="0"/>
          <w:sz w:val="24"/>
          <w:szCs w:val="20"/>
          <w:u w:val="none" w:color="auto"/>
          <w:lang w:val="en-US" w:eastAsia="zh-CN"/>
        </w:rPr>
        <w:t>6</w:t>
      </w:r>
      <w:r>
        <w:rPr>
          <w:rFonts w:hint="default" w:ascii="Times New Roman" w:hAnsi="Times New Roman" w:eastAsia="宋体" w:cs="Times New Roman"/>
          <w:color w:val="auto"/>
          <w:kern w:val="0"/>
          <w:sz w:val="24"/>
          <w:szCs w:val="20"/>
          <w:u w:val="none" w:color="auto"/>
        </w:rPr>
        <w:t>-</w:t>
      </w:r>
      <w:r>
        <w:rPr>
          <w:rFonts w:hint="eastAsia" w:ascii="Times New Roman" w:hAnsi="Times New Roman" w:eastAsia="宋体" w:cs="Times New Roman"/>
          <w:color w:val="auto"/>
          <w:kern w:val="0"/>
          <w:sz w:val="24"/>
          <w:szCs w:val="20"/>
          <w:u w:val="none" w:color="auto"/>
          <w:lang w:val="en-US" w:eastAsia="zh-CN"/>
        </w:rPr>
        <w:t>8</w:t>
      </w:r>
      <w:r>
        <w:rPr>
          <w:rFonts w:hint="default" w:ascii="Times New Roman" w:hAnsi="Times New Roman" w:eastAsia="宋体" w:cs="Times New Roman"/>
          <w:color w:val="auto"/>
          <w:kern w:val="0"/>
          <w:sz w:val="24"/>
          <w:szCs w:val="20"/>
          <w:u w:val="none" w:color="auto"/>
        </w:rPr>
        <w:t>。</w:t>
      </w:r>
    </w:p>
    <w:p w14:paraId="63FFFCAC">
      <w:pPr>
        <w:pStyle w:val="6"/>
        <w:numPr>
          <w:ilvl w:val="4"/>
          <w:numId w:val="0"/>
        </w:numPr>
        <w:tabs>
          <w:tab w:val="left" w:pos="2661"/>
          <w:tab w:val="clear" w:pos="927"/>
        </w:tabs>
        <w:bidi w:val="0"/>
        <w:ind w:leftChars="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表1.6-8生态影响评价工作等级划分表</w:t>
      </w:r>
    </w:p>
    <w:tbl>
      <w:tblPr>
        <w:tblStyle w:val="37"/>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25"/>
        <w:gridCol w:w="6195"/>
        <w:gridCol w:w="1920"/>
      </w:tblGrid>
      <w:tr w14:paraId="70781B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0BBDA411">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分级</w:t>
            </w:r>
          </w:p>
        </w:tc>
        <w:tc>
          <w:tcPr>
            <w:tcW w:w="6195" w:type="dxa"/>
            <w:tcBorders>
              <w:tl2br w:val="nil"/>
              <w:tr2bl w:val="nil"/>
            </w:tcBorders>
            <w:noWrap w:val="0"/>
            <w:vAlign w:val="center"/>
          </w:tcPr>
          <w:p w14:paraId="7F9929AD">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分级依据</w:t>
            </w:r>
          </w:p>
        </w:tc>
        <w:tc>
          <w:tcPr>
            <w:tcW w:w="1920" w:type="dxa"/>
            <w:tcBorders>
              <w:tl2br w:val="nil"/>
              <w:tr2bl w:val="nil"/>
            </w:tcBorders>
            <w:noWrap w:val="0"/>
            <w:vAlign w:val="center"/>
          </w:tcPr>
          <w:p w14:paraId="4065DDB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本项目情况</w:t>
            </w:r>
          </w:p>
        </w:tc>
      </w:tr>
      <w:tr w14:paraId="57FE12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7BF8E9CD">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一级</w:t>
            </w:r>
          </w:p>
        </w:tc>
        <w:tc>
          <w:tcPr>
            <w:tcW w:w="6195" w:type="dxa"/>
            <w:tcBorders>
              <w:tl2br w:val="nil"/>
              <w:tr2bl w:val="nil"/>
            </w:tcBorders>
            <w:noWrap w:val="0"/>
            <w:vAlign w:val="center"/>
          </w:tcPr>
          <w:p w14:paraId="5EC12498">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a）涉及国家公园、自然保护区、世界自然遗产、重要生境时；</w:t>
            </w:r>
          </w:p>
        </w:tc>
        <w:tc>
          <w:tcPr>
            <w:tcW w:w="1920" w:type="dxa"/>
            <w:vMerge w:val="restart"/>
            <w:tcBorders>
              <w:tl2br w:val="nil"/>
              <w:tr2bl w:val="nil"/>
            </w:tcBorders>
            <w:noWrap w:val="0"/>
            <w:vAlign w:val="center"/>
          </w:tcPr>
          <w:p w14:paraId="3FD7DC31">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已批准规划环评的产业园区内且符合规划环评要求，项目不涉及国家公园、自然保护区、世界自然遗产、重要生境；不涉及自然公园、生态红线；项目地表水评价等级为三级B；项目周边无天然林、公益林、湿地等生态保护目标；</w:t>
            </w:r>
          </w:p>
        </w:tc>
      </w:tr>
      <w:tr w14:paraId="17684A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7B9518F4">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二级</w:t>
            </w:r>
          </w:p>
        </w:tc>
        <w:tc>
          <w:tcPr>
            <w:tcW w:w="6195" w:type="dxa"/>
            <w:tcBorders>
              <w:tl2br w:val="nil"/>
              <w:tr2bl w:val="nil"/>
            </w:tcBorders>
            <w:noWrap w:val="0"/>
            <w:vAlign w:val="center"/>
          </w:tcPr>
          <w:p w14:paraId="33114400">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b）涉及自然公园时；</w:t>
            </w:r>
          </w:p>
          <w:p w14:paraId="7133D6C9">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c）涉及生态保护红线时；</w:t>
            </w:r>
          </w:p>
          <w:p w14:paraId="7D305BC5">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d）根据HJ2.3判断属于水文要素影响型且地表水评价等级不低于二级的建设项目；</w:t>
            </w:r>
          </w:p>
          <w:p w14:paraId="458EEF69">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e）根据HJ610、HJ964判断地下水水位或土壤影响范围内分布有天然林、公益林、湿地等生态保护目标的建设项目；</w:t>
            </w:r>
          </w:p>
          <w:p w14:paraId="6BEE0DC7">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f）当工程占地规模大于20km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时（包括永久和临时占用陆域和水域）；改扩建项目的占地范围以新增占地（包括陆域和水域）确定；</w:t>
            </w:r>
          </w:p>
        </w:tc>
        <w:tc>
          <w:tcPr>
            <w:tcW w:w="1920" w:type="dxa"/>
            <w:vMerge w:val="continue"/>
            <w:tcBorders>
              <w:tl2br w:val="nil"/>
              <w:tr2bl w:val="nil"/>
            </w:tcBorders>
            <w:noWrap w:val="0"/>
            <w:vAlign w:val="center"/>
          </w:tcPr>
          <w:p w14:paraId="26E3D078">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p>
        </w:tc>
      </w:tr>
      <w:tr w14:paraId="5C2DFA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3FA8B7CD">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三级</w:t>
            </w:r>
          </w:p>
        </w:tc>
        <w:tc>
          <w:tcPr>
            <w:tcW w:w="6195" w:type="dxa"/>
            <w:tcBorders>
              <w:tl2br w:val="nil"/>
              <w:tr2bl w:val="nil"/>
            </w:tcBorders>
            <w:noWrap w:val="0"/>
            <w:vAlign w:val="center"/>
          </w:tcPr>
          <w:p w14:paraId="10C04B1B">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g）除本条a）、b）、c）、d）、e）、f）以外的情况</w:t>
            </w:r>
          </w:p>
        </w:tc>
        <w:tc>
          <w:tcPr>
            <w:tcW w:w="1920" w:type="dxa"/>
            <w:vMerge w:val="continue"/>
            <w:tcBorders>
              <w:tl2br w:val="nil"/>
              <w:tr2bl w:val="nil"/>
            </w:tcBorders>
            <w:noWrap w:val="0"/>
            <w:vAlign w:val="center"/>
          </w:tcPr>
          <w:p w14:paraId="4DB7BF9A">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p>
        </w:tc>
      </w:tr>
      <w:tr w14:paraId="5ED875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825" w:type="dxa"/>
            <w:tcBorders>
              <w:tl2br w:val="nil"/>
              <w:tr2bl w:val="nil"/>
            </w:tcBorders>
            <w:noWrap w:val="0"/>
            <w:vAlign w:val="center"/>
          </w:tcPr>
          <w:p w14:paraId="5728C494">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简单分析</w:t>
            </w:r>
          </w:p>
        </w:tc>
        <w:tc>
          <w:tcPr>
            <w:tcW w:w="6195" w:type="dxa"/>
            <w:tcBorders>
              <w:tl2br w:val="nil"/>
              <w:tr2bl w:val="nil"/>
            </w:tcBorders>
            <w:noWrap w:val="0"/>
            <w:vAlign w:val="center"/>
          </w:tcPr>
          <w:p w14:paraId="02B4F01C">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sz w:val="21"/>
                <w:szCs w:val="21"/>
                <w:u w:val="none" w:color="auto"/>
              </w:rPr>
              <w:t>6.1.8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1920" w:type="dxa"/>
            <w:vMerge w:val="continue"/>
            <w:tcBorders>
              <w:tl2br w:val="nil"/>
              <w:tr2bl w:val="nil"/>
            </w:tcBorders>
            <w:noWrap w:val="0"/>
            <w:vAlign w:val="center"/>
          </w:tcPr>
          <w:p w14:paraId="66C66F30">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p>
        </w:tc>
      </w:tr>
    </w:tbl>
    <w:p w14:paraId="0F9CBDA8">
      <w:pPr>
        <w:autoSpaceDE w:val="0"/>
        <w:autoSpaceDN w:val="0"/>
        <w:spacing w:line="360" w:lineRule="auto"/>
        <w:ind w:firstLine="480" w:firstLineChars="200"/>
        <w:rPr>
          <w:rFonts w:hint="default" w:ascii="Times New Roman" w:hAnsi="Times New Roman" w:eastAsia="宋体" w:cs="Times New Roman"/>
          <w:color w:val="auto"/>
          <w:kern w:val="0"/>
          <w:sz w:val="24"/>
          <w:szCs w:val="20"/>
          <w:u w:val="none" w:color="auto"/>
        </w:rPr>
      </w:pPr>
      <w:r>
        <w:rPr>
          <w:rFonts w:hint="default" w:ascii="Times New Roman" w:hAnsi="Times New Roman" w:eastAsia="宋体" w:cs="Times New Roman"/>
          <w:color w:val="auto"/>
          <w:kern w:val="0"/>
          <w:sz w:val="24"/>
          <w:szCs w:val="20"/>
          <w:u w:val="none" w:color="auto"/>
        </w:rPr>
        <w:t>本项目属于位于已批准规划环评的产业园区内且符合规划环评要求、不涉及生态敏感区的污染影响类建设项目，不涉及国家公园、自然保护区、世界自然遗产、重要生境，不涉及自然公园、生态红线；项目地表水评价等级为三级B；项目周边400m范围内无天然林、公益林、湿地等生态保护目标；项目占地</w:t>
      </w:r>
      <w:r>
        <w:rPr>
          <w:rFonts w:hint="default" w:ascii="Times New Roman" w:hAnsi="Times New Roman" w:eastAsia="宋体" w:cs="Times New Roman"/>
          <w:color w:val="auto"/>
          <w:kern w:val="0"/>
          <w:sz w:val="24"/>
          <w:szCs w:val="20"/>
          <w:u w:val="none" w:color="auto"/>
          <w:lang w:val="en-US" w:eastAsia="zh-CN"/>
        </w:rPr>
        <w:t>0.</w:t>
      </w:r>
      <w:r>
        <w:rPr>
          <w:rFonts w:hint="eastAsia" w:ascii="Times New Roman" w:hAnsi="Times New Roman" w:eastAsia="宋体" w:cs="Times New Roman"/>
          <w:color w:val="auto"/>
          <w:kern w:val="0"/>
          <w:sz w:val="24"/>
          <w:szCs w:val="20"/>
          <w:u w:val="none" w:color="auto"/>
          <w:lang w:val="en-US" w:eastAsia="zh-CN"/>
        </w:rPr>
        <w:t>1676</w:t>
      </w:r>
      <w:r>
        <w:rPr>
          <w:rFonts w:hint="default" w:ascii="Times New Roman" w:hAnsi="Times New Roman" w:eastAsia="宋体" w:cs="Times New Roman"/>
          <w:color w:val="auto"/>
          <w:kern w:val="0"/>
          <w:sz w:val="24"/>
          <w:szCs w:val="20"/>
          <w:u w:val="none" w:color="auto"/>
        </w:rPr>
        <w:t>km</w:t>
      </w:r>
      <w:r>
        <w:rPr>
          <w:rFonts w:hint="default" w:ascii="Times New Roman" w:hAnsi="Times New Roman" w:eastAsia="宋体" w:cs="Times New Roman"/>
          <w:color w:val="auto"/>
          <w:kern w:val="0"/>
          <w:sz w:val="24"/>
          <w:szCs w:val="20"/>
          <w:u w:val="none" w:color="auto"/>
          <w:vertAlign w:val="superscript"/>
        </w:rPr>
        <w:t>2</w:t>
      </w:r>
      <w:r>
        <w:rPr>
          <w:rFonts w:hint="default" w:ascii="Times New Roman" w:hAnsi="Times New Roman" w:eastAsia="宋体" w:cs="Times New Roman"/>
          <w:color w:val="auto"/>
          <w:kern w:val="0"/>
          <w:sz w:val="24"/>
          <w:szCs w:val="20"/>
          <w:u w:val="none" w:color="auto"/>
        </w:rPr>
        <w:t>，小于20km</w:t>
      </w:r>
      <w:r>
        <w:rPr>
          <w:rFonts w:hint="default" w:ascii="Times New Roman" w:hAnsi="Times New Roman" w:eastAsia="宋体" w:cs="Times New Roman"/>
          <w:color w:val="auto"/>
          <w:kern w:val="0"/>
          <w:sz w:val="24"/>
          <w:szCs w:val="20"/>
          <w:u w:val="none" w:color="auto"/>
          <w:vertAlign w:val="superscript"/>
        </w:rPr>
        <w:t>2</w:t>
      </w:r>
      <w:r>
        <w:rPr>
          <w:rFonts w:hint="default" w:ascii="Times New Roman" w:hAnsi="Times New Roman" w:eastAsia="宋体" w:cs="Times New Roman"/>
          <w:color w:val="auto"/>
          <w:kern w:val="0"/>
          <w:sz w:val="24"/>
          <w:szCs w:val="20"/>
          <w:u w:val="none" w:color="auto"/>
        </w:rPr>
        <w:t>，根据《环境影响评价技术导则——生态影响》（HJ19-2022），本项目生态环境评价工作可不确定评价等级，直接进行生态影响简单分析。</w:t>
      </w:r>
    </w:p>
    <w:p w14:paraId="4DB83B9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1</w:t>
      </w:r>
      <w:r>
        <w:rPr>
          <w:rFonts w:ascii="Times New Roman" w:hAnsi="Times New Roman" w:eastAsia="宋体" w:cs="Times New Roman"/>
          <w:b/>
          <w:color w:val="auto"/>
          <w:kern w:val="0"/>
          <w:sz w:val="28"/>
          <w:szCs w:val="20"/>
          <w:u w:val="none" w:color="auto"/>
        </w:rPr>
        <w:t>.6.7环境风险</w:t>
      </w:r>
      <w:bookmarkEnd w:id="111"/>
    </w:p>
    <w:p w14:paraId="1ACD7BAB">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根据《建设项目环境风险评价技术导则》（HJ169－2018），确定本项目风险评价工作等级。</w:t>
      </w:r>
    </w:p>
    <w:p w14:paraId="5F144BA0">
      <w:pPr>
        <w:autoSpaceDE w:val="0"/>
        <w:autoSpaceDN w:val="0"/>
        <w:spacing w:line="360" w:lineRule="auto"/>
        <w:ind w:firstLine="482" w:firstLineChars="200"/>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（1）P的分级确定</w:t>
      </w:r>
    </w:p>
    <w:p w14:paraId="21437473">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分析本项目生产、使用、储存过程中涉及的有毒有害、易燃易爆物质，参见附录B 确定危险物质的临界量。定量分析危险物质数量与临界量的比值（Q）和所属行业及生产工艺特点（M），按附录C对危险物质及工艺系统危险性（P）等级进行判断。</w:t>
      </w:r>
    </w:p>
    <w:p w14:paraId="797BA497">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1）危险物质数量与临界量比值（Q）</w:t>
      </w:r>
    </w:p>
    <w:p w14:paraId="0F97706E">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计算所涉及的每种危险物质在厂界内的最大存在总量与其在附录B 中对应临界量的比值Q。在不同厂区的同一种物质，按其在厂界内的最大存在总量计算。对于长输管线项目，按照两个截断阀室之间管段危险物质最大</w:t>
      </w:r>
      <w:r>
        <w:rPr>
          <w:rFonts w:hint="eastAsia" w:ascii="Times New Roman" w:hAnsi="Times New Roman" w:eastAsia="宋体" w:cs="Times New Roman"/>
          <w:color w:val="auto"/>
          <w:kern w:val="0"/>
          <w:sz w:val="24"/>
          <w:szCs w:val="20"/>
          <w:u w:val="none" w:color="auto"/>
          <w:lang w:eastAsia="zh-CN"/>
        </w:rPr>
        <w:t>存放</w:t>
      </w:r>
      <w:r>
        <w:rPr>
          <w:rFonts w:ascii="Times New Roman" w:hAnsi="Times New Roman" w:eastAsia="宋体" w:cs="Times New Roman"/>
          <w:color w:val="auto"/>
          <w:kern w:val="0"/>
          <w:sz w:val="24"/>
          <w:szCs w:val="20"/>
          <w:u w:val="none" w:color="auto"/>
        </w:rPr>
        <w:t>总量计算。</w:t>
      </w:r>
    </w:p>
    <w:p w14:paraId="3ECFD691">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当只涉及一种危险物质时，计算该物质的总量与其临界量比值，即为Q；</w:t>
      </w:r>
    </w:p>
    <w:p w14:paraId="4A809CDA">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当存在多种危险物质时，则按下式计算物质总量与其临界量比值（Q）：</w:t>
      </w:r>
    </w:p>
    <w:p w14:paraId="3EB9790B">
      <w:pPr>
        <w:autoSpaceDE w:val="0"/>
        <w:autoSpaceDN w:val="0"/>
        <w:spacing w:line="360" w:lineRule="auto"/>
        <w:ind w:firstLine="480" w:firstLineChars="200"/>
        <w:jc w:val="center"/>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drawing>
          <wp:inline distT="0" distB="0" distL="0" distR="0">
            <wp:extent cx="1969135" cy="5975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969135" cy="597535"/>
                    </a:xfrm>
                    <a:prstGeom prst="rect">
                      <a:avLst/>
                    </a:prstGeom>
                    <a:noFill/>
                  </pic:spPr>
                </pic:pic>
              </a:graphicData>
            </a:graphic>
          </wp:inline>
        </w:drawing>
      </w:r>
    </w:p>
    <w:p w14:paraId="4A858E8B">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式中：  --每种危险物质的最大存在总量，t。</w:t>
      </w:r>
    </w:p>
    <w:p w14:paraId="5AFD778D">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 xml:space="preserve"> --每种危险物质的临界量，t。</w:t>
      </w:r>
    </w:p>
    <w:p w14:paraId="3EAF3295">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当Q＜1 时，该项目环境风险潜势为Ⅰ。</w:t>
      </w:r>
    </w:p>
    <w:p w14:paraId="0FBE740B">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当Q≥1 时，将Q 值划分为：（1）1≤Q＜10；（2）10≤Q＜100；（3）Q≥100。</w:t>
      </w:r>
    </w:p>
    <w:p w14:paraId="63DB1529">
      <w:pPr>
        <w:autoSpaceDE w:val="0"/>
        <w:autoSpaceDN w:val="0"/>
        <w:spacing w:line="360" w:lineRule="auto"/>
        <w:ind w:firstLine="480" w:firstLineChars="200"/>
        <w:rPr>
          <w:rFonts w:ascii="Times New Roman" w:hAnsi="Times New Roman" w:eastAsia="宋体" w:cs="Times New Roman"/>
          <w:color w:val="auto"/>
          <w:kern w:val="0"/>
          <w:sz w:val="24"/>
          <w:szCs w:val="20"/>
          <w:u w:val="none" w:color="auto"/>
        </w:rPr>
      </w:pPr>
      <w:bookmarkStart w:id="112" w:name="_Hlk1977216"/>
      <w:r>
        <w:rPr>
          <w:rFonts w:ascii="Times New Roman" w:hAnsi="Times New Roman" w:eastAsia="宋体" w:cs="Times New Roman"/>
          <w:color w:val="auto"/>
          <w:kern w:val="0"/>
          <w:sz w:val="24"/>
          <w:szCs w:val="20"/>
          <w:u w:val="none" w:color="auto"/>
        </w:rPr>
        <w:t xml:space="preserve">根据《建设项目环境风险评价技术导则》（HJ169-2018）附录B表B.1、表B.2，其他危险物质临界量推荐值可按照健康危险急性毒性物质类别进行确定，项目涉 及的风险物质及其临界量情况见下表。 </w:t>
      </w:r>
    </w:p>
    <w:bookmarkEnd w:id="112"/>
    <w:p w14:paraId="00D2D1FA">
      <w:pPr>
        <w:autoSpaceDE w:val="0"/>
        <w:autoSpaceDN w:val="0"/>
        <w:adjustRightInd w:val="0"/>
        <w:snapToGrid w:val="0"/>
        <w:ind w:firstLine="422" w:firstLineChars="200"/>
        <w:jc w:val="center"/>
        <w:rPr>
          <w:rFonts w:ascii="Times New Roman" w:hAnsi="Times New Roman" w:eastAsia="宋体" w:cs="Times New Roman"/>
          <w:b/>
          <w:color w:val="auto"/>
          <w:szCs w:val="20"/>
          <w:u w:val="none" w:color="auto"/>
        </w:rPr>
      </w:pPr>
      <w:r>
        <w:rPr>
          <w:rFonts w:ascii="Times New Roman" w:hAnsi="Times New Roman" w:eastAsia="宋体" w:cs="Times New Roman"/>
          <w:b/>
          <w:color w:val="auto"/>
          <w:szCs w:val="20"/>
          <w:u w:val="none" w:color="auto"/>
        </w:rPr>
        <w:t>表</w:t>
      </w:r>
      <w:r>
        <w:rPr>
          <w:rFonts w:hint="eastAsia" w:ascii="Times New Roman" w:hAnsi="Times New Roman" w:eastAsia="宋体" w:cs="Times New Roman"/>
          <w:b/>
          <w:color w:val="auto"/>
          <w:szCs w:val="20"/>
          <w:u w:val="none" w:color="auto"/>
        </w:rPr>
        <w:t>1</w:t>
      </w:r>
      <w:r>
        <w:rPr>
          <w:rFonts w:ascii="Times New Roman" w:hAnsi="Times New Roman" w:eastAsia="宋体" w:cs="Times New Roman"/>
          <w:b/>
          <w:color w:val="auto"/>
          <w:szCs w:val="20"/>
          <w:u w:val="none" w:color="auto"/>
        </w:rPr>
        <w:t>.6-</w:t>
      </w:r>
      <w:r>
        <w:rPr>
          <w:rFonts w:hint="eastAsia" w:ascii="Times New Roman" w:hAnsi="Times New Roman" w:eastAsia="宋体" w:cs="Times New Roman"/>
          <w:b/>
          <w:color w:val="auto"/>
          <w:szCs w:val="20"/>
          <w:u w:val="none" w:color="auto"/>
        </w:rPr>
        <w:t>10</w:t>
      </w:r>
      <w:r>
        <w:rPr>
          <w:rFonts w:ascii="Times New Roman" w:hAnsi="Times New Roman" w:eastAsia="宋体" w:cs="Times New Roman"/>
          <w:b/>
          <w:color w:val="auto"/>
          <w:szCs w:val="20"/>
          <w:u w:val="none" w:color="auto"/>
        </w:rPr>
        <w:t xml:space="preserve">  本项目重大危险源辨识因子（单位：t）</w:t>
      </w:r>
    </w:p>
    <w:tbl>
      <w:tblPr>
        <w:tblStyle w:val="3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1692"/>
        <w:gridCol w:w="1750"/>
        <w:gridCol w:w="1599"/>
        <w:gridCol w:w="1358"/>
        <w:gridCol w:w="1103"/>
      </w:tblGrid>
      <w:tr w14:paraId="2D95F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17" w:type="dxa"/>
            <w:vAlign w:val="center"/>
          </w:tcPr>
          <w:p w14:paraId="399E2CBC">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692" w:type="dxa"/>
            <w:vAlign w:val="center"/>
          </w:tcPr>
          <w:p w14:paraId="5B240DA1">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w:t>
            </w:r>
          </w:p>
          <w:p w14:paraId="206F34F4">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物质</w:t>
            </w:r>
          </w:p>
        </w:tc>
        <w:tc>
          <w:tcPr>
            <w:tcW w:w="1750" w:type="dxa"/>
            <w:vAlign w:val="center"/>
          </w:tcPr>
          <w:p w14:paraId="797A424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CAS号</w:t>
            </w:r>
          </w:p>
        </w:tc>
        <w:tc>
          <w:tcPr>
            <w:tcW w:w="1599" w:type="dxa"/>
            <w:vAlign w:val="center"/>
          </w:tcPr>
          <w:p w14:paraId="07A51DC6">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最大存</w:t>
            </w:r>
          </w:p>
          <w:p w14:paraId="6A80BEC5">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在总量/t</w:t>
            </w:r>
          </w:p>
        </w:tc>
        <w:tc>
          <w:tcPr>
            <w:tcW w:w="1358" w:type="dxa"/>
            <w:vAlign w:val="center"/>
          </w:tcPr>
          <w:p w14:paraId="70DE7580">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储存临</w:t>
            </w:r>
          </w:p>
          <w:p w14:paraId="39AB8BFD">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界量t</w:t>
            </w:r>
          </w:p>
        </w:tc>
        <w:tc>
          <w:tcPr>
            <w:tcW w:w="1103" w:type="dxa"/>
            <w:vAlign w:val="center"/>
          </w:tcPr>
          <w:p w14:paraId="2A01DEEB">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Q/q</w:t>
            </w:r>
          </w:p>
        </w:tc>
      </w:tr>
      <w:tr w14:paraId="15EEA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342CA00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1692" w:type="dxa"/>
            <w:vAlign w:val="center"/>
          </w:tcPr>
          <w:p w14:paraId="31483E73">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油漆</w:t>
            </w:r>
            <w:r>
              <w:rPr>
                <w:rFonts w:hint="eastAsia" w:ascii="Times New Roman" w:hAnsi="Times New Roman" w:eastAsia="宋体" w:cs="Times New Roman"/>
                <w:color w:val="auto"/>
                <w:szCs w:val="21"/>
                <w:u w:val="single" w:color="auto"/>
              </w:rPr>
              <w:t>）</w:t>
            </w:r>
          </w:p>
        </w:tc>
        <w:tc>
          <w:tcPr>
            <w:tcW w:w="1750" w:type="dxa"/>
            <w:vMerge w:val="restart"/>
            <w:vAlign w:val="center"/>
          </w:tcPr>
          <w:p w14:paraId="5C59AA35">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1330-20-7</w:t>
            </w:r>
          </w:p>
        </w:tc>
        <w:tc>
          <w:tcPr>
            <w:tcW w:w="1599" w:type="dxa"/>
            <w:vAlign w:val="center"/>
          </w:tcPr>
          <w:p w14:paraId="7614E264">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w:t>
            </w:r>
          </w:p>
        </w:tc>
        <w:tc>
          <w:tcPr>
            <w:tcW w:w="1358" w:type="dxa"/>
            <w:vAlign w:val="center"/>
          </w:tcPr>
          <w:p w14:paraId="566C1E9F">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3D60A991">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w:t>
            </w:r>
          </w:p>
        </w:tc>
      </w:tr>
      <w:tr w14:paraId="648E9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35D56D74">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w:t>
            </w:r>
          </w:p>
        </w:tc>
        <w:tc>
          <w:tcPr>
            <w:tcW w:w="1692" w:type="dxa"/>
            <w:vAlign w:val="center"/>
          </w:tcPr>
          <w:p w14:paraId="1CF62EE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稀释剂</w:t>
            </w:r>
            <w:r>
              <w:rPr>
                <w:rFonts w:hint="eastAsia" w:ascii="Times New Roman" w:hAnsi="Times New Roman" w:eastAsia="宋体" w:cs="Times New Roman"/>
                <w:color w:val="auto"/>
                <w:szCs w:val="21"/>
                <w:u w:val="single" w:color="auto"/>
              </w:rPr>
              <w:t>）</w:t>
            </w:r>
          </w:p>
        </w:tc>
        <w:tc>
          <w:tcPr>
            <w:tcW w:w="1750" w:type="dxa"/>
            <w:vMerge w:val="continue"/>
            <w:vAlign w:val="center"/>
          </w:tcPr>
          <w:p w14:paraId="25A9A400">
            <w:pPr>
              <w:widowControl/>
              <w:autoSpaceDE w:val="0"/>
              <w:autoSpaceDN w:val="0"/>
              <w:adjustRightInd w:val="0"/>
              <w:snapToGrid w:val="0"/>
              <w:jc w:val="center"/>
              <w:rPr>
                <w:rFonts w:ascii="Times New Roman" w:hAnsi="Times New Roman" w:eastAsia="宋体" w:cs="Times New Roman"/>
                <w:color w:val="auto"/>
                <w:szCs w:val="21"/>
                <w:u w:val="single" w:color="auto"/>
              </w:rPr>
            </w:pPr>
          </w:p>
        </w:tc>
        <w:tc>
          <w:tcPr>
            <w:tcW w:w="1599" w:type="dxa"/>
            <w:vAlign w:val="center"/>
          </w:tcPr>
          <w:p w14:paraId="68221965">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2.75</w:t>
            </w:r>
          </w:p>
        </w:tc>
        <w:tc>
          <w:tcPr>
            <w:tcW w:w="1358" w:type="dxa"/>
            <w:vAlign w:val="center"/>
          </w:tcPr>
          <w:p w14:paraId="5DB7B198">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604A74A7">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0.275</w:t>
            </w:r>
          </w:p>
        </w:tc>
      </w:tr>
      <w:tr w14:paraId="67EC3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317AD257">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1692" w:type="dxa"/>
            <w:vAlign w:val="center"/>
          </w:tcPr>
          <w:p w14:paraId="7B8B403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固化剂</w:t>
            </w:r>
            <w:r>
              <w:rPr>
                <w:rFonts w:hint="eastAsia" w:ascii="Times New Roman" w:hAnsi="Times New Roman" w:eastAsia="宋体" w:cs="Times New Roman"/>
                <w:color w:val="auto"/>
                <w:szCs w:val="21"/>
                <w:u w:val="single" w:color="auto"/>
              </w:rPr>
              <w:t>）</w:t>
            </w:r>
          </w:p>
        </w:tc>
        <w:tc>
          <w:tcPr>
            <w:tcW w:w="1750" w:type="dxa"/>
            <w:vMerge w:val="continue"/>
            <w:vAlign w:val="center"/>
          </w:tcPr>
          <w:p w14:paraId="4D91E993">
            <w:pPr>
              <w:widowControl/>
              <w:autoSpaceDE w:val="0"/>
              <w:autoSpaceDN w:val="0"/>
              <w:adjustRightInd w:val="0"/>
              <w:snapToGrid w:val="0"/>
              <w:jc w:val="center"/>
              <w:rPr>
                <w:rFonts w:ascii="Times New Roman" w:hAnsi="Times New Roman" w:eastAsia="宋体" w:cs="Times New Roman"/>
                <w:color w:val="auto"/>
                <w:szCs w:val="21"/>
                <w:u w:val="single" w:color="auto"/>
              </w:rPr>
            </w:pPr>
          </w:p>
        </w:tc>
        <w:tc>
          <w:tcPr>
            <w:tcW w:w="1599" w:type="dxa"/>
            <w:vAlign w:val="center"/>
          </w:tcPr>
          <w:p w14:paraId="2EB6EDBA">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1.25</w:t>
            </w:r>
          </w:p>
        </w:tc>
        <w:tc>
          <w:tcPr>
            <w:tcW w:w="1358" w:type="dxa"/>
            <w:vAlign w:val="center"/>
          </w:tcPr>
          <w:p w14:paraId="4CC230AB">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4EADA666">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0.125</w:t>
            </w:r>
          </w:p>
        </w:tc>
      </w:tr>
      <w:tr w14:paraId="4267C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2C5B0E4">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w:t>
            </w:r>
          </w:p>
        </w:tc>
        <w:tc>
          <w:tcPr>
            <w:tcW w:w="1692" w:type="dxa"/>
            <w:vAlign w:val="center"/>
          </w:tcPr>
          <w:p w14:paraId="0777ADB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r>
              <w:rPr>
                <w:rFonts w:hint="eastAsia" w:ascii="Times New Roman" w:hAnsi="Times New Roman" w:eastAsia="宋体" w:cs="Times New Roman"/>
                <w:color w:val="auto"/>
                <w:szCs w:val="21"/>
                <w:u w:val="single" w:color="auto"/>
                <w:lang w:val="en-US" w:eastAsia="zh-CN"/>
              </w:rPr>
              <w:t>油漆</w:t>
            </w:r>
            <w:r>
              <w:rPr>
                <w:rFonts w:hint="eastAsia" w:ascii="Times New Roman" w:hAnsi="Times New Roman" w:eastAsia="宋体" w:cs="Times New Roman"/>
                <w:color w:val="auto"/>
                <w:szCs w:val="21"/>
                <w:u w:val="single" w:color="auto"/>
              </w:rPr>
              <w:t>）</w:t>
            </w:r>
          </w:p>
        </w:tc>
        <w:tc>
          <w:tcPr>
            <w:tcW w:w="1750" w:type="dxa"/>
            <w:vAlign w:val="center"/>
          </w:tcPr>
          <w:p w14:paraId="38451283">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108-88-3</w:t>
            </w:r>
          </w:p>
        </w:tc>
        <w:tc>
          <w:tcPr>
            <w:tcW w:w="1599" w:type="dxa"/>
            <w:vAlign w:val="center"/>
          </w:tcPr>
          <w:p w14:paraId="199BCE21">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0.06</w:t>
            </w:r>
          </w:p>
        </w:tc>
        <w:tc>
          <w:tcPr>
            <w:tcW w:w="1358" w:type="dxa"/>
            <w:vAlign w:val="center"/>
          </w:tcPr>
          <w:p w14:paraId="157D8E84">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2913F651">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0.006</w:t>
            </w:r>
          </w:p>
        </w:tc>
      </w:tr>
      <w:tr w14:paraId="5754C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08346BF">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w:t>
            </w:r>
          </w:p>
        </w:tc>
        <w:tc>
          <w:tcPr>
            <w:tcW w:w="1692" w:type="dxa"/>
            <w:vAlign w:val="center"/>
          </w:tcPr>
          <w:p w14:paraId="6359B75B">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丙烷</w:t>
            </w:r>
          </w:p>
        </w:tc>
        <w:tc>
          <w:tcPr>
            <w:tcW w:w="1750" w:type="dxa"/>
            <w:vAlign w:val="center"/>
          </w:tcPr>
          <w:p w14:paraId="10B47E20">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74-98-6</w:t>
            </w:r>
          </w:p>
        </w:tc>
        <w:tc>
          <w:tcPr>
            <w:tcW w:w="1599" w:type="dxa"/>
            <w:vAlign w:val="center"/>
          </w:tcPr>
          <w:p w14:paraId="0B65848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0.37</w:t>
            </w:r>
          </w:p>
        </w:tc>
        <w:tc>
          <w:tcPr>
            <w:tcW w:w="1358" w:type="dxa"/>
            <w:vAlign w:val="center"/>
          </w:tcPr>
          <w:p w14:paraId="52E99594">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5C58CDD8">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0.037</w:t>
            </w:r>
          </w:p>
        </w:tc>
      </w:tr>
      <w:tr w14:paraId="27292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B67A53B">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6</w:t>
            </w:r>
          </w:p>
        </w:tc>
        <w:tc>
          <w:tcPr>
            <w:tcW w:w="1692" w:type="dxa"/>
            <w:vAlign w:val="center"/>
          </w:tcPr>
          <w:p w14:paraId="72CF585B">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氧气</w:t>
            </w:r>
          </w:p>
        </w:tc>
        <w:tc>
          <w:tcPr>
            <w:tcW w:w="1750" w:type="dxa"/>
            <w:vAlign w:val="center"/>
          </w:tcPr>
          <w:p w14:paraId="7E8E4A8C">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599" w:type="dxa"/>
            <w:vAlign w:val="center"/>
          </w:tcPr>
          <w:p w14:paraId="5B7BC6A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58" w:type="dxa"/>
            <w:vAlign w:val="center"/>
          </w:tcPr>
          <w:p w14:paraId="12C04A38">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50</w:t>
            </w:r>
          </w:p>
        </w:tc>
        <w:tc>
          <w:tcPr>
            <w:tcW w:w="1103" w:type="dxa"/>
            <w:vAlign w:val="center"/>
          </w:tcPr>
          <w:p w14:paraId="0A68527D">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0.02</w:t>
            </w:r>
          </w:p>
        </w:tc>
      </w:tr>
      <w:tr w14:paraId="0AA7D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DCB2570">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7</w:t>
            </w:r>
          </w:p>
        </w:tc>
        <w:tc>
          <w:tcPr>
            <w:tcW w:w="1692" w:type="dxa"/>
            <w:vAlign w:val="center"/>
          </w:tcPr>
          <w:p w14:paraId="5CAE31E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润滑油</w:t>
            </w:r>
          </w:p>
        </w:tc>
        <w:tc>
          <w:tcPr>
            <w:tcW w:w="1750" w:type="dxa"/>
            <w:vAlign w:val="center"/>
          </w:tcPr>
          <w:p w14:paraId="165131A2">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599" w:type="dxa"/>
            <w:vAlign w:val="center"/>
          </w:tcPr>
          <w:p w14:paraId="4022CEEC">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58" w:type="dxa"/>
            <w:vAlign w:val="center"/>
          </w:tcPr>
          <w:p w14:paraId="52510AAC">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2500</w:t>
            </w:r>
          </w:p>
        </w:tc>
        <w:tc>
          <w:tcPr>
            <w:tcW w:w="1103" w:type="dxa"/>
            <w:vAlign w:val="center"/>
          </w:tcPr>
          <w:p w14:paraId="06527BD9">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0.0004</w:t>
            </w:r>
          </w:p>
        </w:tc>
      </w:tr>
      <w:tr w14:paraId="7F8D0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416" w:type="dxa"/>
            <w:gridSpan w:val="5"/>
            <w:vAlign w:val="center"/>
          </w:tcPr>
          <w:p w14:paraId="649A1465">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合计</w:t>
            </w:r>
          </w:p>
        </w:tc>
        <w:tc>
          <w:tcPr>
            <w:tcW w:w="1103" w:type="dxa"/>
            <w:vAlign w:val="center"/>
          </w:tcPr>
          <w:p w14:paraId="2195DD87">
            <w:pPr>
              <w:autoSpaceDE w:val="0"/>
              <w:autoSpaceDN w:val="0"/>
              <w:jc w:val="center"/>
              <w:rPr>
                <w:rFonts w:hint="default" w:ascii="Times New Roman" w:hAnsi="Times New Roman" w:eastAsia="等线" w:cs="Times New Roman"/>
                <w:color w:val="auto"/>
                <w:szCs w:val="21"/>
                <w:u w:val="single" w:color="auto"/>
                <w:lang w:val="en-US" w:eastAsia="zh-CN"/>
              </w:rPr>
            </w:pPr>
            <w:r>
              <w:rPr>
                <w:rFonts w:hint="eastAsia" w:ascii="Times New Roman" w:hAnsi="Times New Roman" w:eastAsia="等线" w:cs="Times New Roman"/>
                <w:color w:val="auto"/>
                <w:szCs w:val="21"/>
                <w:u w:val="single" w:color="auto"/>
                <w:lang w:val="en-US" w:eastAsia="zh-CN"/>
              </w:rPr>
              <w:t>0.6634</w:t>
            </w:r>
          </w:p>
        </w:tc>
      </w:tr>
    </w:tbl>
    <w:p w14:paraId="22C36974">
      <w:pPr>
        <w:autoSpaceDE w:val="0"/>
        <w:autoSpaceDN w:val="0"/>
        <w:adjustRightInd w:val="0"/>
        <w:snapToGrid w:val="0"/>
        <w:spacing w:before="156" w:beforeLines="50"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项目Q</w:t>
      </w:r>
      <w:r>
        <w:rPr>
          <w:rFonts w:ascii="Times New Roman" w:hAnsi="Times New Roman" w:eastAsia="宋体" w:cs="Times New Roman"/>
          <w:color w:val="auto"/>
          <w:kern w:val="0"/>
          <w:sz w:val="24"/>
          <w:szCs w:val="20"/>
          <w:u w:val="none" w:color="auto"/>
        </w:rPr>
        <w:t>＜1 ，则本项目环境风险潜势为Ⅰ。</w:t>
      </w:r>
    </w:p>
    <w:p w14:paraId="2276E6C7">
      <w:pPr>
        <w:autoSpaceDE w:val="0"/>
        <w:autoSpaceDN w:val="0"/>
        <w:adjustRightInd w:val="0"/>
        <w:snapToGrid w:val="0"/>
        <w:spacing w:line="360" w:lineRule="auto"/>
        <w:ind w:firstLine="482" w:firstLineChars="200"/>
        <w:jc w:val="left"/>
        <w:rPr>
          <w:rFonts w:ascii="Times New Roman" w:hAnsi="Times New Roman" w:eastAsia="宋体" w:cs="Times New Roman"/>
          <w:b/>
          <w:color w:val="auto"/>
          <w:sz w:val="24"/>
          <w:szCs w:val="24"/>
          <w:u w:val="none" w:color="auto"/>
        </w:rPr>
      </w:pPr>
      <w:r>
        <w:rPr>
          <w:rFonts w:ascii="Times New Roman" w:hAnsi="Times New Roman" w:eastAsia="宋体" w:cs="Times New Roman"/>
          <w:b/>
          <w:color w:val="auto"/>
          <w:sz w:val="24"/>
          <w:szCs w:val="24"/>
          <w:u w:val="none" w:color="auto"/>
        </w:rPr>
        <w:t>（2）评价等级判定</w:t>
      </w:r>
    </w:p>
    <w:p w14:paraId="1406755F">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按照《建设项目环境风险评价技术导则》（HJ/T 169-2018）中的有关规定，环境风险评价工作等级划分见下表</w:t>
      </w:r>
      <w:r>
        <w:rPr>
          <w:rFonts w:ascii="Times New Roman" w:hAnsi="Times New Roman" w:eastAsia="宋体" w:cs="Times New Roman"/>
          <w:color w:val="auto"/>
          <w:kern w:val="0"/>
          <w:sz w:val="24"/>
          <w:szCs w:val="24"/>
          <w:u w:val="none" w:color="auto"/>
        </w:rPr>
        <w:t>。</w:t>
      </w:r>
    </w:p>
    <w:p w14:paraId="18AF3DA4">
      <w:pPr>
        <w:autoSpaceDE w:val="0"/>
        <w:autoSpaceDN w:val="0"/>
        <w:adjustRightInd w:val="0"/>
        <w:snapToGrid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表</w:t>
      </w:r>
      <w:r>
        <w:rPr>
          <w:rFonts w:hint="eastAsia" w:ascii="Times New Roman" w:hAnsi="Times New Roman" w:eastAsia="宋体" w:cs="Times New Roman"/>
          <w:b/>
          <w:color w:val="auto"/>
          <w:u w:val="none" w:color="auto"/>
        </w:rPr>
        <w:t>1</w:t>
      </w:r>
      <w:r>
        <w:rPr>
          <w:rFonts w:ascii="Times New Roman" w:hAnsi="Times New Roman" w:eastAsia="宋体" w:cs="Times New Roman"/>
          <w:b/>
          <w:color w:val="auto"/>
          <w:u w:val="none" w:color="auto"/>
        </w:rPr>
        <w:t>.6-1</w:t>
      </w:r>
      <w:r>
        <w:rPr>
          <w:rFonts w:hint="eastAsia" w:ascii="Times New Roman" w:hAnsi="Times New Roman" w:eastAsia="宋体" w:cs="Times New Roman"/>
          <w:b/>
          <w:color w:val="auto"/>
          <w:u w:val="none" w:color="auto"/>
        </w:rPr>
        <w:t xml:space="preserve">1   </w:t>
      </w:r>
      <w:r>
        <w:rPr>
          <w:rFonts w:ascii="Times New Roman" w:hAnsi="Times New Roman" w:eastAsia="宋体" w:cs="Times New Roman"/>
          <w:b/>
          <w:color w:val="auto"/>
          <w:u w:val="none" w:color="auto"/>
        </w:rPr>
        <w:t>风险评价工作级别划分</w:t>
      </w:r>
    </w:p>
    <w:tbl>
      <w:tblPr>
        <w:tblStyle w:val="37"/>
        <w:tblW w:w="86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9"/>
        <w:gridCol w:w="1504"/>
        <w:gridCol w:w="1504"/>
        <w:gridCol w:w="1760"/>
        <w:gridCol w:w="1466"/>
      </w:tblGrid>
      <w:tr w14:paraId="60DA1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79" w:type="dxa"/>
            <w:vAlign w:val="center"/>
          </w:tcPr>
          <w:p w14:paraId="78308105">
            <w:pPr>
              <w:autoSpaceDE w:val="0"/>
              <w:autoSpaceDN w:val="0"/>
              <w:jc w:val="center"/>
              <w:rPr>
                <w:rFonts w:ascii="Times New Roman" w:hAnsi="Times New Roman" w:eastAsia="宋体" w:cs="Times New Roman"/>
                <w:b/>
                <w:bCs/>
                <w:iCs/>
                <w:color w:val="auto"/>
                <w:szCs w:val="24"/>
                <w:u w:val="none" w:color="auto"/>
              </w:rPr>
            </w:pPr>
            <w:r>
              <w:rPr>
                <w:rFonts w:ascii="Times New Roman" w:hAnsi="Times New Roman" w:eastAsia="宋体" w:cs="Times New Roman"/>
                <w:b/>
                <w:bCs/>
                <w:iCs/>
                <w:color w:val="auto"/>
                <w:szCs w:val="24"/>
                <w:u w:val="none" w:color="auto"/>
              </w:rPr>
              <w:t>环境风险潜势</w:t>
            </w:r>
          </w:p>
        </w:tc>
        <w:tc>
          <w:tcPr>
            <w:tcW w:w="1504" w:type="dxa"/>
            <w:vAlign w:val="center"/>
          </w:tcPr>
          <w:p w14:paraId="53AD663F">
            <w:pPr>
              <w:autoSpaceDE w:val="0"/>
              <w:autoSpaceDN w:val="0"/>
              <w:jc w:val="center"/>
              <w:rPr>
                <w:rFonts w:ascii="Times New Roman" w:hAnsi="Times New Roman" w:eastAsia="宋体" w:cs="Times New Roman"/>
                <w:bCs/>
                <w:iCs/>
                <w:color w:val="auto"/>
                <w:szCs w:val="24"/>
                <w:u w:val="none" w:color="auto"/>
              </w:rPr>
            </w:pPr>
            <w:r>
              <w:rPr>
                <w:rFonts w:ascii="Times New Roman" w:hAnsi="Times New Roman" w:eastAsia="宋体" w:cs="Times New Roman"/>
                <w:bCs/>
                <w:iCs/>
                <w:color w:val="auto"/>
                <w:szCs w:val="24"/>
                <w:u w:val="none" w:color="auto"/>
              </w:rPr>
              <w:t>Ⅳ、Ⅳ</w:t>
            </w:r>
            <w:r>
              <w:rPr>
                <w:rFonts w:ascii="Times New Roman" w:hAnsi="Times New Roman" w:eastAsia="宋体" w:cs="Times New Roman"/>
                <w:bCs/>
                <w:iCs/>
                <w:color w:val="auto"/>
                <w:szCs w:val="24"/>
                <w:u w:val="none" w:color="auto"/>
                <w:vertAlign w:val="superscript"/>
              </w:rPr>
              <w:t>+</w:t>
            </w:r>
          </w:p>
        </w:tc>
        <w:tc>
          <w:tcPr>
            <w:tcW w:w="1504" w:type="dxa"/>
            <w:vAlign w:val="center"/>
          </w:tcPr>
          <w:p w14:paraId="67C39294">
            <w:pPr>
              <w:autoSpaceDE w:val="0"/>
              <w:autoSpaceDN w:val="0"/>
              <w:jc w:val="center"/>
              <w:rPr>
                <w:rFonts w:ascii="Times New Roman" w:hAnsi="Times New Roman" w:eastAsia="宋体" w:cs="Times New Roman"/>
                <w:bCs/>
                <w:iCs/>
                <w:color w:val="auto"/>
                <w:szCs w:val="24"/>
                <w:u w:val="none" w:color="auto"/>
              </w:rPr>
            </w:pPr>
            <w:r>
              <w:rPr>
                <w:rFonts w:ascii="Times New Roman" w:hAnsi="Times New Roman" w:eastAsia="宋体" w:cs="Times New Roman"/>
                <w:bCs/>
                <w:iCs/>
                <w:color w:val="auto"/>
                <w:szCs w:val="24"/>
                <w:u w:val="none" w:color="auto"/>
              </w:rPr>
              <w:t>Ⅲ</w:t>
            </w:r>
          </w:p>
        </w:tc>
        <w:tc>
          <w:tcPr>
            <w:tcW w:w="1760" w:type="dxa"/>
            <w:vAlign w:val="center"/>
          </w:tcPr>
          <w:p w14:paraId="713B0C77">
            <w:pPr>
              <w:autoSpaceDE w:val="0"/>
              <w:autoSpaceDN w:val="0"/>
              <w:jc w:val="center"/>
              <w:rPr>
                <w:rFonts w:ascii="Times New Roman" w:hAnsi="Times New Roman" w:eastAsia="宋体" w:cs="Times New Roman"/>
                <w:bCs/>
                <w:iCs/>
                <w:color w:val="auto"/>
                <w:szCs w:val="24"/>
                <w:u w:val="none" w:color="auto"/>
              </w:rPr>
            </w:pPr>
            <w:r>
              <w:rPr>
                <w:rFonts w:ascii="Times New Roman" w:hAnsi="Times New Roman" w:eastAsia="宋体" w:cs="Times New Roman"/>
                <w:bCs/>
                <w:iCs/>
                <w:color w:val="auto"/>
                <w:szCs w:val="24"/>
                <w:u w:val="none" w:color="auto"/>
              </w:rPr>
              <w:t>Ⅱ</w:t>
            </w:r>
          </w:p>
        </w:tc>
        <w:tc>
          <w:tcPr>
            <w:tcW w:w="1466" w:type="dxa"/>
            <w:vAlign w:val="center"/>
          </w:tcPr>
          <w:p w14:paraId="2FDDAB97">
            <w:pPr>
              <w:autoSpaceDE w:val="0"/>
              <w:autoSpaceDN w:val="0"/>
              <w:jc w:val="center"/>
              <w:rPr>
                <w:rFonts w:ascii="Times New Roman" w:hAnsi="Times New Roman" w:eastAsia="宋体" w:cs="Times New Roman"/>
                <w:bCs/>
                <w:iCs/>
                <w:color w:val="auto"/>
                <w:szCs w:val="24"/>
                <w:u w:val="none" w:color="auto"/>
              </w:rPr>
            </w:pPr>
            <w:r>
              <w:rPr>
                <w:rFonts w:ascii="Times New Roman" w:hAnsi="Times New Roman" w:eastAsia="宋体" w:cs="Times New Roman"/>
                <w:bCs/>
                <w:iCs/>
                <w:color w:val="auto"/>
                <w:szCs w:val="24"/>
                <w:u w:val="none" w:color="auto"/>
              </w:rPr>
              <w:t>Ⅰ</w:t>
            </w:r>
          </w:p>
        </w:tc>
      </w:tr>
      <w:tr w14:paraId="3C1B9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79" w:type="dxa"/>
            <w:vAlign w:val="center"/>
          </w:tcPr>
          <w:p w14:paraId="56F04628">
            <w:pPr>
              <w:autoSpaceDE w:val="0"/>
              <w:autoSpaceDN w:val="0"/>
              <w:jc w:val="center"/>
              <w:rPr>
                <w:rFonts w:ascii="Times New Roman" w:hAnsi="Times New Roman" w:eastAsia="宋体" w:cs="Times New Roman"/>
                <w:b/>
                <w:iCs/>
                <w:color w:val="auto"/>
                <w:szCs w:val="24"/>
                <w:u w:val="none" w:color="auto"/>
              </w:rPr>
            </w:pPr>
            <w:r>
              <w:rPr>
                <w:rFonts w:ascii="Times New Roman" w:hAnsi="Times New Roman" w:eastAsia="宋体" w:cs="Times New Roman"/>
                <w:b/>
                <w:iCs/>
                <w:color w:val="auto"/>
                <w:szCs w:val="24"/>
                <w:u w:val="none" w:color="auto"/>
              </w:rPr>
              <w:t>评价工作等级</w:t>
            </w:r>
          </w:p>
        </w:tc>
        <w:tc>
          <w:tcPr>
            <w:tcW w:w="1504" w:type="dxa"/>
            <w:vAlign w:val="center"/>
          </w:tcPr>
          <w:p w14:paraId="60171AC7">
            <w:pPr>
              <w:autoSpaceDE w:val="0"/>
              <w:autoSpaceDN w:val="0"/>
              <w:jc w:val="center"/>
              <w:rPr>
                <w:rFonts w:ascii="Times New Roman" w:hAnsi="Times New Roman" w:eastAsia="宋体" w:cs="Times New Roman"/>
                <w:iCs/>
                <w:color w:val="auto"/>
                <w:szCs w:val="24"/>
                <w:u w:val="none" w:color="auto"/>
              </w:rPr>
            </w:pPr>
            <w:r>
              <w:rPr>
                <w:rFonts w:ascii="Times New Roman" w:hAnsi="Times New Roman" w:eastAsia="宋体" w:cs="Times New Roman"/>
                <w:iCs/>
                <w:color w:val="auto"/>
                <w:szCs w:val="24"/>
                <w:u w:val="none" w:color="auto"/>
              </w:rPr>
              <w:t>一</w:t>
            </w:r>
          </w:p>
        </w:tc>
        <w:tc>
          <w:tcPr>
            <w:tcW w:w="1504" w:type="dxa"/>
            <w:vAlign w:val="center"/>
          </w:tcPr>
          <w:p w14:paraId="0DAA4C8F">
            <w:pPr>
              <w:autoSpaceDE w:val="0"/>
              <w:autoSpaceDN w:val="0"/>
              <w:jc w:val="center"/>
              <w:rPr>
                <w:rFonts w:ascii="Times New Roman" w:hAnsi="Times New Roman" w:eastAsia="宋体" w:cs="Times New Roman"/>
                <w:iCs/>
                <w:color w:val="auto"/>
                <w:szCs w:val="24"/>
                <w:u w:val="none" w:color="auto"/>
              </w:rPr>
            </w:pPr>
            <w:r>
              <w:rPr>
                <w:rFonts w:ascii="Times New Roman" w:hAnsi="Times New Roman" w:eastAsia="宋体" w:cs="Times New Roman"/>
                <w:iCs/>
                <w:color w:val="auto"/>
                <w:szCs w:val="24"/>
                <w:u w:val="none" w:color="auto"/>
              </w:rPr>
              <w:t>二</w:t>
            </w:r>
          </w:p>
        </w:tc>
        <w:tc>
          <w:tcPr>
            <w:tcW w:w="1760" w:type="dxa"/>
            <w:vAlign w:val="center"/>
          </w:tcPr>
          <w:p w14:paraId="0772BE5C">
            <w:pPr>
              <w:autoSpaceDE w:val="0"/>
              <w:autoSpaceDN w:val="0"/>
              <w:jc w:val="center"/>
              <w:rPr>
                <w:rFonts w:ascii="Times New Roman" w:hAnsi="Times New Roman" w:eastAsia="宋体" w:cs="Times New Roman"/>
                <w:iCs/>
                <w:color w:val="auto"/>
                <w:szCs w:val="24"/>
                <w:u w:val="none" w:color="auto"/>
              </w:rPr>
            </w:pPr>
            <w:r>
              <w:rPr>
                <w:rFonts w:ascii="Times New Roman" w:hAnsi="Times New Roman" w:eastAsia="宋体" w:cs="Times New Roman"/>
                <w:iCs/>
                <w:color w:val="auto"/>
                <w:szCs w:val="24"/>
                <w:u w:val="none" w:color="auto"/>
              </w:rPr>
              <w:t>三</w:t>
            </w:r>
          </w:p>
        </w:tc>
        <w:tc>
          <w:tcPr>
            <w:tcW w:w="1466" w:type="dxa"/>
            <w:vAlign w:val="center"/>
          </w:tcPr>
          <w:p w14:paraId="198B0062">
            <w:pPr>
              <w:autoSpaceDE w:val="0"/>
              <w:autoSpaceDN w:val="0"/>
              <w:jc w:val="center"/>
              <w:rPr>
                <w:rFonts w:ascii="Times New Roman" w:hAnsi="Times New Roman" w:eastAsia="宋体" w:cs="Times New Roman"/>
                <w:iCs/>
                <w:color w:val="auto"/>
                <w:szCs w:val="24"/>
                <w:u w:val="none" w:color="auto"/>
              </w:rPr>
            </w:pPr>
            <w:r>
              <w:rPr>
                <w:rFonts w:ascii="Times New Roman" w:hAnsi="Times New Roman" w:eastAsia="宋体" w:cs="Times New Roman"/>
                <w:iCs/>
                <w:color w:val="auto"/>
                <w:szCs w:val="24"/>
                <w:u w:val="none" w:color="auto"/>
              </w:rPr>
              <w:t>简单分析</w:t>
            </w:r>
            <w:r>
              <w:rPr>
                <w:rFonts w:ascii="Times New Roman" w:hAnsi="Times New Roman" w:eastAsia="宋体" w:cs="Times New Roman"/>
                <w:iCs/>
                <w:color w:val="auto"/>
                <w:szCs w:val="24"/>
                <w:u w:val="none" w:color="auto"/>
                <w:vertAlign w:val="superscript"/>
              </w:rPr>
              <w:t>a</w:t>
            </w:r>
          </w:p>
        </w:tc>
      </w:tr>
    </w:tbl>
    <w:p w14:paraId="263574E1">
      <w:pPr>
        <w:autoSpaceDE w:val="0"/>
        <w:autoSpaceDN w:val="0"/>
        <w:adjustRightInd w:val="0"/>
        <w:snapToGrid w:val="0"/>
        <w:spacing w:before="156" w:beforeLines="50"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因此，</w:t>
      </w:r>
      <w:r>
        <w:rPr>
          <w:rFonts w:ascii="Times New Roman" w:hAnsi="Times New Roman" w:eastAsia="宋体" w:cs="Times New Roman"/>
          <w:color w:val="auto"/>
          <w:kern w:val="0"/>
          <w:sz w:val="24"/>
          <w:szCs w:val="24"/>
          <w:u w:val="none" w:color="auto"/>
        </w:rPr>
        <w:t>本项目风险评价等级为简单分析</w:t>
      </w:r>
      <w:r>
        <w:rPr>
          <w:rFonts w:ascii="Times New Roman" w:hAnsi="Times New Roman" w:eastAsia="宋体" w:cs="Times New Roman"/>
          <w:color w:val="auto"/>
          <w:sz w:val="24"/>
          <w:szCs w:val="24"/>
          <w:u w:val="none" w:color="auto"/>
        </w:rPr>
        <w:t>。</w:t>
      </w:r>
    </w:p>
    <w:p w14:paraId="52E80B23">
      <w:pPr>
        <w:widowControl/>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113" w:name="_Toc29684"/>
      <w:bookmarkStart w:id="114" w:name="_Toc530130413"/>
      <w:bookmarkStart w:id="115" w:name="_Toc3728148"/>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.7评价范围</w:t>
      </w:r>
      <w:bookmarkEnd w:id="113"/>
      <w:bookmarkEnd w:id="114"/>
      <w:bookmarkEnd w:id="115"/>
    </w:p>
    <w:p w14:paraId="407E3BD1">
      <w:pPr>
        <w:autoSpaceDE w:val="0"/>
        <w:autoSpaceDN w:val="0"/>
        <w:adjustRightInd w:val="0"/>
        <w:snapToGrid w:val="0"/>
        <w:spacing w:before="156" w:beforeLines="50"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根据本项目污染物排放特点及当地气象条件、自然环境状况，结合各导则的要求，确定各环境要素评价范围见表</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lang w:val="en-US" w:eastAsia="zh-CN"/>
        </w:rPr>
        <w:t>7</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lang w:val="en-US" w:eastAsia="zh-CN"/>
        </w:rPr>
        <w:t>1</w:t>
      </w:r>
      <w:r>
        <w:rPr>
          <w:rFonts w:ascii="Times New Roman" w:hAnsi="Times New Roman" w:eastAsia="宋体" w:cs="Times New Roman"/>
          <w:color w:val="auto"/>
          <w:kern w:val="0"/>
          <w:sz w:val="24"/>
          <w:szCs w:val="24"/>
          <w:u w:val="none" w:color="auto"/>
        </w:rPr>
        <w:t>。</w:t>
      </w:r>
    </w:p>
    <w:p w14:paraId="126894A7">
      <w:pPr>
        <w:autoSpaceDE w:val="0"/>
        <w:autoSpaceDN w:val="0"/>
        <w:adjustRightInd w:val="0"/>
        <w:snapToGrid w:val="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表</w:t>
      </w:r>
      <w:r>
        <w:rPr>
          <w:rFonts w:hint="eastAsia" w:ascii="Times New Roman" w:hAnsi="Times New Roman" w:eastAsia="宋体" w:cs="Times New Roman"/>
          <w:b/>
          <w:color w:val="auto"/>
          <w:u w:val="none" w:color="auto"/>
        </w:rPr>
        <w:t>1</w:t>
      </w:r>
      <w:r>
        <w:rPr>
          <w:rFonts w:ascii="Times New Roman" w:hAnsi="Times New Roman" w:eastAsia="宋体" w:cs="Times New Roman"/>
          <w:b/>
          <w:color w:val="auto"/>
          <w:u w:val="none" w:color="auto"/>
        </w:rPr>
        <w:t>.</w:t>
      </w:r>
      <w:r>
        <w:rPr>
          <w:rFonts w:hint="eastAsia" w:ascii="Times New Roman" w:hAnsi="Times New Roman" w:eastAsia="宋体" w:cs="Times New Roman"/>
          <w:b/>
          <w:color w:val="auto"/>
          <w:u w:val="none" w:color="auto"/>
          <w:lang w:val="en-US" w:eastAsia="zh-CN"/>
        </w:rPr>
        <w:t>7</w:t>
      </w:r>
      <w:r>
        <w:rPr>
          <w:rFonts w:ascii="Times New Roman" w:hAnsi="Times New Roman" w:eastAsia="宋体" w:cs="Times New Roman"/>
          <w:b/>
          <w:color w:val="auto"/>
          <w:u w:val="none" w:color="auto"/>
        </w:rPr>
        <w:t>-1</w:t>
      </w:r>
      <w:r>
        <w:rPr>
          <w:rFonts w:hint="eastAsia" w:ascii="Times New Roman" w:hAnsi="Times New Roman" w:eastAsia="宋体" w:cs="Times New Roman"/>
          <w:b/>
          <w:color w:val="auto"/>
          <w:u w:val="none" w:color="auto"/>
        </w:rPr>
        <w:t xml:space="preserve"> </w:t>
      </w:r>
      <w:r>
        <w:rPr>
          <w:rFonts w:ascii="Times New Roman" w:hAnsi="Times New Roman" w:eastAsia="宋体" w:cs="Times New Roman"/>
          <w:b/>
          <w:color w:val="auto"/>
          <w:u w:val="none" w:color="auto"/>
        </w:rPr>
        <w:t>项目环境影响评价范围表</w:t>
      </w:r>
    </w:p>
    <w:tbl>
      <w:tblPr>
        <w:tblStyle w:val="3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27"/>
        <w:gridCol w:w="6945"/>
      </w:tblGrid>
      <w:tr w14:paraId="71586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2127" w:type="dxa"/>
            <w:tcBorders>
              <w:tl2br w:val="nil"/>
              <w:tr2bl w:val="nil"/>
            </w:tcBorders>
            <w:noWrap w:val="0"/>
            <w:vAlign w:val="center"/>
          </w:tcPr>
          <w:p w14:paraId="2542E550">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评价内容</w:t>
            </w:r>
          </w:p>
        </w:tc>
        <w:tc>
          <w:tcPr>
            <w:tcW w:w="6945" w:type="dxa"/>
            <w:tcBorders>
              <w:tl2br w:val="nil"/>
              <w:tr2bl w:val="nil"/>
            </w:tcBorders>
            <w:noWrap w:val="0"/>
            <w:vAlign w:val="center"/>
          </w:tcPr>
          <w:p w14:paraId="612C40FA">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评价范围</w:t>
            </w:r>
          </w:p>
        </w:tc>
      </w:tr>
      <w:tr w14:paraId="02739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6CCBC6B1">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大气环境影响评价</w:t>
            </w:r>
          </w:p>
        </w:tc>
        <w:tc>
          <w:tcPr>
            <w:tcW w:w="6945" w:type="dxa"/>
            <w:tcBorders>
              <w:tl2br w:val="nil"/>
              <w:tr2bl w:val="nil"/>
            </w:tcBorders>
            <w:noWrap w:val="0"/>
            <w:vAlign w:val="center"/>
          </w:tcPr>
          <w:p w14:paraId="0702D14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以厂址为中心区域，边长为5km的矩形区域</w:t>
            </w:r>
          </w:p>
        </w:tc>
      </w:tr>
      <w:tr w14:paraId="3D8B4A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19905D3B">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地表水环境影响评价</w:t>
            </w:r>
          </w:p>
        </w:tc>
        <w:tc>
          <w:tcPr>
            <w:tcW w:w="6945" w:type="dxa"/>
            <w:tcBorders>
              <w:tl2br w:val="nil"/>
              <w:tr2bl w:val="nil"/>
            </w:tcBorders>
            <w:noWrap w:val="0"/>
            <w:vAlign w:val="center"/>
          </w:tcPr>
          <w:p w14:paraId="3D3CA03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项目废水间接排放，分析依托污水处理厂的环境可行性</w:t>
            </w:r>
          </w:p>
        </w:tc>
      </w:tr>
      <w:tr w14:paraId="0E0646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320" w:hRule="atLeast"/>
          <w:jc w:val="center"/>
        </w:trPr>
        <w:tc>
          <w:tcPr>
            <w:tcW w:w="2127" w:type="dxa"/>
            <w:tcBorders>
              <w:tl2br w:val="nil"/>
              <w:tr2bl w:val="nil"/>
            </w:tcBorders>
            <w:noWrap w:val="0"/>
            <w:vAlign w:val="center"/>
          </w:tcPr>
          <w:p w14:paraId="296B6709">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噪声环境影响评价</w:t>
            </w:r>
          </w:p>
        </w:tc>
        <w:tc>
          <w:tcPr>
            <w:tcW w:w="6945" w:type="dxa"/>
            <w:tcBorders>
              <w:tl2br w:val="nil"/>
              <w:tr2bl w:val="nil"/>
            </w:tcBorders>
            <w:noWrap w:val="0"/>
            <w:vAlign w:val="center"/>
          </w:tcPr>
          <w:p w14:paraId="55B73AA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厂界边界外0.2km范围</w:t>
            </w:r>
          </w:p>
        </w:tc>
      </w:tr>
      <w:tr w14:paraId="5BCD04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49350B37">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地下水环境影响评价</w:t>
            </w:r>
          </w:p>
        </w:tc>
        <w:tc>
          <w:tcPr>
            <w:tcW w:w="6945" w:type="dxa"/>
            <w:tcBorders>
              <w:tl2br w:val="nil"/>
              <w:tr2bl w:val="nil"/>
            </w:tcBorders>
            <w:noWrap w:val="0"/>
            <w:vAlign w:val="center"/>
          </w:tcPr>
          <w:p w14:paraId="4B73A55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vertAlign w:val="baseline"/>
                <w:lang w:val="en-US" w:eastAsia="zh-CN"/>
              </w:rPr>
            </w:pPr>
            <w:r>
              <w:rPr>
                <w:rFonts w:hint="eastAsia" w:ascii="Times New Roman" w:hAnsi="Times New Roman" w:eastAsia="宋体" w:cs="Times New Roman"/>
                <w:bCs/>
                <w:color w:val="auto"/>
                <w:kern w:val="0"/>
                <w:sz w:val="21"/>
                <w:szCs w:val="21"/>
                <w:u w:val="none" w:color="auto"/>
                <w:lang w:val="en-US" w:eastAsia="zh-CN"/>
              </w:rPr>
              <w:t>项目所在地为填海区，</w:t>
            </w:r>
            <w:r>
              <w:rPr>
                <w:rFonts w:hint="default" w:ascii="Times New Roman" w:hAnsi="Times New Roman" w:eastAsia="宋体" w:cs="Times New Roman"/>
                <w:bCs/>
                <w:color w:val="auto"/>
                <w:kern w:val="0"/>
                <w:sz w:val="21"/>
                <w:szCs w:val="21"/>
                <w:u w:val="none" w:color="auto"/>
              </w:rPr>
              <w:t>东面以大榄坪2号路为界，南、西、北面以金鼓江为界，划定本次地下水环境影响评价范围约为0.5093km</w:t>
            </w:r>
            <w:r>
              <w:rPr>
                <w:rFonts w:hint="default" w:ascii="Times New Roman" w:hAnsi="Times New Roman" w:eastAsia="宋体" w:cs="Times New Roman"/>
                <w:bCs/>
                <w:color w:val="auto"/>
                <w:kern w:val="0"/>
                <w:sz w:val="21"/>
                <w:szCs w:val="21"/>
                <w:u w:val="none" w:color="auto"/>
                <w:vertAlign w:val="superscript"/>
              </w:rPr>
              <w:t>2</w:t>
            </w:r>
            <w:r>
              <w:rPr>
                <w:rFonts w:hint="eastAsia" w:ascii="Times New Roman" w:hAnsi="Times New Roman" w:eastAsia="宋体" w:cs="Times New Roman"/>
                <w:bCs/>
                <w:color w:val="auto"/>
                <w:kern w:val="0"/>
                <w:sz w:val="21"/>
                <w:szCs w:val="21"/>
                <w:u w:val="none" w:color="auto"/>
                <w:vertAlign w:val="baseline"/>
                <w:lang w:eastAsia="zh-CN"/>
              </w:rPr>
              <w:t>，</w:t>
            </w:r>
            <w:r>
              <w:rPr>
                <w:rFonts w:hint="eastAsia" w:ascii="Times New Roman" w:hAnsi="Times New Roman" w:eastAsia="宋体" w:cs="Times New Roman"/>
                <w:bCs/>
                <w:color w:val="auto"/>
                <w:kern w:val="0"/>
                <w:sz w:val="21"/>
                <w:szCs w:val="21"/>
                <w:u w:val="none" w:color="auto"/>
                <w:vertAlign w:val="baseline"/>
                <w:lang w:val="en-US" w:eastAsia="zh-CN"/>
              </w:rPr>
              <w:t>符合要求。</w:t>
            </w:r>
          </w:p>
        </w:tc>
      </w:tr>
      <w:tr w14:paraId="779A4F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4DC5D9C3">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土壤环境影响评价</w:t>
            </w:r>
          </w:p>
        </w:tc>
        <w:tc>
          <w:tcPr>
            <w:tcW w:w="6945" w:type="dxa"/>
            <w:tcBorders>
              <w:tl2br w:val="nil"/>
              <w:tr2bl w:val="nil"/>
            </w:tcBorders>
            <w:noWrap w:val="0"/>
            <w:vAlign w:val="center"/>
          </w:tcPr>
          <w:p w14:paraId="22A2D8E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以厂界为边界，周边0.2km范围</w:t>
            </w:r>
          </w:p>
        </w:tc>
      </w:tr>
      <w:tr w14:paraId="4D5FDB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2393DE9C">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风险评价</w:t>
            </w:r>
          </w:p>
        </w:tc>
        <w:tc>
          <w:tcPr>
            <w:tcW w:w="6945" w:type="dxa"/>
            <w:tcBorders>
              <w:tl2br w:val="nil"/>
              <w:tr2bl w:val="nil"/>
            </w:tcBorders>
            <w:noWrap w:val="0"/>
            <w:vAlign w:val="center"/>
          </w:tcPr>
          <w:p w14:paraId="161FA66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不划定评价范围</w:t>
            </w:r>
          </w:p>
        </w:tc>
      </w:tr>
      <w:tr w14:paraId="378F3F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127" w:type="dxa"/>
            <w:tcBorders>
              <w:tl2br w:val="nil"/>
              <w:tr2bl w:val="nil"/>
            </w:tcBorders>
            <w:noWrap w:val="0"/>
            <w:vAlign w:val="center"/>
          </w:tcPr>
          <w:p w14:paraId="21B2A93F">
            <w:pPr>
              <w:pStyle w:val="10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生态环境</w:t>
            </w:r>
          </w:p>
        </w:tc>
        <w:tc>
          <w:tcPr>
            <w:tcW w:w="6945" w:type="dxa"/>
            <w:tcBorders>
              <w:tl2br w:val="nil"/>
              <w:tr2bl w:val="nil"/>
            </w:tcBorders>
            <w:noWrap w:val="0"/>
            <w:vAlign w:val="center"/>
          </w:tcPr>
          <w:p w14:paraId="6BE3064B">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工程土地占用、水土流失等生态影响评价范围为厂址占地范围。</w:t>
            </w:r>
          </w:p>
        </w:tc>
      </w:tr>
    </w:tbl>
    <w:p w14:paraId="2D56F147">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116" w:name="_Toc3944"/>
      <w:bookmarkStart w:id="117" w:name="_Toc3728155"/>
      <w:bookmarkStart w:id="118" w:name="_Toc530130414"/>
      <w:r>
        <w:rPr>
          <w:rFonts w:hint="eastAsia" w:ascii="Times New Roman" w:hAnsi="Times New Roman" w:eastAsia="宋体" w:cs="Times New Roman"/>
          <w:b/>
          <w:color w:val="auto"/>
          <w:kern w:val="0"/>
          <w:sz w:val="32"/>
          <w:szCs w:val="32"/>
          <w:u w:val="none" w:color="auto"/>
        </w:rPr>
        <w:t>1</w:t>
      </w:r>
      <w:r>
        <w:rPr>
          <w:rFonts w:ascii="Times New Roman" w:hAnsi="Times New Roman" w:eastAsia="宋体" w:cs="Times New Roman"/>
          <w:b/>
          <w:color w:val="auto"/>
          <w:kern w:val="0"/>
          <w:sz w:val="32"/>
          <w:szCs w:val="32"/>
          <w:u w:val="none" w:color="auto"/>
        </w:rPr>
        <w:t>.8环境保护目标</w:t>
      </w:r>
      <w:bookmarkEnd w:id="116"/>
      <w:bookmarkEnd w:id="117"/>
      <w:bookmarkEnd w:id="118"/>
    </w:p>
    <w:p w14:paraId="265D2A6A">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项目周围</w:t>
      </w:r>
      <w:r>
        <w:rPr>
          <w:rFonts w:hint="eastAsia" w:ascii="Times New Roman" w:hAnsi="Times New Roman" w:eastAsia="宋体" w:cs="Times New Roman"/>
          <w:color w:val="auto"/>
          <w:kern w:val="0"/>
          <w:sz w:val="24"/>
          <w:szCs w:val="24"/>
          <w:u w:val="none" w:color="auto"/>
        </w:rPr>
        <w:t>2.5</w:t>
      </w:r>
      <w:r>
        <w:rPr>
          <w:rFonts w:ascii="Times New Roman" w:hAnsi="Times New Roman" w:eastAsia="宋体" w:cs="Times New Roman"/>
          <w:color w:val="auto"/>
          <w:kern w:val="0"/>
          <w:sz w:val="24"/>
          <w:szCs w:val="24"/>
          <w:u w:val="none" w:color="auto"/>
        </w:rPr>
        <w:t>km范围内无需特殊保护的自然保护区、风景名胜区，未发现文物古迹等敏感区域和目标，周围环境敏感目标主要为周边村屯，项目评价区域各环境保护敏感目标与本项目的位置关系见表</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.8-1。敏感点分布图见图</w:t>
      </w: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8</w:t>
      </w:r>
      <w:r>
        <w:rPr>
          <w:rFonts w:ascii="Times New Roman" w:hAnsi="Times New Roman" w:eastAsia="宋体" w:cs="Times New Roman"/>
          <w:color w:val="auto"/>
          <w:kern w:val="0"/>
          <w:sz w:val="24"/>
          <w:szCs w:val="24"/>
          <w:u w:val="none" w:color="auto"/>
        </w:rPr>
        <w:t>-1。</w:t>
      </w:r>
    </w:p>
    <w:p w14:paraId="56F1193D">
      <w:pPr>
        <w:pStyle w:val="65"/>
        <w:spacing w:line="240" w:lineRule="auto"/>
        <w:rPr>
          <w:color w:val="auto"/>
          <w:sz w:val="21"/>
          <w:szCs w:val="21"/>
          <w:u w:val="none" w:color="auto"/>
        </w:rPr>
      </w:pPr>
      <w:r>
        <w:rPr>
          <w:color w:val="auto"/>
          <w:sz w:val="21"/>
          <w:szCs w:val="21"/>
          <w:u w:val="none" w:color="auto"/>
        </w:rPr>
        <w:t>表</w:t>
      </w:r>
      <w:r>
        <w:rPr>
          <w:rFonts w:hint="eastAsia"/>
          <w:color w:val="auto"/>
          <w:sz w:val="21"/>
          <w:szCs w:val="21"/>
          <w:u w:val="none" w:color="auto"/>
        </w:rPr>
        <w:t>1</w:t>
      </w:r>
      <w:r>
        <w:rPr>
          <w:color w:val="auto"/>
          <w:sz w:val="21"/>
          <w:szCs w:val="21"/>
          <w:u w:val="none" w:color="auto"/>
        </w:rPr>
        <w:t>.8-1 本项目环境敏感区一览表</w:t>
      </w:r>
    </w:p>
    <w:tbl>
      <w:tblPr>
        <w:tblStyle w:val="3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1147"/>
        <w:gridCol w:w="866"/>
        <w:gridCol w:w="675"/>
        <w:gridCol w:w="593"/>
        <w:gridCol w:w="714"/>
        <w:gridCol w:w="686"/>
        <w:gridCol w:w="1136"/>
        <w:gridCol w:w="1178"/>
        <w:gridCol w:w="1096"/>
      </w:tblGrid>
      <w:tr w14:paraId="12175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250" w:type="pct"/>
            <w:vMerge w:val="restart"/>
            <w:vAlign w:val="center"/>
          </w:tcPr>
          <w:p w14:paraId="4931CF46">
            <w:pPr>
              <w:autoSpaceDE w:val="0"/>
              <w:autoSpaceDN w:val="0"/>
              <w:jc w:val="center"/>
              <w:rPr>
                <w:rFonts w:ascii="Times New Roman" w:hAnsi="Times New Roman" w:eastAsia="宋体" w:cs="Times New Roman"/>
                <w:color w:val="auto"/>
                <w:kern w:val="0"/>
                <w:szCs w:val="21"/>
                <w:u w:val="none" w:color="auto"/>
              </w:rPr>
            </w:pPr>
            <w:bookmarkStart w:id="119" w:name="_Hlk514233688"/>
            <w:r>
              <w:rPr>
                <w:rFonts w:ascii="Times New Roman" w:hAnsi="Times New Roman" w:eastAsia="宋体" w:cs="Times New Roman"/>
                <w:color w:val="auto"/>
                <w:kern w:val="0"/>
                <w:szCs w:val="21"/>
                <w:u w:val="none" w:color="auto"/>
              </w:rPr>
              <w:t>序号</w:t>
            </w:r>
          </w:p>
        </w:tc>
        <w:tc>
          <w:tcPr>
            <w:tcW w:w="673" w:type="pct"/>
            <w:vMerge w:val="restart"/>
            <w:vAlign w:val="center"/>
          </w:tcPr>
          <w:p w14:paraId="014E5A21">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保护目标</w:t>
            </w:r>
          </w:p>
        </w:tc>
        <w:tc>
          <w:tcPr>
            <w:tcW w:w="508" w:type="pct"/>
            <w:vMerge w:val="restart"/>
            <w:tcBorders>
              <w:left w:val="single" w:color="auto" w:sz="8" w:space="0"/>
              <w:right w:val="single" w:color="auto" w:sz="4" w:space="0"/>
            </w:tcBorders>
            <w:vAlign w:val="center"/>
          </w:tcPr>
          <w:p w14:paraId="7EC7DEB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行政区划</w:t>
            </w:r>
          </w:p>
        </w:tc>
        <w:tc>
          <w:tcPr>
            <w:tcW w:w="744" w:type="pct"/>
            <w:gridSpan w:val="2"/>
            <w:tcBorders>
              <w:left w:val="single" w:color="auto" w:sz="4" w:space="0"/>
            </w:tcBorders>
            <w:vAlign w:val="center"/>
          </w:tcPr>
          <w:p w14:paraId="69AFE324">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本地坐标</w:t>
            </w:r>
          </w:p>
        </w:tc>
        <w:tc>
          <w:tcPr>
            <w:tcW w:w="419" w:type="pct"/>
            <w:vMerge w:val="restart"/>
            <w:vAlign w:val="center"/>
          </w:tcPr>
          <w:p w14:paraId="52240FA4">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方位</w:t>
            </w:r>
          </w:p>
        </w:tc>
        <w:tc>
          <w:tcPr>
            <w:tcW w:w="402" w:type="pct"/>
            <w:vMerge w:val="restart"/>
            <w:tcBorders>
              <w:right w:val="single" w:color="auto" w:sz="4" w:space="0"/>
            </w:tcBorders>
            <w:vAlign w:val="center"/>
          </w:tcPr>
          <w:p w14:paraId="3DDAC1CA">
            <w:pPr>
              <w:autoSpaceDE w:val="0"/>
              <w:autoSpaceDN w:val="0"/>
              <w:jc w:val="center"/>
              <w:rPr>
                <w:rFonts w:hint="eastAsia" w:ascii="Times New Roman" w:hAnsi="Times New Roman" w:eastAsia="宋体" w:cs="Times New Roman"/>
                <w:color w:val="auto"/>
                <w:kern w:val="0"/>
                <w:szCs w:val="21"/>
                <w:u w:val="none" w:color="auto"/>
                <w:lang w:val="en-US" w:eastAsia="zh-CN"/>
              </w:rPr>
            </w:pPr>
            <w:r>
              <w:rPr>
                <w:rFonts w:ascii="Times New Roman" w:hAnsi="Times New Roman" w:eastAsia="宋体" w:cs="Times New Roman"/>
                <w:color w:val="auto"/>
                <w:kern w:val="0"/>
                <w:szCs w:val="21"/>
                <w:u w:val="none" w:color="auto"/>
              </w:rPr>
              <w:t>人数</w:t>
            </w:r>
            <w:r>
              <w:rPr>
                <w:rFonts w:hint="eastAsia" w:ascii="Times New Roman" w:hAnsi="Times New Roman" w:eastAsia="宋体" w:cs="Times New Roman"/>
                <w:color w:val="auto"/>
                <w:kern w:val="0"/>
                <w:szCs w:val="21"/>
                <w:u w:val="none" w:color="auto"/>
                <w:lang w:eastAsia="zh-CN"/>
              </w:rPr>
              <w:t>（</w:t>
            </w:r>
            <w:r>
              <w:rPr>
                <w:rFonts w:hint="eastAsia" w:ascii="Times New Roman" w:hAnsi="Times New Roman" w:eastAsia="宋体" w:cs="Times New Roman"/>
                <w:color w:val="auto"/>
                <w:kern w:val="0"/>
                <w:szCs w:val="21"/>
                <w:u w:val="none" w:color="auto"/>
                <w:lang w:val="en-US" w:eastAsia="zh-CN"/>
              </w:rPr>
              <w:t>人</w:t>
            </w:r>
            <w:r>
              <w:rPr>
                <w:rFonts w:hint="eastAsia" w:ascii="Times New Roman" w:hAnsi="Times New Roman" w:eastAsia="宋体" w:cs="Times New Roman"/>
                <w:color w:val="auto"/>
                <w:kern w:val="0"/>
                <w:szCs w:val="21"/>
                <w:u w:val="none" w:color="auto"/>
                <w:lang w:eastAsia="zh-CN"/>
              </w:rPr>
              <w:t>）</w:t>
            </w:r>
          </w:p>
        </w:tc>
        <w:tc>
          <w:tcPr>
            <w:tcW w:w="666" w:type="pct"/>
            <w:vMerge w:val="restart"/>
            <w:vAlign w:val="center"/>
          </w:tcPr>
          <w:p w14:paraId="4F829947">
            <w:pPr>
              <w:autoSpaceDE w:val="0"/>
              <w:autoSpaceDN w:val="0"/>
              <w:jc w:val="both"/>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饮用水情况</w:t>
            </w:r>
          </w:p>
        </w:tc>
        <w:tc>
          <w:tcPr>
            <w:tcW w:w="691" w:type="pct"/>
            <w:vMerge w:val="restart"/>
            <w:vAlign w:val="center"/>
          </w:tcPr>
          <w:p w14:paraId="33A81E50">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与项目厂界最近距离（m）</w:t>
            </w:r>
          </w:p>
        </w:tc>
        <w:tc>
          <w:tcPr>
            <w:tcW w:w="643" w:type="pct"/>
            <w:vMerge w:val="restart"/>
            <w:vAlign w:val="center"/>
          </w:tcPr>
          <w:p w14:paraId="688B2EA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环境敏感因素</w:t>
            </w:r>
          </w:p>
        </w:tc>
      </w:tr>
      <w:tr w14:paraId="48B416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250" w:type="pct"/>
            <w:vMerge w:val="continue"/>
            <w:vAlign w:val="center"/>
          </w:tcPr>
          <w:p w14:paraId="7C498518">
            <w:pPr>
              <w:autoSpaceDE w:val="0"/>
              <w:autoSpaceDN w:val="0"/>
              <w:jc w:val="center"/>
              <w:rPr>
                <w:color w:val="auto"/>
                <w:u w:val="none" w:color="auto"/>
              </w:rPr>
            </w:pPr>
          </w:p>
        </w:tc>
        <w:tc>
          <w:tcPr>
            <w:tcW w:w="673" w:type="pct"/>
            <w:vMerge w:val="continue"/>
            <w:vAlign w:val="center"/>
          </w:tcPr>
          <w:p w14:paraId="361526B0">
            <w:pPr>
              <w:autoSpaceDE w:val="0"/>
              <w:autoSpaceDN w:val="0"/>
              <w:jc w:val="center"/>
              <w:rPr>
                <w:color w:val="auto"/>
                <w:u w:val="none" w:color="auto"/>
              </w:rPr>
            </w:pPr>
          </w:p>
        </w:tc>
        <w:tc>
          <w:tcPr>
            <w:tcW w:w="508" w:type="pct"/>
            <w:vMerge w:val="continue"/>
            <w:tcBorders>
              <w:left w:val="single" w:color="auto" w:sz="8" w:space="0"/>
              <w:right w:val="single" w:color="auto" w:sz="4" w:space="0"/>
            </w:tcBorders>
            <w:vAlign w:val="center"/>
          </w:tcPr>
          <w:p w14:paraId="02D5EFAD">
            <w:pPr>
              <w:autoSpaceDE w:val="0"/>
              <w:autoSpaceDN w:val="0"/>
              <w:jc w:val="center"/>
              <w:rPr>
                <w:color w:val="auto"/>
                <w:u w:val="none" w:color="auto"/>
              </w:rPr>
            </w:pPr>
          </w:p>
        </w:tc>
        <w:tc>
          <w:tcPr>
            <w:tcW w:w="396" w:type="pct"/>
            <w:tcBorders>
              <w:left w:val="single" w:color="auto" w:sz="4" w:space="0"/>
              <w:right w:val="single" w:color="auto" w:sz="4" w:space="0"/>
            </w:tcBorders>
            <w:vAlign w:val="center"/>
          </w:tcPr>
          <w:p w14:paraId="5573053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X</w:t>
            </w:r>
          </w:p>
        </w:tc>
        <w:tc>
          <w:tcPr>
            <w:tcW w:w="348" w:type="pct"/>
            <w:tcBorders>
              <w:left w:val="single" w:color="auto" w:sz="4" w:space="0"/>
            </w:tcBorders>
            <w:vAlign w:val="center"/>
          </w:tcPr>
          <w:p w14:paraId="03C34EA2">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Y</w:t>
            </w:r>
          </w:p>
        </w:tc>
        <w:tc>
          <w:tcPr>
            <w:tcW w:w="419" w:type="pct"/>
            <w:vMerge w:val="continue"/>
            <w:vAlign w:val="center"/>
          </w:tcPr>
          <w:p w14:paraId="5B6A0F0B">
            <w:pPr>
              <w:autoSpaceDE w:val="0"/>
              <w:autoSpaceDN w:val="0"/>
              <w:jc w:val="center"/>
              <w:rPr>
                <w:rFonts w:ascii="Times New Roman" w:hAnsi="Times New Roman" w:eastAsia="宋体" w:cs="Times New Roman"/>
                <w:color w:val="auto"/>
                <w:kern w:val="0"/>
                <w:szCs w:val="21"/>
                <w:u w:val="none" w:color="auto"/>
              </w:rPr>
            </w:pPr>
          </w:p>
        </w:tc>
        <w:tc>
          <w:tcPr>
            <w:tcW w:w="402" w:type="pct"/>
            <w:vMerge w:val="continue"/>
            <w:tcBorders>
              <w:right w:val="single" w:color="auto" w:sz="4" w:space="0"/>
            </w:tcBorders>
            <w:vAlign w:val="center"/>
          </w:tcPr>
          <w:p w14:paraId="5D4BD985">
            <w:pPr>
              <w:autoSpaceDE w:val="0"/>
              <w:autoSpaceDN w:val="0"/>
              <w:jc w:val="center"/>
              <w:rPr>
                <w:rFonts w:ascii="Times New Roman" w:hAnsi="Times New Roman" w:eastAsia="宋体" w:cs="Times New Roman"/>
                <w:color w:val="auto"/>
                <w:kern w:val="0"/>
                <w:szCs w:val="21"/>
                <w:u w:val="none" w:color="auto"/>
              </w:rPr>
            </w:pPr>
          </w:p>
        </w:tc>
        <w:tc>
          <w:tcPr>
            <w:tcW w:w="666" w:type="pct"/>
            <w:vMerge w:val="continue"/>
            <w:vAlign w:val="center"/>
          </w:tcPr>
          <w:p w14:paraId="65321144">
            <w:pPr>
              <w:autoSpaceDE w:val="0"/>
              <w:autoSpaceDN w:val="0"/>
              <w:jc w:val="center"/>
              <w:rPr>
                <w:rFonts w:ascii="Times New Roman" w:hAnsi="Times New Roman" w:eastAsia="宋体" w:cs="Times New Roman"/>
                <w:color w:val="auto"/>
                <w:kern w:val="0"/>
                <w:szCs w:val="21"/>
                <w:u w:val="single" w:color="auto"/>
              </w:rPr>
            </w:pPr>
          </w:p>
        </w:tc>
        <w:tc>
          <w:tcPr>
            <w:tcW w:w="691" w:type="pct"/>
            <w:vMerge w:val="continue"/>
            <w:vAlign w:val="center"/>
          </w:tcPr>
          <w:p w14:paraId="74A82FD1">
            <w:pPr>
              <w:autoSpaceDE w:val="0"/>
              <w:autoSpaceDN w:val="0"/>
              <w:jc w:val="center"/>
              <w:rPr>
                <w:rFonts w:ascii="Times New Roman" w:hAnsi="Times New Roman" w:eastAsia="宋体" w:cs="Times New Roman"/>
                <w:color w:val="auto"/>
                <w:kern w:val="0"/>
                <w:szCs w:val="21"/>
                <w:u w:val="none" w:color="auto"/>
              </w:rPr>
            </w:pPr>
          </w:p>
        </w:tc>
        <w:tc>
          <w:tcPr>
            <w:tcW w:w="643" w:type="pct"/>
            <w:vMerge w:val="continue"/>
            <w:vAlign w:val="center"/>
          </w:tcPr>
          <w:p w14:paraId="47CFDA66">
            <w:pPr>
              <w:autoSpaceDE w:val="0"/>
              <w:autoSpaceDN w:val="0"/>
              <w:jc w:val="center"/>
              <w:rPr>
                <w:rFonts w:ascii="Times New Roman" w:hAnsi="Times New Roman" w:eastAsia="宋体" w:cs="Times New Roman"/>
                <w:color w:val="auto"/>
                <w:kern w:val="0"/>
                <w:szCs w:val="21"/>
                <w:u w:val="none" w:color="auto"/>
              </w:rPr>
            </w:pPr>
          </w:p>
        </w:tc>
      </w:tr>
      <w:tr w14:paraId="173B61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250" w:type="pct"/>
            <w:vAlign w:val="center"/>
          </w:tcPr>
          <w:p w14:paraId="2F71A6CC">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bottom w:val="single" w:color="auto" w:sz="4" w:space="0"/>
            </w:tcBorders>
            <w:vAlign w:val="center"/>
          </w:tcPr>
          <w:p w14:paraId="56DD81C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过山路村</w:t>
            </w:r>
          </w:p>
        </w:tc>
        <w:tc>
          <w:tcPr>
            <w:tcW w:w="508" w:type="pct"/>
            <w:tcBorders>
              <w:left w:val="single" w:color="auto" w:sz="8" w:space="0"/>
              <w:right w:val="single" w:color="auto" w:sz="4" w:space="0"/>
            </w:tcBorders>
            <w:vAlign w:val="center"/>
          </w:tcPr>
          <w:p w14:paraId="4F622F18">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村庄</w:t>
            </w:r>
          </w:p>
        </w:tc>
        <w:tc>
          <w:tcPr>
            <w:tcW w:w="396" w:type="pct"/>
            <w:tcBorders>
              <w:left w:val="single" w:color="auto" w:sz="4" w:space="0"/>
              <w:right w:val="single" w:color="auto" w:sz="4" w:space="0"/>
            </w:tcBorders>
            <w:vAlign w:val="center"/>
          </w:tcPr>
          <w:p w14:paraId="366C15F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1578</w:t>
            </w:r>
          </w:p>
        </w:tc>
        <w:tc>
          <w:tcPr>
            <w:tcW w:w="348" w:type="pct"/>
            <w:tcBorders>
              <w:left w:val="single" w:color="auto" w:sz="4" w:space="0"/>
            </w:tcBorders>
            <w:vAlign w:val="center"/>
          </w:tcPr>
          <w:p w14:paraId="4BB567F2">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185</w:t>
            </w:r>
          </w:p>
        </w:tc>
        <w:tc>
          <w:tcPr>
            <w:tcW w:w="419" w:type="pct"/>
            <w:vAlign w:val="center"/>
          </w:tcPr>
          <w:p w14:paraId="786360E2">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东</w:t>
            </w:r>
            <w:r>
              <w:rPr>
                <w:rFonts w:ascii="Times New Roman" w:hAnsi="Times New Roman" w:eastAsia="宋体" w:cs="Times New Roman"/>
                <w:color w:val="auto"/>
                <w:kern w:val="0"/>
                <w:szCs w:val="21"/>
                <w:u w:val="none" w:color="auto"/>
              </w:rPr>
              <w:t>北</w:t>
            </w:r>
          </w:p>
        </w:tc>
        <w:tc>
          <w:tcPr>
            <w:tcW w:w="402" w:type="pct"/>
            <w:tcBorders>
              <w:right w:val="single" w:color="auto" w:sz="4" w:space="0"/>
            </w:tcBorders>
            <w:vAlign w:val="center"/>
          </w:tcPr>
          <w:p w14:paraId="46DEC28D">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350</w:t>
            </w:r>
          </w:p>
        </w:tc>
        <w:tc>
          <w:tcPr>
            <w:tcW w:w="666" w:type="pct"/>
            <w:vAlign w:val="center"/>
          </w:tcPr>
          <w:p w14:paraId="3A5CE2FC">
            <w:pPr>
              <w:autoSpaceDE w:val="0"/>
              <w:autoSpaceDN w:val="0"/>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6A9BD267">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1270</w:t>
            </w:r>
          </w:p>
        </w:tc>
        <w:tc>
          <w:tcPr>
            <w:tcW w:w="643" w:type="pct"/>
            <w:vMerge w:val="restart"/>
            <w:vAlign w:val="center"/>
          </w:tcPr>
          <w:p w14:paraId="06426BD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《环境空气质量标准》(GB3095-2012)二级标准</w:t>
            </w:r>
          </w:p>
        </w:tc>
      </w:tr>
      <w:tr w14:paraId="2DECDA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250" w:type="pct"/>
            <w:vAlign w:val="center"/>
          </w:tcPr>
          <w:p w14:paraId="582FFC62">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bottom w:val="single" w:color="auto" w:sz="4" w:space="0"/>
            </w:tcBorders>
            <w:vAlign w:val="center"/>
          </w:tcPr>
          <w:p w14:paraId="3F5928C4">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lang w:bidi="ar"/>
              </w:rPr>
              <w:t>淡水湾村</w:t>
            </w:r>
          </w:p>
        </w:tc>
        <w:tc>
          <w:tcPr>
            <w:tcW w:w="508" w:type="pct"/>
            <w:tcBorders>
              <w:left w:val="single" w:color="auto" w:sz="8" w:space="0"/>
              <w:right w:val="single" w:color="auto" w:sz="4" w:space="0"/>
            </w:tcBorders>
            <w:vAlign w:val="center"/>
          </w:tcPr>
          <w:p w14:paraId="2FF45BDE">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村庄</w:t>
            </w:r>
          </w:p>
        </w:tc>
        <w:tc>
          <w:tcPr>
            <w:tcW w:w="396" w:type="pct"/>
            <w:tcBorders>
              <w:left w:val="single" w:color="auto" w:sz="4" w:space="0"/>
              <w:right w:val="single" w:color="auto" w:sz="4" w:space="0"/>
            </w:tcBorders>
            <w:vAlign w:val="center"/>
          </w:tcPr>
          <w:p w14:paraId="7DE3D6D6">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766</w:t>
            </w:r>
          </w:p>
        </w:tc>
        <w:tc>
          <w:tcPr>
            <w:tcW w:w="348" w:type="pct"/>
            <w:tcBorders>
              <w:left w:val="single" w:color="auto" w:sz="4" w:space="0"/>
            </w:tcBorders>
            <w:vAlign w:val="center"/>
          </w:tcPr>
          <w:p w14:paraId="36F2B1E4">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674</w:t>
            </w:r>
          </w:p>
        </w:tc>
        <w:tc>
          <w:tcPr>
            <w:tcW w:w="419" w:type="pct"/>
            <w:vAlign w:val="center"/>
          </w:tcPr>
          <w:p w14:paraId="76A841E1">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东北</w:t>
            </w:r>
          </w:p>
        </w:tc>
        <w:tc>
          <w:tcPr>
            <w:tcW w:w="402" w:type="pct"/>
            <w:tcBorders>
              <w:right w:val="single" w:color="auto" w:sz="4" w:space="0"/>
            </w:tcBorders>
            <w:vAlign w:val="center"/>
          </w:tcPr>
          <w:p w14:paraId="7A70D2EA">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480</w:t>
            </w:r>
          </w:p>
        </w:tc>
        <w:tc>
          <w:tcPr>
            <w:tcW w:w="666" w:type="pct"/>
            <w:vAlign w:val="center"/>
          </w:tcPr>
          <w:p w14:paraId="240F1526">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11F4E31E">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730</w:t>
            </w:r>
          </w:p>
        </w:tc>
        <w:tc>
          <w:tcPr>
            <w:tcW w:w="643" w:type="pct"/>
            <w:vMerge w:val="continue"/>
            <w:vAlign w:val="center"/>
          </w:tcPr>
          <w:p w14:paraId="183AB733">
            <w:pPr>
              <w:autoSpaceDE w:val="0"/>
              <w:autoSpaceDN w:val="0"/>
              <w:jc w:val="center"/>
              <w:rPr>
                <w:rFonts w:ascii="Times New Roman" w:hAnsi="Times New Roman" w:eastAsia="宋体" w:cs="Times New Roman"/>
                <w:color w:val="auto"/>
                <w:kern w:val="0"/>
                <w:szCs w:val="21"/>
                <w:u w:val="none" w:color="auto"/>
              </w:rPr>
            </w:pPr>
          </w:p>
        </w:tc>
      </w:tr>
      <w:tr w14:paraId="46E9D3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250" w:type="pct"/>
            <w:vAlign w:val="center"/>
          </w:tcPr>
          <w:p w14:paraId="3A6561A7">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top w:val="single" w:color="auto" w:sz="4" w:space="0"/>
            </w:tcBorders>
            <w:vAlign w:val="center"/>
          </w:tcPr>
          <w:p w14:paraId="77F5B3D8">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金鼓村</w:t>
            </w:r>
          </w:p>
        </w:tc>
        <w:tc>
          <w:tcPr>
            <w:tcW w:w="508" w:type="pct"/>
            <w:tcBorders>
              <w:left w:val="single" w:color="auto" w:sz="8" w:space="0"/>
              <w:right w:val="single" w:color="auto" w:sz="4" w:space="0"/>
            </w:tcBorders>
            <w:vAlign w:val="center"/>
          </w:tcPr>
          <w:p w14:paraId="2EB1D5AF">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村庄</w:t>
            </w:r>
          </w:p>
        </w:tc>
        <w:tc>
          <w:tcPr>
            <w:tcW w:w="396" w:type="pct"/>
            <w:tcBorders>
              <w:left w:val="single" w:color="auto" w:sz="4" w:space="0"/>
              <w:right w:val="single" w:color="auto" w:sz="4" w:space="0"/>
            </w:tcBorders>
            <w:vAlign w:val="center"/>
          </w:tcPr>
          <w:p w14:paraId="64297A0F">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108</w:t>
            </w:r>
          </w:p>
        </w:tc>
        <w:tc>
          <w:tcPr>
            <w:tcW w:w="348" w:type="pct"/>
            <w:tcBorders>
              <w:left w:val="single" w:color="auto" w:sz="4" w:space="0"/>
            </w:tcBorders>
            <w:vAlign w:val="center"/>
          </w:tcPr>
          <w:p w14:paraId="6E8D23E4">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1852</w:t>
            </w:r>
          </w:p>
        </w:tc>
        <w:tc>
          <w:tcPr>
            <w:tcW w:w="419" w:type="pct"/>
            <w:vAlign w:val="center"/>
          </w:tcPr>
          <w:p w14:paraId="11471F38">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北</w:t>
            </w:r>
          </w:p>
        </w:tc>
        <w:tc>
          <w:tcPr>
            <w:tcW w:w="402" w:type="pct"/>
            <w:tcBorders>
              <w:right w:val="single" w:color="auto" w:sz="4" w:space="0"/>
            </w:tcBorders>
            <w:vAlign w:val="center"/>
          </w:tcPr>
          <w:p w14:paraId="6C5AA36C">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320</w:t>
            </w:r>
          </w:p>
        </w:tc>
        <w:tc>
          <w:tcPr>
            <w:tcW w:w="666" w:type="pct"/>
            <w:vAlign w:val="center"/>
          </w:tcPr>
          <w:p w14:paraId="4E6D463A">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26209477">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1635</w:t>
            </w:r>
          </w:p>
        </w:tc>
        <w:tc>
          <w:tcPr>
            <w:tcW w:w="643" w:type="pct"/>
            <w:vMerge w:val="continue"/>
            <w:vAlign w:val="center"/>
          </w:tcPr>
          <w:p w14:paraId="4A56BD93">
            <w:pPr>
              <w:autoSpaceDE w:val="0"/>
              <w:autoSpaceDN w:val="0"/>
              <w:jc w:val="center"/>
              <w:rPr>
                <w:rFonts w:ascii="Times New Roman" w:hAnsi="Times New Roman" w:eastAsia="宋体" w:cs="Times New Roman"/>
                <w:color w:val="auto"/>
                <w:kern w:val="0"/>
                <w:szCs w:val="21"/>
                <w:u w:val="none" w:color="auto"/>
              </w:rPr>
            </w:pPr>
          </w:p>
        </w:tc>
      </w:tr>
      <w:tr w14:paraId="3C2177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250" w:type="pct"/>
            <w:vAlign w:val="center"/>
          </w:tcPr>
          <w:p w14:paraId="58BC61DF">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bottom w:val="single" w:color="auto" w:sz="4" w:space="0"/>
            </w:tcBorders>
            <w:vAlign w:val="center"/>
          </w:tcPr>
          <w:p w14:paraId="525F4956">
            <w:pPr>
              <w:autoSpaceDE w:val="0"/>
              <w:autoSpaceDN w:val="0"/>
              <w:jc w:val="center"/>
              <w:rPr>
                <w:rFonts w:hint="eastAsia"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钦州港安置小区</w:t>
            </w:r>
          </w:p>
        </w:tc>
        <w:tc>
          <w:tcPr>
            <w:tcW w:w="508" w:type="pct"/>
            <w:tcBorders>
              <w:left w:val="single" w:color="auto" w:sz="8" w:space="0"/>
              <w:right w:val="single" w:color="auto" w:sz="4" w:space="0"/>
            </w:tcBorders>
            <w:vAlign w:val="center"/>
          </w:tcPr>
          <w:p w14:paraId="73BC3455">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村庄</w:t>
            </w:r>
          </w:p>
        </w:tc>
        <w:tc>
          <w:tcPr>
            <w:tcW w:w="396" w:type="pct"/>
            <w:tcBorders>
              <w:left w:val="single" w:color="auto" w:sz="4" w:space="0"/>
              <w:right w:val="single" w:color="auto" w:sz="4" w:space="0"/>
            </w:tcBorders>
            <w:vAlign w:val="center"/>
          </w:tcPr>
          <w:p w14:paraId="61E8C2D6">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-1243</w:t>
            </w:r>
          </w:p>
        </w:tc>
        <w:tc>
          <w:tcPr>
            <w:tcW w:w="348" w:type="pct"/>
            <w:tcBorders>
              <w:left w:val="single" w:color="auto" w:sz="4" w:space="0"/>
            </w:tcBorders>
            <w:vAlign w:val="center"/>
          </w:tcPr>
          <w:p w14:paraId="7A8C92C4">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1890</w:t>
            </w:r>
          </w:p>
        </w:tc>
        <w:tc>
          <w:tcPr>
            <w:tcW w:w="419" w:type="pct"/>
            <w:vAlign w:val="center"/>
          </w:tcPr>
          <w:p w14:paraId="6E9B615D">
            <w:pPr>
              <w:autoSpaceDE w:val="0"/>
              <w:autoSpaceDN w:val="0"/>
              <w:snapToGrid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西北</w:t>
            </w:r>
          </w:p>
        </w:tc>
        <w:tc>
          <w:tcPr>
            <w:tcW w:w="402" w:type="pct"/>
            <w:tcBorders>
              <w:right w:val="single" w:color="auto" w:sz="4" w:space="0"/>
            </w:tcBorders>
            <w:vAlign w:val="center"/>
          </w:tcPr>
          <w:p w14:paraId="5ECD455F">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120</w:t>
            </w:r>
          </w:p>
        </w:tc>
        <w:tc>
          <w:tcPr>
            <w:tcW w:w="666" w:type="pct"/>
            <w:vAlign w:val="center"/>
          </w:tcPr>
          <w:p w14:paraId="4A461B33">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2DBB46FF">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1795</w:t>
            </w:r>
          </w:p>
        </w:tc>
        <w:tc>
          <w:tcPr>
            <w:tcW w:w="643" w:type="pct"/>
            <w:vMerge w:val="continue"/>
            <w:vAlign w:val="center"/>
          </w:tcPr>
          <w:p w14:paraId="3A6E5F30">
            <w:pPr>
              <w:autoSpaceDE w:val="0"/>
              <w:autoSpaceDN w:val="0"/>
              <w:jc w:val="center"/>
              <w:rPr>
                <w:rFonts w:ascii="Times New Roman" w:hAnsi="Times New Roman" w:eastAsia="宋体" w:cs="Times New Roman"/>
                <w:color w:val="auto"/>
                <w:kern w:val="0"/>
                <w:szCs w:val="21"/>
                <w:u w:val="none" w:color="auto"/>
              </w:rPr>
            </w:pPr>
          </w:p>
        </w:tc>
      </w:tr>
      <w:tr w14:paraId="12B241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250" w:type="pct"/>
            <w:vAlign w:val="center"/>
          </w:tcPr>
          <w:p w14:paraId="0473216A">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bottom w:val="single" w:color="auto" w:sz="4" w:space="0"/>
            </w:tcBorders>
            <w:vAlign w:val="center"/>
          </w:tcPr>
          <w:p w14:paraId="52FBCC96">
            <w:pPr>
              <w:autoSpaceDE w:val="0"/>
              <w:autoSpaceDN w:val="0"/>
              <w:jc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eastAsia="zh-CN"/>
              </w:rPr>
              <w:t>大榄坪</w:t>
            </w:r>
          </w:p>
        </w:tc>
        <w:tc>
          <w:tcPr>
            <w:tcW w:w="508" w:type="pct"/>
            <w:tcBorders>
              <w:left w:val="single" w:color="auto" w:sz="8" w:space="0"/>
              <w:right w:val="single" w:color="auto" w:sz="4" w:space="0"/>
            </w:tcBorders>
            <w:vAlign w:val="center"/>
          </w:tcPr>
          <w:p w14:paraId="4A56F886">
            <w:pPr>
              <w:autoSpaceDE w:val="0"/>
              <w:autoSpaceDN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村庄</w:t>
            </w:r>
          </w:p>
        </w:tc>
        <w:tc>
          <w:tcPr>
            <w:tcW w:w="396" w:type="pct"/>
            <w:tcBorders>
              <w:left w:val="single" w:color="auto" w:sz="4" w:space="0"/>
              <w:right w:val="single" w:color="auto" w:sz="4" w:space="0"/>
            </w:tcBorders>
            <w:vAlign w:val="center"/>
          </w:tcPr>
          <w:p w14:paraId="148B9A7B">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-1293</w:t>
            </w:r>
          </w:p>
        </w:tc>
        <w:tc>
          <w:tcPr>
            <w:tcW w:w="348" w:type="pct"/>
            <w:tcBorders>
              <w:left w:val="single" w:color="auto" w:sz="4" w:space="0"/>
            </w:tcBorders>
            <w:vAlign w:val="center"/>
          </w:tcPr>
          <w:p w14:paraId="7B90A21A">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2216</w:t>
            </w:r>
          </w:p>
        </w:tc>
        <w:tc>
          <w:tcPr>
            <w:tcW w:w="419" w:type="pct"/>
            <w:vAlign w:val="center"/>
          </w:tcPr>
          <w:p w14:paraId="2CA7B57A">
            <w:pPr>
              <w:autoSpaceDE w:val="0"/>
              <w:autoSpaceDN w:val="0"/>
              <w:snapToGrid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西北</w:t>
            </w:r>
          </w:p>
        </w:tc>
        <w:tc>
          <w:tcPr>
            <w:tcW w:w="402" w:type="pct"/>
            <w:tcBorders>
              <w:right w:val="single" w:color="auto" w:sz="4" w:space="0"/>
            </w:tcBorders>
            <w:vAlign w:val="center"/>
          </w:tcPr>
          <w:p w14:paraId="65257230">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323</w:t>
            </w:r>
          </w:p>
        </w:tc>
        <w:tc>
          <w:tcPr>
            <w:tcW w:w="666" w:type="pct"/>
            <w:vAlign w:val="center"/>
          </w:tcPr>
          <w:p w14:paraId="295E7F8C">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01CCD4E3">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2220</w:t>
            </w:r>
          </w:p>
        </w:tc>
        <w:tc>
          <w:tcPr>
            <w:tcW w:w="643" w:type="pct"/>
            <w:vMerge w:val="continue"/>
            <w:vAlign w:val="center"/>
          </w:tcPr>
          <w:p w14:paraId="715E591B">
            <w:pPr>
              <w:autoSpaceDE w:val="0"/>
              <w:autoSpaceDN w:val="0"/>
              <w:jc w:val="center"/>
              <w:rPr>
                <w:rFonts w:ascii="Times New Roman" w:hAnsi="Times New Roman" w:eastAsia="宋体" w:cs="Times New Roman"/>
                <w:color w:val="auto"/>
                <w:kern w:val="0"/>
                <w:szCs w:val="21"/>
                <w:u w:val="none" w:color="auto"/>
              </w:rPr>
            </w:pPr>
          </w:p>
        </w:tc>
      </w:tr>
      <w:tr w14:paraId="276BA0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3" w:hRule="atLeast"/>
          <w:jc w:val="center"/>
        </w:trPr>
        <w:tc>
          <w:tcPr>
            <w:tcW w:w="250" w:type="pct"/>
            <w:vAlign w:val="center"/>
          </w:tcPr>
          <w:p w14:paraId="197B7CFE">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tcBorders>
              <w:bottom w:val="single" w:color="auto" w:sz="4" w:space="0"/>
            </w:tcBorders>
            <w:vAlign w:val="center"/>
          </w:tcPr>
          <w:p w14:paraId="3F6D0B22">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钦州港开发区中学</w:t>
            </w:r>
          </w:p>
        </w:tc>
        <w:tc>
          <w:tcPr>
            <w:tcW w:w="508" w:type="pct"/>
            <w:tcBorders>
              <w:left w:val="single" w:color="auto" w:sz="8" w:space="0"/>
              <w:right w:val="single" w:color="auto" w:sz="4" w:space="0"/>
            </w:tcBorders>
            <w:vAlign w:val="center"/>
          </w:tcPr>
          <w:p w14:paraId="3991532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中学</w:t>
            </w:r>
          </w:p>
        </w:tc>
        <w:tc>
          <w:tcPr>
            <w:tcW w:w="396" w:type="pct"/>
            <w:tcBorders>
              <w:left w:val="single" w:color="auto" w:sz="4" w:space="0"/>
              <w:right w:val="single" w:color="auto" w:sz="4" w:space="0"/>
            </w:tcBorders>
            <w:vAlign w:val="center"/>
          </w:tcPr>
          <w:p w14:paraId="7021200F">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1888</w:t>
            </w:r>
          </w:p>
        </w:tc>
        <w:tc>
          <w:tcPr>
            <w:tcW w:w="348" w:type="pct"/>
            <w:tcBorders>
              <w:left w:val="single" w:color="auto" w:sz="4" w:space="0"/>
            </w:tcBorders>
            <w:vAlign w:val="center"/>
          </w:tcPr>
          <w:p w14:paraId="6F030669">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666</w:t>
            </w:r>
          </w:p>
        </w:tc>
        <w:tc>
          <w:tcPr>
            <w:tcW w:w="419" w:type="pct"/>
            <w:vAlign w:val="center"/>
          </w:tcPr>
          <w:p w14:paraId="28E83648">
            <w:pPr>
              <w:autoSpaceDE w:val="0"/>
              <w:autoSpaceDN w:val="0"/>
              <w:snapToGrid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东北</w:t>
            </w:r>
          </w:p>
        </w:tc>
        <w:tc>
          <w:tcPr>
            <w:tcW w:w="402" w:type="pct"/>
            <w:tcBorders>
              <w:right w:val="single" w:color="auto" w:sz="4" w:space="0"/>
            </w:tcBorders>
            <w:vAlign w:val="center"/>
          </w:tcPr>
          <w:p w14:paraId="5F83CE60">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2500</w:t>
            </w:r>
          </w:p>
        </w:tc>
        <w:tc>
          <w:tcPr>
            <w:tcW w:w="666" w:type="pct"/>
            <w:vAlign w:val="center"/>
          </w:tcPr>
          <w:p w14:paraId="5B37CD55">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4F1BB9A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1535</w:t>
            </w:r>
          </w:p>
        </w:tc>
        <w:tc>
          <w:tcPr>
            <w:tcW w:w="643" w:type="pct"/>
            <w:vMerge w:val="continue"/>
            <w:vAlign w:val="center"/>
          </w:tcPr>
          <w:p w14:paraId="71478444">
            <w:pPr>
              <w:autoSpaceDE w:val="0"/>
              <w:autoSpaceDN w:val="0"/>
              <w:jc w:val="center"/>
              <w:rPr>
                <w:rFonts w:ascii="Times New Roman" w:hAnsi="Times New Roman" w:eastAsia="宋体" w:cs="Times New Roman"/>
                <w:color w:val="auto"/>
                <w:kern w:val="0"/>
                <w:szCs w:val="21"/>
                <w:u w:val="none" w:color="auto"/>
              </w:rPr>
            </w:pPr>
          </w:p>
        </w:tc>
      </w:tr>
      <w:tr w14:paraId="0221F9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3" w:hRule="atLeast"/>
          <w:jc w:val="center"/>
        </w:trPr>
        <w:tc>
          <w:tcPr>
            <w:tcW w:w="250" w:type="pct"/>
            <w:vAlign w:val="center"/>
          </w:tcPr>
          <w:p w14:paraId="67BBB652">
            <w:pPr>
              <w:numPr>
                <w:ilvl w:val="0"/>
                <w:numId w:val="9"/>
              </w:numPr>
              <w:autoSpaceDE w:val="0"/>
              <w:autoSpaceDN w:val="0"/>
              <w:ind w:left="0" w:firstLine="0"/>
              <w:jc w:val="center"/>
              <w:rPr>
                <w:rFonts w:ascii="Times New Roman" w:hAnsi="Times New Roman" w:eastAsia="宋体" w:cs="Times New Roman"/>
                <w:color w:val="auto"/>
                <w:kern w:val="0"/>
                <w:szCs w:val="21"/>
                <w:u w:val="none" w:color="auto"/>
              </w:rPr>
            </w:pPr>
          </w:p>
        </w:tc>
        <w:tc>
          <w:tcPr>
            <w:tcW w:w="673" w:type="pct"/>
            <w:vAlign w:val="center"/>
          </w:tcPr>
          <w:p w14:paraId="7B653779">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钦州港开发区第四小学</w:t>
            </w:r>
          </w:p>
        </w:tc>
        <w:tc>
          <w:tcPr>
            <w:tcW w:w="508" w:type="pct"/>
            <w:tcBorders>
              <w:left w:val="single" w:color="auto" w:sz="8" w:space="0"/>
              <w:right w:val="single" w:color="auto" w:sz="4" w:space="0"/>
            </w:tcBorders>
            <w:vAlign w:val="center"/>
          </w:tcPr>
          <w:p w14:paraId="5AEE321E">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小学</w:t>
            </w:r>
          </w:p>
        </w:tc>
        <w:tc>
          <w:tcPr>
            <w:tcW w:w="396" w:type="pct"/>
            <w:tcBorders>
              <w:left w:val="single" w:color="auto" w:sz="4" w:space="0"/>
              <w:right w:val="single" w:color="auto" w:sz="4" w:space="0"/>
            </w:tcBorders>
            <w:vAlign w:val="center"/>
          </w:tcPr>
          <w:p w14:paraId="63BCFAE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1174</w:t>
            </w:r>
          </w:p>
        </w:tc>
        <w:tc>
          <w:tcPr>
            <w:tcW w:w="348" w:type="pct"/>
            <w:tcBorders>
              <w:left w:val="single" w:color="auto" w:sz="4" w:space="0"/>
            </w:tcBorders>
            <w:vAlign w:val="center"/>
          </w:tcPr>
          <w:p w14:paraId="2E98267C">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2010</w:t>
            </w:r>
          </w:p>
        </w:tc>
        <w:tc>
          <w:tcPr>
            <w:tcW w:w="419" w:type="pct"/>
            <w:vAlign w:val="center"/>
          </w:tcPr>
          <w:p w14:paraId="4B70FAC0">
            <w:pPr>
              <w:autoSpaceDE w:val="0"/>
              <w:autoSpaceDN w:val="0"/>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东</w:t>
            </w:r>
            <w:r>
              <w:rPr>
                <w:rFonts w:hint="eastAsia" w:ascii="Times New Roman" w:hAnsi="Times New Roman" w:eastAsia="宋体" w:cs="Times New Roman"/>
                <w:color w:val="auto"/>
                <w:kern w:val="0"/>
                <w:szCs w:val="21"/>
                <w:u w:val="none" w:color="auto"/>
              </w:rPr>
              <w:t>北</w:t>
            </w:r>
          </w:p>
        </w:tc>
        <w:tc>
          <w:tcPr>
            <w:tcW w:w="402" w:type="pct"/>
            <w:tcBorders>
              <w:right w:val="single" w:color="auto" w:sz="4" w:space="0"/>
            </w:tcBorders>
            <w:vAlign w:val="center"/>
          </w:tcPr>
          <w:p w14:paraId="12685821">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900</w:t>
            </w:r>
          </w:p>
        </w:tc>
        <w:tc>
          <w:tcPr>
            <w:tcW w:w="666" w:type="pct"/>
            <w:vAlign w:val="center"/>
          </w:tcPr>
          <w:p w14:paraId="703255F0">
            <w:pPr>
              <w:autoSpaceDE w:val="0"/>
              <w:autoSpaceDN w:val="0"/>
              <w:jc w:val="center"/>
              <w:rPr>
                <w:rFonts w:hint="eastAsia"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val="en-US" w:eastAsia="zh-CN"/>
              </w:rPr>
              <w:t>市政供水</w:t>
            </w:r>
          </w:p>
        </w:tc>
        <w:tc>
          <w:tcPr>
            <w:tcW w:w="691" w:type="pct"/>
            <w:vAlign w:val="center"/>
          </w:tcPr>
          <w:p w14:paraId="0A84C8E5">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2140</w:t>
            </w:r>
          </w:p>
        </w:tc>
        <w:tc>
          <w:tcPr>
            <w:tcW w:w="643" w:type="pct"/>
            <w:vMerge w:val="continue"/>
            <w:vAlign w:val="center"/>
          </w:tcPr>
          <w:p w14:paraId="03CF98CC">
            <w:pPr>
              <w:autoSpaceDE w:val="0"/>
              <w:autoSpaceDN w:val="0"/>
              <w:jc w:val="center"/>
              <w:rPr>
                <w:rFonts w:ascii="Times New Roman" w:hAnsi="Times New Roman" w:eastAsia="宋体" w:cs="Times New Roman"/>
                <w:color w:val="auto"/>
                <w:kern w:val="0"/>
                <w:szCs w:val="21"/>
                <w:u w:val="none" w:color="auto"/>
              </w:rPr>
            </w:pPr>
          </w:p>
        </w:tc>
      </w:tr>
      <w:bookmarkEnd w:id="119"/>
    </w:tbl>
    <w:p w14:paraId="230E8601">
      <w:pPr>
        <w:autoSpaceDE w:val="0"/>
        <w:autoSpaceDN w:val="0"/>
        <w:spacing w:before="312" w:beforeLines="100" w:after="624" w:afterLines="200" w:line="360" w:lineRule="auto"/>
        <w:jc w:val="center"/>
        <w:outlineLvl w:val="0"/>
        <w:rPr>
          <w:rFonts w:hint="eastAsia" w:ascii="Times New Roman" w:hAnsi="Times New Roman" w:eastAsia="宋体" w:cs="Times New Roman"/>
          <w:b/>
          <w:color w:val="auto"/>
          <w:sz w:val="44"/>
          <w:u w:val="none" w:color="auto"/>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120" w:name="_Toc3728161"/>
    </w:p>
    <w:p w14:paraId="365356C6">
      <w:pPr>
        <w:pStyle w:val="2"/>
        <w:bidi w:val="0"/>
        <w:ind w:left="432" w:leftChars="0" w:hanging="432" w:firstLineChars="0"/>
        <w:rPr>
          <w:color w:val="auto"/>
          <w:u w:val="none" w:color="auto"/>
        </w:rPr>
      </w:pPr>
      <w:bookmarkStart w:id="121" w:name="_Toc16062"/>
      <w:r>
        <w:rPr>
          <w:color w:val="auto"/>
          <w:u w:val="none" w:color="auto"/>
        </w:rPr>
        <w:t>工程分析</w:t>
      </w:r>
      <w:bookmarkEnd w:id="120"/>
      <w:bookmarkEnd w:id="121"/>
    </w:p>
    <w:p w14:paraId="6AEC4FD3">
      <w:pPr>
        <w:pStyle w:val="3"/>
        <w:bidi w:val="0"/>
        <w:rPr>
          <w:color w:val="auto"/>
          <w:u w:val="none" w:color="auto"/>
        </w:rPr>
      </w:pPr>
      <w:bookmarkStart w:id="122" w:name="_Toc3728162"/>
      <w:bookmarkStart w:id="123" w:name="_Toc22233"/>
      <w:bookmarkStart w:id="124" w:name="_Toc530130429"/>
      <w:r>
        <w:rPr>
          <w:color w:val="auto"/>
          <w:u w:val="none" w:color="auto"/>
        </w:rPr>
        <w:t>本项目概况</w:t>
      </w:r>
      <w:bookmarkEnd w:id="122"/>
      <w:bookmarkEnd w:id="123"/>
      <w:bookmarkEnd w:id="124"/>
    </w:p>
    <w:p w14:paraId="77093ACC">
      <w:pPr>
        <w:pStyle w:val="4"/>
        <w:bidi w:val="0"/>
        <w:rPr>
          <w:color w:val="auto"/>
          <w:u w:val="none" w:color="auto"/>
        </w:rPr>
      </w:pPr>
      <w:bookmarkStart w:id="125" w:name="_Toc3728163"/>
      <w:r>
        <w:rPr>
          <w:color w:val="auto"/>
          <w:u w:val="none" w:color="auto"/>
        </w:rPr>
        <w:t>基本情况</w:t>
      </w:r>
      <w:bookmarkEnd w:id="125"/>
    </w:p>
    <w:p w14:paraId="3B8E0DD4">
      <w:pPr>
        <w:autoSpaceDE w:val="0"/>
        <w:autoSpaceDN w:val="0"/>
        <w:snapToGrid w:val="0"/>
        <w:spacing w:line="360" w:lineRule="auto"/>
        <w:ind w:firstLine="480" w:firstLineChars="200"/>
        <w:rPr>
          <w:rFonts w:hint="eastAsia" w:ascii="Times New Roman" w:hAnsi="Times New Roman" w:eastAsia="宋体" w:cs="Times New Roman"/>
          <w:color w:val="auto"/>
          <w:kern w:val="0"/>
          <w:sz w:val="24"/>
          <w:szCs w:val="24"/>
          <w:u w:val="none" w:color="auto"/>
          <w:lang w:eastAsia="zh-CN"/>
        </w:rPr>
      </w:pPr>
      <w:bookmarkStart w:id="126" w:name="_Hlk520712517"/>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项目名称：</w:t>
      </w:r>
      <w:r>
        <w:rPr>
          <w:rFonts w:hint="eastAsia" w:ascii="Times New Roman" w:hAnsi="Times New Roman" w:eastAsia="宋体" w:cs="Times New Roman"/>
          <w:color w:val="auto"/>
          <w:kern w:val="0"/>
          <w:sz w:val="24"/>
          <w:szCs w:val="24"/>
          <w:u w:val="none" w:color="auto"/>
          <w:lang w:eastAsia="zh-CN"/>
        </w:rPr>
        <w:t>钦州锦峰海洋重装二期项目</w:t>
      </w:r>
    </w:p>
    <w:p w14:paraId="6471C17B">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（2）建设单位：</w:t>
      </w:r>
      <w:bookmarkStart w:id="127" w:name="_Hlk523146154"/>
      <w:r>
        <w:rPr>
          <w:rFonts w:hint="eastAsia" w:ascii="Times New Roman" w:hAnsi="Times New Roman" w:eastAsia="宋体" w:cs="Times New Roman"/>
          <w:color w:val="auto"/>
          <w:kern w:val="0"/>
          <w:sz w:val="24"/>
          <w:szCs w:val="24"/>
          <w:u w:val="none" w:color="auto"/>
        </w:rPr>
        <w:t>钦州锦峰海洋重工科技有限公司</w:t>
      </w:r>
    </w:p>
    <w:bookmarkEnd w:id="127"/>
    <w:p w14:paraId="2DB4E847">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（3）建设性质：</w:t>
      </w:r>
      <w:r>
        <w:rPr>
          <w:rFonts w:hint="eastAsia" w:ascii="Times New Roman" w:hAnsi="Times New Roman" w:eastAsia="宋体" w:cs="Times New Roman"/>
          <w:color w:val="auto"/>
          <w:kern w:val="0"/>
          <w:sz w:val="24"/>
          <w:szCs w:val="24"/>
          <w:u w:val="none" w:color="auto"/>
        </w:rPr>
        <w:t>新建</w:t>
      </w:r>
    </w:p>
    <w:p w14:paraId="1486095B">
      <w:pPr>
        <w:pStyle w:val="15"/>
        <w:snapToGrid w:val="0"/>
        <w:spacing w:line="360" w:lineRule="auto"/>
        <w:ind w:firstLine="480" w:firstLineChars="200"/>
        <w:rPr>
          <w:rFonts w:hint="default" w:eastAsia="宋体"/>
          <w:color w:val="auto"/>
          <w:kern w:val="0"/>
          <w:sz w:val="24"/>
          <w:u w:val="none" w:color="auto"/>
          <w:vertAlign w:val="baseline"/>
          <w:lang w:val="en-US" w:eastAsia="zh-CN"/>
        </w:rPr>
      </w:pPr>
      <w:r>
        <w:rPr>
          <w:color w:val="auto"/>
          <w:kern w:val="0"/>
          <w:sz w:val="24"/>
          <w:u w:val="none" w:color="auto"/>
        </w:rPr>
        <w:t>（4）</w:t>
      </w:r>
      <w:r>
        <w:rPr>
          <w:rFonts w:hint="eastAsia"/>
          <w:color w:val="auto"/>
          <w:kern w:val="0"/>
          <w:sz w:val="24"/>
          <w:u w:val="none" w:color="auto"/>
        </w:rPr>
        <w:t>占地面积</w:t>
      </w:r>
      <w:r>
        <w:rPr>
          <w:color w:val="auto"/>
          <w:kern w:val="0"/>
          <w:sz w:val="24"/>
          <w:u w:val="none" w:color="auto"/>
        </w:rPr>
        <w:t>：</w:t>
      </w:r>
      <w:bookmarkStart w:id="128" w:name="_Hlk1657350"/>
      <w:r>
        <w:rPr>
          <w:rFonts w:hint="eastAsia"/>
          <w:color w:val="auto"/>
          <w:kern w:val="0"/>
          <w:sz w:val="24"/>
          <w:u w:val="none" w:color="auto"/>
          <w:lang w:eastAsia="zh-CN"/>
        </w:rPr>
        <w:t>167636.32</w:t>
      </w:r>
      <w:r>
        <w:rPr>
          <w:rFonts w:hint="eastAsia"/>
          <w:color w:val="auto"/>
          <w:kern w:val="0"/>
          <w:sz w:val="24"/>
          <w:u w:val="none" w:color="auto"/>
          <w:lang w:val="en-US" w:eastAsia="zh-CN"/>
        </w:rPr>
        <w:t>m</w:t>
      </w:r>
      <w:r>
        <w:rPr>
          <w:rFonts w:hint="eastAsia"/>
          <w:color w:val="auto"/>
          <w:kern w:val="0"/>
          <w:sz w:val="24"/>
          <w:u w:val="none" w:color="auto"/>
          <w:vertAlign w:val="superscript"/>
          <w:lang w:val="en-US" w:eastAsia="zh-CN"/>
        </w:rPr>
        <w:t>2</w:t>
      </w:r>
      <w:r>
        <w:rPr>
          <w:rFonts w:hint="default" w:ascii="Times New Roman" w:hAnsi="Times New Roman" w:eastAsia="宋体" w:cs="Times New Roman"/>
          <w:color w:val="auto"/>
          <w:kern w:val="0"/>
          <w:sz w:val="24"/>
          <w:u w:val="none" w:color="auto"/>
          <w:vertAlign w:val="baseline"/>
          <w:lang w:val="en-US" w:eastAsia="zh-CN"/>
        </w:rPr>
        <w:t>(约</w:t>
      </w:r>
      <w:r>
        <w:rPr>
          <w:rFonts w:hint="default" w:ascii="Times New Roman" w:hAnsi="Times New Roman" w:cs="Times New Roman"/>
          <w:color w:val="auto"/>
          <w:kern w:val="0"/>
          <w:sz w:val="24"/>
          <w:u w:val="none" w:color="auto"/>
          <w:vertAlign w:val="baseline"/>
          <w:lang w:val="en-US" w:eastAsia="zh-CN"/>
        </w:rPr>
        <w:t>251.45</w:t>
      </w:r>
      <w:r>
        <w:rPr>
          <w:rFonts w:hint="default" w:ascii="Times New Roman" w:hAnsi="Times New Roman" w:eastAsia="宋体" w:cs="Times New Roman"/>
          <w:color w:val="auto"/>
          <w:kern w:val="0"/>
          <w:sz w:val="24"/>
          <w:u w:val="none" w:color="auto"/>
          <w:vertAlign w:val="baseline"/>
          <w:lang w:val="en-US" w:eastAsia="zh-CN"/>
        </w:rPr>
        <w:t>亩)</w:t>
      </w:r>
    </w:p>
    <w:bookmarkEnd w:id="128"/>
    <w:p w14:paraId="75BE58B2">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（5）建设地点：</w:t>
      </w:r>
      <w:bookmarkStart w:id="129" w:name="_Hlk1657301"/>
      <w:bookmarkStart w:id="130" w:name="_Hlk530575103"/>
      <w:r>
        <w:rPr>
          <w:rFonts w:hint="eastAsia" w:ascii="Times New Roman" w:hAnsi="Times New Roman" w:eastAsia="宋体" w:cs="Times New Roman"/>
          <w:color w:val="auto"/>
          <w:kern w:val="0"/>
          <w:sz w:val="24"/>
          <w:szCs w:val="24"/>
          <w:u w:val="none" w:color="auto"/>
        </w:rPr>
        <w:t>中国(广西)自由贸易试验区钦州港片区大榄坪二号路西面、中船规划支路北侧和南侧</w:t>
      </w:r>
      <w:r>
        <w:rPr>
          <w:rFonts w:ascii="Times New Roman" w:hAnsi="Times New Roman" w:eastAsia="宋体" w:cs="Times New Roman"/>
          <w:color w:val="auto"/>
          <w:kern w:val="0"/>
          <w:sz w:val="24"/>
          <w:szCs w:val="24"/>
          <w:u w:val="none" w:color="auto"/>
        </w:rPr>
        <w:t>，</w:t>
      </w:r>
      <w:bookmarkStart w:id="131" w:name="_Hlk530575123"/>
      <w:r>
        <w:rPr>
          <w:rFonts w:ascii="Times New Roman" w:hAnsi="Times New Roman" w:eastAsia="宋体" w:cs="Times New Roman"/>
          <w:color w:val="auto"/>
          <w:kern w:val="0"/>
          <w:sz w:val="24"/>
          <w:szCs w:val="24"/>
          <w:u w:val="none" w:color="auto"/>
        </w:rPr>
        <w:t>地理坐标N</w:t>
      </w:r>
      <w:r>
        <w:rPr>
          <w:rFonts w:hint="eastAsia" w:ascii="Times New Roman" w:hAnsi="Times New Roman" w:eastAsia="宋体" w:cs="Times New Roman"/>
          <w:color w:val="auto"/>
          <w:kern w:val="0"/>
          <w:sz w:val="24"/>
          <w:szCs w:val="24"/>
          <w:u w:val="none" w:color="auto"/>
        </w:rPr>
        <w:t>21.719</w:t>
      </w:r>
      <w:r>
        <w:rPr>
          <w:rFonts w:hint="eastAsia" w:ascii="Times New Roman" w:hAnsi="Times New Roman" w:eastAsia="宋体" w:cs="Times New Roman"/>
          <w:color w:val="auto"/>
          <w:kern w:val="0"/>
          <w:sz w:val="24"/>
          <w:szCs w:val="24"/>
          <w:u w:val="none" w:color="auto"/>
          <w:lang w:val="en-US" w:eastAsia="zh-CN"/>
        </w:rPr>
        <w:t>7</w:t>
      </w:r>
      <w:r>
        <w:rPr>
          <w:rFonts w:ascii="Times New Roman" w:hAnsi="Times New Roman" w:eastAsia="宋体" w:cs="Times New Roman"/>
          <w:color w:val="auto"/>
          <w:kern w:val="0"/>
          <w:sz w:val="24"/>
          <w:szCs w:val="24"/>
          <w:u w:val="none" w:color="auto"/>
        </w:rPr>
        <w:t>°、E</w:t>
      </w:r>
      <w:r>
        <w:rPr>
          <w:rFonts w:hint="eastAsia" w:ascii="Times New Roman" w:hAnsi="Times New Roman" w:eastAsia="宋体" w:cs="Times New Roman"/>
          <w:color w:val="auto"/>
          <w:kern w:val="0"/>
          <w:sz w:val="24"/>
          <w:szCs w:val="24"/>
          <w:u w:val="none" w:color="auto"/>
        </w:rPr>
        <w:t>108.6473</w:t>
      </w:r>
      <w:r>
        <w:rPr>
          <w:rFonts w:ascii="Times New Roman" w:hAnsi="Times New Roman" w:eastAsia="宋体" w:cs="Times New Roman"/>
          <w:color w:val="auto"/>
          <w:kern w:val="0"/>
          <w:sz w:val="24"/>
          <w:szCs w:val="24"/>
          <w:u w:val="none" w:color="auto"/>
        </w:rPr>
        <w:t>°。</w:t>
      </w:r>
      <w:bookmarkEnd w:id="129"/>
    </w:p>
    <w:bookmarkEnd w:id="130"/>
    <w:bookmarkEnd w:id="131"/>
    <w:p w14:paraId="552C6282">
      <w:pPr>
        <w:autoSpaceDE w:val="0"/>
        <w:autoSpaceDN w:val="0"/>
        <w:snapToGrid w:val="0"/>
        <w:spacing w:line="360" w:lineRule="auto"/>
        <w:ind w:firstLine="480" w:firstLineChars="200"/>
        <w:rPr>
          <w:rFonts w:hint="default" w:ascii="Times New Roman" w:hAnsi="Times New Roman" w:eastAsia="宋体" w:cs="Times New Roman"/>
          <w:color w:val="auto"/>
          <w:kern w:val="0"/>
          <w:sz w:val="24"/>
          <w:szCs w:val="24"/>
          <w:u w:val="none" w:color="auto"/>
          <w:lang w:val="en-US" w:eastAsia="zh-CN"/>
        </w:rPr>
      </w:pPr>
      <w:r>
        <w:rPr>
          <w:rFonts w:hint="eastAsia" w:ascii="Times New Roman" w:hAnsi="Times New Roman" w:eastAsia="宋体" w:cs="Times New Roman"/>
          <w:color w:val="auto"/>
          <w:kern w:val="0"/>
          <w:sz w:val="24"/>
          <w:szCs w:val="24"/>
          <w:u w:val="none" w:color="auto"/>
          <w:lang w:eastAsia="zh-CN"/>
        </w:rPr>
        <w:t>（</w:t>
      </w:r>
      <w:r>
        <w:rPr>
          <w:rFonts w:hint="eastAsia" w:ascii="Times New Roman" w:hAnsi="Times New Roman" w:eastAsia="宋体" w:cs="Times New Roman"/>
          <w:color w:val="auto"/>
          <w:kern w:val="0"/>
          <w:sz w:val="24"/>
          <w:szCs w:val="24"/>
          <w:u w:val="none" w:color="auto"/>
          <w:lang w:val="en-US" w:eastAsia="zh-CN"/>
        </w:rPr>
        <w:t>6</w:t>
      </w:r>
      <w:r>
        <w:rPr>
          <w:rFonts w:hint="eastAsia" w:ascii="Times New Roman" w:hAnsi="Times New Roman" w:eastAsia="宋体" w:cs="Times New Roman"/>
          <w:color w:val="auto"/>
          <w:kern w:val="0"/>
          <w:sz w:val="24"/>
          <w:szCs w:val="24"/>
          <w:u w:val="none" w:color="auto"/>
          <w:lang w:eastAsia="zh-CN"/>
        </w:rPr>
        <w:t>）</w:t>
      </w:r>
      <w:r>
        <w:rPr>
          <w:rFonts w:hint="eastAsia" w:ascii="Times New Roman" w:hAnsi="Times New Roman" w:eastAsia="宋体" w:cs="Times New Roman"/>
          <w:color w:val="auto"/>
          <w:kern w:val="0"/>
          <w:sz w:val="24"/>
          <w:szCs w:val="24"/>
          <w:u w:val="none" w:color="auto"/>
          <w:lang w:val="en-US" w:eastAsia="zh-CN"/>
        </w:rPr>
        <w:t>建设规模：项目年产70000t/a海桩、40000t/a导管架、50000t/a桥梁；</w:t>
      </w:r>
    </w:p>
    <w:p w14:paraId="0B1A985F">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lang w:val="en-US" w:eastAsia="zh-CN"/>
        </w:rPr>
        <w:t>7</w:t>
      </w:r>
      <w:r>
        <w:rPr>
          <w:rFonts w:ascii="Times New Roman" w:hAnsi="Times New Roman" w:eastAsia="宋体" w:cs="Times New Roman"/>
          <w:color w:val="auto"/>
          <w:kern w:val="0"/>
          <w:sz w:val="24"/>
          <w:szCs w:val="24"/>
          <w:u w:val="none" w:color="auto"/>
        </w:rPr>
        <w:t>）职工人数及生产制度：职工</w:t>
      </w:r>
      <w:r>
        <w:rPr>
          <w:rFonts w:hint="eastAsia" w:ascii="Times New Roman" w:hAnsi="Times New Roman" w:eastAsia="宋体" w:cs="Times New Roman"/>
          <w:color w:val="auto"/>
          <w:kern w:val="0"/>
          <w:sz w:val="24"/>
          <w:szCs w:val="24"/>
          <w:u w:val="none" w:color="auto"/>
        </w:rPr>
        <w:t>150</w:t>
      </w:r>
      <w:r>
        <w:rPr>
          <w:rFonts w:ascii="Times New Roman" w:hAnsi="Times New Roman" w:eastAsia="宋体" w:cs="Times New Roman"/>
          <w:color w:val="auto"/>
          <w:kern w:val="0"/>
          <w:sz w:val="24"/>
          <w:szCs w:val="24"/>
          <w:u w:val="none" w:color="auto"/>
        </w:rPr>
        <w:t>人，年工作3</w:t>
      </w:r>
      <w:r>
        <w:rPr>
          <w:rFonts w:hint="eastAsia" w:ascii="Times New Roman" w:hAnsi="Times New Roman" w:eastAsia="宋体" w:cs="Times New Roman"/>
          <w:color w:val="auto"/>
          <w:kern w:val="0"/>
          <w:sz w:val="24"/>
          <w:szCs w:val="24"/>
          <w:u w:val="none" w:color="auto"/>
        </w:rPr>
        <w:t>3</w:t>
      </w:r>
      <w:r>
        <w:rPr>
          <w:rFonts w:ascii="Times New Roman" w:hAnsi="Times New Roman" w:eastAsia="宋体" w:cs="Times New Roman"/>
          <w:color w:val="auto"/>
          <w:kern w:val="0"/>
          <w:sz w:val="24"/>
          <w:szCs w:val="24"/>
          <w:u w:val="none" w:color="auto"/>
        </w:rPr>
        <w:t>0天，</w:t>
      </w:r>
      <w:r>
        <w:rPr>
          <w:rFonts w:hint="eastAsia" w:ascii="Times New Roman" w:hAnsi="Times New Roman" w:eastAsia="宋体" w:cs="Times New Roman"/>
          <w:color w:val="auto"/>
          <w:kern w:val="0"/>
          <w:sz w:val="24"/>
          <w:szCs w:val="24"/>
          <w:u w:val="none" w:color="auto"/>
        </w:rPr>
        <w:t>三班制，</w:t>
      </w:r>
      <w:r>
        <w:rPr>
          <w:rFonts w:ascii="Times New Roman" w:hAnsi="Times New Roman" w:eastAsia="宋体" w:cs="Times New Roman"/>
          <w:color w:val="auto"/>
          <w:kern w:val="0"/>
          <w:sz w:val="24"/>
          <w:szCs w:val="24"/>
          <w:u w:val="none" w:color="auto"/>
        </w:rPr>
        <w:t>每天生产</w:t>
      </w:r>
      <w:r>
        <w:rPr>
          <w:rFonts w:hint="eastAsia" w:ascii="Times New Roman" w:hAnsi="Times New Roman" w:eastAsia="宋体" w:cs="Times New Roman"/>
          <w:color w:val="auto"/>
          <w:kern w:val="0"/>
          <w:sz w:val="24"/>
          <w:szCs w:val="24"/>
          <w:u w:val="none" w:color="auto"/>
        </w:rPr>
        <w:t>24</w:t>
      </w:r>
      <w:r>
        <w:rPr>
          <w:rFonts w:ascii="Times New Roman" w:hAnsi="Times New Roman" w:eastAsia="宋体" w:cs="Times New Roman"/>
          <w:color w:val="auto"/>
          <w:kern w:val="0"/>
          <w:sz w:val="24"/>
          <w:szCs w:val="24"/>
          <w:u w:val="none" w:color="auto"/>
        </w:rPr>
        <w:t>小时</w:t>
      </w:r>
      <w:r>
        <w:rPr>
          <w:rFonts w:hint="eastAsia" w:ascii="Times New Roman" w:hAnsi="Times New Roman" w:eastAsia="宋体" w:cs="Times New Roman"/>
          <w:color w:val="auto"/>
          <w:kern w:val="0"/>
          <w:sz w:val="24"/>
          <w:szCs w:val="24"/>
          <w:u w:val="none" w:color="auto"/>
        </w:rPr>
        <w:t>，均在厂内食宿</w:t>
      </w:r>
      <w:r>
        <w:rPr>
          <w:rFonts w:ascii="Times New Roman" w:hAnsi="Times New Roman" w:eastAsia="宋体" w:cs="Times New Roman"/>
          <w:color w:val="auto"/>
          <w:kern w:val="0"/>
          <w:sz w:val="24"/>
          <w:szCs w:val="24"/>
          <w:u w:val="none" w:color="auto"/>
        </w:rPr>
        <w:t>。</w:t>
      </w:r>
    </w:p>
    <w:p w14:paraId="25AEE8ED">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lang w:val="en-US" w:eastAsia="zh-CN"/>
        </w:rPr>
        <w:t>8</w:t>
      </w:r>
      <w:r>
        <w:rPr>
          <w:rFonts w:ascii="Times New Roman" w:hAnsi="Times New Roman" w:eastAsia="宋体" w:cs="Times New Roman"/>
          <w:color w:val="auto"/>
          <w:kern w:val="0"/>
          <w:sz w:val="24"/>
          <w:szCs w:val="24"/>
          <w:u w:val="none" w:color="auto"/>
        </w:rPr>
        <w:t>）总投资：</w:t>
      </w:r>
      <w:bookmarkStart w:id="132" w:name="_Hlk536362106"/>
      <w:r>
        <w:rPr>
          <w:rFonts w:ascii="Times New Roman" w:hAnsi="Times New Roman" w:eastAsia="宋体" w:cs="Times New Roman"/>
          <w:color w:val="auto"/>
          <w:kern w:val="0"/>
          <w:sz w:val="24"/>
          <w:szCs w:val="24"/>
          <w:u w:val="none" w:color="auto"/>
        </w:rPr>
        <w:t>总投资</w:t>
      </w:r>
      <w:bookmarkStart w:id="133" w:name="_Hlk1657327"/>
      <w:r>
        <w:rPr>
          <w:rFonts w:hint="eastAsia" w:ascii="Times New Roman" w:hAnsi="Times New Roman" w:eastAsia="宋体" w:cs="Times New Roman"/>
          <w:color w:val="auto"/>
          <w:kern w:val="0"/>
          <w:sz w:val="24"/>
          <w:szCs w:val="24"/>
          <w:u w:val="none" w:color="auto"/>
          <w:lang w:eastAsia="zh-CN"/>
        </w:rPr>
        <w:t>51250</w:t>
      </w:r>
      <w:r>
        <w:rPr>
          <w:rFonts w:ascii="Times New Roman" w:hAnsi="Times New Roman" w:eastAsia="宋体" w:cs="Times New Roman"/>
          <w:color w:val="auto"/>
          <w:kern w:val="0"/>
          <w:sz w:val="24"/>
          <w:szCs w:val="24"/>
          <w:u w:val="none" w:color="auto"/>
        </w:rPr>
        <w:t>万元</w:t>
      </w:r>
      <w:bookmarkEnd w:id="133"/>
      <w:r>
        <w:rPr>
          <w:rFonts w:ascii="Times New Roman" w:hAnsi="Times New Roman" w:eastAsia="宋体" w:cs="Times New Roman"/>
          <w:color w:val="auto"/>
          <w:kern w:val="0"/>
          <w:sz w:val="24"/>
          <w:szCs w:val="24"/>
          <w:u w:val="none" w:color="auto"/>
        </w:rPr>
        <w:t>，其中环保投资</w:t>
      </w:r>
      <w:r>
        <w:rPr>
          <w:rFonts w:hint="eastAsia" w:ascii="Times New Roman" w:hAnsi="Times New Roman" w:eastAsia="宋体" w:cs="Times New Roman"/>
          <w:color w:val="auto"/>
          <w:kern w:val="0"/>
          <w:sz w:val="24"/>
          <w:szCs w:val="24"/>
          <w:u w:val="none" w:color="auto"/>
          <w:lang w:val="en-US" w:eastAsia="zh-CN"/>
        </w:rPr>
        <w:t>520</w:t>
      </w:r>
      <w:r>
        <w:rPr>
          <w:rFonts w:ascii="Times New Roman" w:hAnsi="Times New Roman" w:eastAsia="宋体" w:cs="Times New Roman"/>
          <w:color w:val="auto"/>
          <w:kern w:val="0"/>
          <w:sz w:val="24"/>
          <w:szCs w:val="24"/>
          <w:u w:val="none" w:color="auto"/>
        </w:rPr>
        <w:t>万元，环保投资占总投资约</w:t>
      </w:r>
      <w:r>
        <w:rPr>
          <w:rFonts w:hint="eastAsia" w:ascii="Times New Roman" w:hAnsi="Times New Roman" w:eastAsia="宋体" w:cs="Times New Roman"/>
          <w:color w:val="auto"/>
          <w:kern w:val="0"/>
          <w:sz w:val="24"/>
          <w:szCs w:val="24"/>
          <w:u w:val="none" w:color="auto"/>
          <w:lang w:val="en-US" w:eastAsia="zh-CN"/>
        </w:rPr>
        <w:t>1.01</w:t>
      </w:r>
      <w:r>
        <w:rPr>
          <w:rFonts w:hint="eastAsia" w:ascii="Times New Roman" w:hAnsi="Times New Roman" w:eastAsia="宋体" w:cs="Times New Roman"/>
          <w:color w:val="auto"/>
          <w:kern w:val="0"/>
          <w:sz w:val="24"/>
          <w:szCs w:val="24"/>
          <w:u w:val="none" w:color="auto"/>
          <w:lang w:eastAsia="zh-CN"/>
        </w:rPr>
        <w:t>%</w:t>
      </w:r>
      <w:r>
        <w:rPr>
          <w:rFonts w:ascii="Times New Roman" w:hAnsi="Times New Roman" w:eastAsia="宋体" w:cs="Times New Roman"/>
          <w:color w:val="auto"/>
          <w:kern w:val="0"/>
          <w:sz w:val="24"/>
          <w:szCs w:val="24"/>
          <w:u w:val="none" w:color="auto"/>
        </w:rPr>
        <w:t>。</w:t>
      </w:r>
    </w:p>
    <w:bookmarkEnd w:id="132"/>
    <w:p w14:paraId="3449B776">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single" w:color="auto"/>
        </w:rPr>
      </w:pPr>
      <w:r>
        <w:rPr>
          <w:rFonts w:ascii="Times New Roman" w:hAnsi="Times New Roman" w:eastAsia="宋体"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9</w:t>
      </w:r>
      <w:r>
        <w:rPr>
          <w:rFonts w:ascii="Times New Roman" w:hAnsi="Times New Roman" w:eastAsia="宋体" w:cs="Times New Roman"/>
          <w:color w:val="auto"/>
          <w:kern w:val="0"/>
          <w:sz w:val="24"/>
          <w:szCs w:val="24"/>
          <w:u w:val="single" w:color="auto"/>
        </w:rPr>
        <w:t>）建设周期：预计</w:t>
      </w:r>
      <w:r>
        <w:rPr>
          <w:rFonts w:hint="eastAsia" w:ascii="Times New Roman" w:hAnsi="Times New Roman" w:eastAsia="宋体" w:cs="Times New Roman"/>
          <w:color w:val="auto"/>
          <w:kern w:val="0"/>
          <w:sz w:val="24"/>
          <w:szCs w:val="24"/>
          <w:u w:val="single" w:color="auto"/>
          <w:lang w:val="en-US" w:eastAsia="zh-CN"/>
        </w:rPr>
        <w:t>施工时间为2025年10月，投产时间为</w:t>
      </w:r>
      <w:r>
        <w:rPr>
          <w:rFonts w:ascii="Times New Roman" w:hAnsi="Times New Roman" w:eastAsia="宋体" w:cs="Times New Roman"/>
          <w:color w:val="auto"/>
          <w:kern w:val="0"/>
          <w:sz w:val="24"/>
          <w:szCs w:val="24"/>
          <w:u w:val="single" w:color="auto"/>
        </w:rPr>
        <w:t>20</w:t>
      </w:r>
      <w:r>
        <w:rPr>
          <w:rFonts w:hint="eastAsia" w:ascii="Times New Roman" w:hAnsi="Times New Roman" w:eastAsia="宋体" w:cs="Times New Roman"/>
          <w:color w:val="auto"/>
          <w:kern w:val="0"/>
          <w:sz w:val="24"/>
          <w:szCs w:val="24"/>
          <w:u w:val="single" w:color="auto"/>
          <w:lang w:val="en-US" w:eastAsia="zh-CN"/>
        </w:rPr>
        <w:t>26</w:t>
      </w:r>
      <w:r>
        <w:rPr>
          <w:rFonts w:ascii="Times New Roman" w:hAnsi="Times New Roman" w:eastAsia="宋体" w:cs="Times New Roman"/>
          <w:color w:val="auto"/>
          <w:kern w:val="0"/>
          <w:sz w:val="24"/>
          <w:szCs w:val="24"/>
          <w:u w:val="single" w:color="auto"/>
        </w:rPr>
        <w:t>年</w:t>
      </w:r>
      <w:r>
        <w:rPr>
          <w:rFonts w:hint="eastAsia" w:ascii="Times New Roman" w:hAnsi="Times New Roman" w:eastAsia="宋体" w:cs="Times New Roman"/>
          <w:color w:val="auto"/>
          <w:kern w:val="0"/>
          <w:sz w:val="24"/>
          <w:szCs w:val="24"/>
          <w:u w:val="single" w:color="auto"/>
          <w:lang w:val="en-US" w:eastAsia="zh-CN"/>
        </w:rPr>
        <w:t>10</w:t>
      </w:r>
      <w:r>
        <w:rPr>
          <w:rFonts w:ascii="Times New Roman" w:hAnsi="Times New Roman" w:eastAsia="宋体" w:cs="Times New Roman"/>
          <w:color w:val="auto"/>
          <w:kern w:val="0"/>
          <w:sz w:val="24"/>
          <w:szCs w:val="24"/>
          <w:u w:val="single" w:color="auto"/>
        </w:rPr>
        <w:t>月投产。</w:t>
      </w:r>
    </w:p>
    <w:bookmarkEnd w:id="126"/>
    <w:p w14:paraId="208508AA">
      <w:pPr>
        <w:pStyle w:val="4"/>
        <w:bidi w:val="0"/>
        <w:rPr>
          <w:color w:val="auto"/>
          <w:u w:val="none" w:color="auto"/>
        </w:rPr>
      </w:pPr>
      <w:bookmarkStart w:id="134" w:name="_Toc3728164"/>
      <w:r>
        <w:rPr>
          <w:color w:val="auto"/>
          <w:u w:val="none" w:color="auto"/>
        </w:rPr>
        <w:t>主要工程项目组成及主要建构筑物</w:t>
      </w:r>
      <w:bookmarkEnd w:id="134"/>
    </w:p>
    <w:p w14:paraId="588672BA">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项目建设内容主要包括</w:t>
      </w:r>
      <w:r>
        <w:rPr>
          <w:rFonts w:hint="eastAsia" w:ascii="Times New Roman" w:hAnsi="Times New Roman" w:eastAsia="宋体" w:cs="Times New Roman"/>
          <w:color w:val="auto"/>
          <w:sz w:val="24"/>
          <w:szCs w:val="24"/>
          <w:u w:val="none" w:color="auto"/>
          <w:lang w:val="en-US" w:eastAsia="zh-CN"/>
        </w:rPr>
        <w:t>装焊车间</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涂装</w:t>
      </w:r>
      <w:r>
        <w:rPr>
          <w:rFonts w:hint="eastAsia" w:ascii="Times New Roman" w:hAnsi="Times New Roman" w:eastAsia="宋体" w:cs="Times New Roman"/>
          <w:color w:val="auto"/>
          <w:sz w:val="24"/>
          <w:szCs w:val="24"/>
          <w:u w:val="none" w:color="auto"/>
        </w:rPr>
        <w:t>车间</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倒班宿舍</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研发楼</w:t>
      </w:r>
      <w:r>
        <w:rPr>
          <w:rFonts w:hint="eastAsia" w:ascii="Times New Roman" w:hAnsi="Times New Roman" w:eastAsia="宋体" w:cs="Times New Roman"/>
          <w:color w:val="auto"/>
          <w:sz w:val="24"/>
          <w:szCs w:val="24"/>
          <w:u w:val="none" w:color="auto"/>
        </w:rPr>
        <w:t>及</w:t>
      </w:r>
      <w:r>
        <w:rPr>
          <w:rFonts w:hint="eastAsia" w:ascii="Times New Roman" w:hAnsi="Times New Roman" w:eastAsia="宋体" w:cs="Times New Roman"/>
          <w:color w:val="auto"/>
          <w:sz w:val="24"/>
          <w:szCs w:val="24"/>
          <w:u w:val="none" w:color="auto"/>
          <w:lang w:val="en-US" w:eastAsia="zh-CN"/>
        </w:rPr>
        <w:t>成品堆场</w:t>
      </w:r>
      <w:r>
        <w:rPr>
          <w:rFonts w:ascii="Times New Roman" w:hAnsi="Times New Roman" w:eastAsia="宋体" w:cs="Times New Roman"/>
          <w:color w:val="auto"/>
          <w:sz w:val="24"/>
          <w:szCs w:val="24"/>
          <w:u w:val="none" w:color="auto"/>
        </w:rPr>
        <w:t>及其他配套设施</w:t>
      </w:r>
      <w:r>
        <w:rPr>
          <w:rFonts w:hint="eastAsia" w:ascii="Times New Roman" w:hAnsi="Times New Roman" w:eastAsia="宋体" w:cs="Times New Roman"/>
          <w:color w:val="auto"/>
          <w:sz w:val="24"/>
          <w:szCs w:val="24"/>
          <w:u w:val="none" w:color="auto"/>
        </w:rPr>
        <w:t>等</w:t>
      </w:r>
      <w:r>
        <w:rPr>
          <w:rFonts w:ascii="Times New Roman" w:hAnsi="Times New Roman" w:eastAsia="宋体" w:cs="Times New Roman"/>
          <w:color w:val="auto"/>
          <w:sz w:val="24"/>
          <w:szCs w:val="24"/>
          <w:u w:val="none" w:color="auto"/>
        </w:rPr>
        <w:t>。</w:t>
      </w:r>
    </w:p>
    <w:p w14:paraId="25533DB4">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项目主要建设内容见表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1</w:t>
      </w:r>
      <w:r>
        <w:rPr>
          <w:rFonts w:ascii="Times New Roman" w:hAnsi="Times New Roman" w:eastAsia="宋体" w:cs="Times New Roman"/>
          <w:color w:val="auto"/>
          <w:sz w:val="24"/>
          <w:szCs w:val="24"/>
          <w:u w:val="none" w:color="auto"/>
        </w:rPr>
        <w:t>。</w:t>
      </w:r>
    </w:p>
    <w:p w14:paraId="1D628A51">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 xml:space="preserve">表2.1-1 </w:t>
      </w:r>
      <w:r>
        <w:rPr>
          <w:rFonts w:hint="eastAsia" w:ascii="Times New Roman" w:hAnsi="Times New Roman" w:eastAsia="宋体" w:cs="Times New Roman"/>
          <w:b/>
          <w:bCs/>
          <w:color w:val="auto"/>
          <w:sz w:val="24"/>
          <w:szCs w:val="24"/>
          <w:u w:val="none" w:color="auto"/>
        </w:rPr>
        <w:t>项目建设内容一览表</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675"/>
        <w:gridCol w:w="1064"/>
        <w:gridCol w:w="6304"/>
      </w:tblGrid>
      <w:tr w14:paraId="027C8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Align w:val="center"/>
          </w:tcPr>
          <w:p w14:paraId="505ED26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675" w:type="dxa"/>
            <w:vAlign w:val="center"/>
          </w:tcPr>
          <w:p w14:paraId="339691F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工程类别</w:t>
            </w:r>
          </w:p>
        </w:tc>
        <w:tc>
          <w:tcPr>
            <w:tcW w:w="1064" w:type="dxa"/>
            <w:vAlign w:val="center"/>
          </w:tcPr>
          <w:p w14:paraId="29E241D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组成内容</w:t>
            </w:r>
          </w:p>
        </w:tc>
        <w:tc>
          <w:tcPr>
            <w:tcW w:w="6304" w:type="dxa"/>
            <w:vAlign w:val="center"/>
          </w:tcPr>
          <w:p w14:paraId="762EB1DC">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建设内容及规模</w:t>
            </w:r>
          </w:p>
        </w:tc>
      </w:tr>
      <w:tr w14:paraId="44C07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restart"/>
            <w:vAlign w:val="center"/>
          </w:tcPr>
          <w:p w14:paraId="504C3B7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675" w:type="dxa"/>
            <w:vMerge w:val="restart"/>
            <w:vAlign w:val="center"/>
          </w:tcPr>
          <w:p w14:paraId="6BC9C406">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主体工程</w:t>
            </w:r>
          </w:p>
        </w:tc>
        <w:tc>
          <w:tcPr>
            <w:tcW w:w="1064" w:type="dxa"/>
            <w:vAlign w:val="center"/>
          </w:tcPr>
          <w:p w14:paraId="18B1EF35">
            <w:pPr>
              <w:snapToGrid w:val="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装焊车间</w:t>
            </w:r>
          </w:p>
        </w:tc>
        <w:tc>
          <w:tcPr>
            <w:tcW w:w="6304" w:type="dxa"/>
            <w:vAlign w:val="center"/>
          </w:tcPr>
          <w:p w14:paraId="402240F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1层，钢结构，高</w:t>
            </w:r>
            <w:r>
              <w:rPr>
                <w:rFonts w:hint="eastAsia" w:ascii="Times New Roman" w:hAnsi="Times New Roman" w:eastAsia="宋体" w:cs="Times New Roman"/>
                <w:color w:val="auto"/>
                <w:szCs w:val="21"/>
                <w:u w:val="single" w:color="auto"/>
                <w:lang w:val="en-US" w:eastAsia="zh-CN"/>
              </w:rPr>
              <w:t>23.95</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lang w:val="en-US" w:eastAsia="zh-CN"/>
              </w:rPr>
              <w:t>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40993.84</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40993.84</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，主要进行</w:t>
            </w:r>
            <w:r>
              <w:rPr>
                <w:rFonts w:hint="eastAsia" w:ascii="Times New Roman" w:hAnsi="Times New Roman" w:eastAsia="宋体" w:cs="Times New Roman"/>
                <w:color w:val="auto"/>
                <w:szCs w:val="21"/>
                <w:u w:val="single" w:color="auto"/>
                <w:lang w:val="en-US" w:eastAsia="zh-CN"/>
              </w:rPr>
              <w:t>海桩、</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等</w:t>
            </w:r>
            <w:r>
              <w:rPr>
                <w:rFonts w:hint="eastAsia" w:ascii="Times New Roman" w:hAnsi="Times New Roman" w:eastAsia="宋体" w:cs="Times New Roman"/>
                <w:color w:val="auto"/>
                <w:szCs w:val="21"/>
                <w:u w:val="single" w:color="auto"/>
              </w:rPr>
              <w:t>机加工、焊接、组装等工序；内设一般固废暂存间</w:t>
            </w:r>
            <w:r>
              <w:rPr>
                <w:rFonts w:hint="eastAsia" w:ascii="Times New Roman" w:hAnsi="Times New Roman" w:eastAsia="宋体" w:cs="Times New Roman"/>
                <w:color w:val="auto"/>
                <w:szCs w:val="21"/>
                <w:u w:val="single" w:color="auto"/>
                <w:lang w:val="en-US" w:eastAsia="zh-CN"/>
              </w:rPr>
              <w:t>10</w:t>
            </w:r>
            <w:r>
              <w:rPr>
                <w:rFonts w:hint="eastAsia" w:ascii="Times New Roman" w:hAnsi="Times New Roman" w:eastAsia="宋体" w:cs="Times New Roman"/>
                <w:color w:val="auto"/>
                <w:szCs w:val="21"/>
                <w:u w:val="single" w:color="auto"/>
              </w:rPr>
              <w:t>0m</w:t>
            </w:r>
            <w:r>
              <w:rPr>
                <w:rFonts w:hint="eastAsia" w:ascii="Times New Roman" w:hAnsi="Times New Roman" w:eastAsia="宋体" w:cs="Times New Roman"/>
                <w:color w:val="auto"/>
                <w:szCs w:val="21"/>
                <w:u w:val="single" w:color="auto"/>
                <w:vertAlign w:val="superscript"/>
              </w:rPr>
              <w:t>2</w:t>
            </w:r>
          </w:p>
        </w:tc>
      </w:tr>
      <w:tr w14:paraId="78C6F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479" w:type="dxa"/>
            <w:vMerge w:val="continue"/>
            <w:vAlign w:val="center"/>
          </w:tcPr>
          <w:p w14:paraId="535B59E4">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1796FBF7">
            <w:pPr>
              <w:snapToGrid w:val="0"/>
              <w:jc w:val="center"/>
              <w:rPr>
                <w:rFonts w:ascii="Times New Roman" w:hAnsi="Times New Roman" w:eastAsia="宋体" w:cs="Times New Roman"/>
                <w:color w:val="auto"/>
                <w:szCs w:val="21"/>
                <w:u w:val="single" w:color="auto"/>
              </w:rPr>
            </w:pPr>
          </w:p>
        </w:tc>
        <w:tc>
          <w:tcPr>
            <w:tcW w:w="1064" w:type="dxa"/>
            <w:vAlign w:val="center"/>
          </w:tcPr>
          <w:p w14:paraId="6102F3A6">
            <w:pPr>
              <w:snapToGrid w:val="0"/>
              <w:jc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涂装车间</w:t>
            </w:r>
          </w:p>
        </w:tc>
        <w:tc>
          <w:tcPr>
            <w:tcW w:w="6304" w:type="dxa"/>
            <w:vAlign w:val="center"/>
          </w:tcPr>
          <w:p w14:paraId="0BB774CF">
            <w:pPr>
              <w:snapToGrid w:val="0"/>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1层，钢结构，高</w:t>
            </w:r>
            <w:r>
              <w:rPr>
                <w:rFonts w:hint="eastAsia" w:ascii="Times New Roman" w:hAnsi="Times New Roman" w:eastAsia="宋体" w:cs="Times New Roman"/>
                <w:color w:val="auto"/>
                <w:szCs w:val="21"/>
                <w:u w:val="single" w:color="auto"/>
                <w:lang w:val="en-US" w:eastAsia="zh-CN"/>
              </w:rPr>
              <w:t>21.616</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lang w:val="en-US" w:eastAsia="zh-CN"/>
              </w:rPr>
              <w:t>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15077.19</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15077.19</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，主要</w:t>
            </w:r>
            <w:r>
              <w:rPr>
                <w:rFonts w:hint="eastAsia" w:ascii="Times New Roman" w:hAnsi="Times New Roman" w:eastAsia="宋体" w:cs="Times New Roman"/>
                <w:color w:val="auto"/>
                <w:szCs w:val="21"/>
                <w:u w:val="single" w:color="auto"/>
                <w:lang w:val="en-US" w:eastAsia="zh-CN"/>
              </w:rPr>
              <w:t>进行打磨、</w:t>
            </w:r>
            <w:r>
              <w:rPr>
                <w:rFonts w:hint="eastAsia" w:ascii="Times New Roman" w:hAnsi="Times New Roman" w:eastAsia="宋体" w:cs="Times New Roman"/>
                <w:color w:val="auto"/>
                <w:kern w:val="0"/>
                <w:szCs w:val="21"/>
                <w:u w:val="single" w:color="auto"/>
                <w:lang w:val="en-US" w:eastAsia="zh-CN" w:bidi="ar"/>
              </w:rPr>
              <w:t>涂装、</w:t>
            </w:r>
            <w:r>
              <w:rPr>
                <w:rFonts w:hint="eastAsia" w:ascii="Times New Roman" w:hAnsi="Times New Roman" w:eastAsia="宋体" w:cs="Times New Roman"/>
                <w:color w:val="auto"/>
                <w:szCs w:val="21"/>
                <w:u w:val="single" w:color="auto"/>
                <w:lang w:val="en-US" w:eastAsia="zh-CN"/>
              </w:rPr>
              <w:t>总拼</w:t>
            </w:r>
            <w:r>
              <w:rPr>
                <w:rFonts w:hint="eastAsia" w:ascii="Times New Roman" w:hAnsi="Times New Roman" w:eastAsia="宋体" w:cs="Times New Roman"/>
                <w:color w:val="auto"/>
                <w:szCs w:val="21"/>
                <w:u w:val="single" w:color="auto"/>
              </w:rPr>
              <w:t>等工序</w:t>
            </w:r>
          </w:p>
        </w:tc>
      </w:tr>
      <w:tr w14:paraId="4AF5A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9" w:type="dxa"/>
            <w:vMerge w:val="restart"/>
            <w:vAlign w:val="center"/>
          </w:tcPr>
          <w:p w14:paraId="4F1EE5A2">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eastAsia="zh-CN"/>
              </w:rPr>
              <w:t>2</w:t>
            </w:r>
          </w:p>
        </w:tc>
        <w:tc>
          <w:tcPr>
            <w:tcW w:w="675" w:type="dxa"/>
            <w:vMerge w:val="restart"/>
            <w:vAlign w:val="center"/>
          </w:tcPr>
          <w:p w14:paraId="508C5B9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储运工程</w:t>
            </w:r>
          </w:p>
        </w:tc>
        <w:tc>
          <w:tcPr>
            <w:tcW w:w="1064" w:type="dxa"/>
            <w:shd w:val="clear" w:color="auto" w:fill="auto"/>
            <w:vAlign w:val="center"/>
          </w:tcPr>
          <w:p w14:paraId="0DFA3382">
            <w:pPr>
              <w:snapToGrid w:val="0"/>
              <w:jc w:val="center"/>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Cs w:val="21"/>
                <w:u w:val="single" w:color="auto"/>
                <w:lang w:val="en-US" w:eastAsia="zh-CN"/>
              </w:rPr>
              <w:t>卸货场地</w:t>
            </w:r>
          </w:p>
        </w:tc>
        <w:tc>
          <w:tcPr>
            <w:tcW w:w="6304" w:type="dxa"/>
            <w:shd w:val="clear" w:color="auto" w:fill="auto"/>
            <w:vAlign w:val="center"/>
          </w:tcPr>
          <w:p w14:paraId="51B2B5B7">
            <w:pPr>
              <w:snapToGrid w:val="0"/>
              <w:jc w:val="center"/>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Cs w:val="21"/>
                <w:u w:val="single" w:color="auto"/>
                <w:lang w:val="en-US" w:eastAsia="zh-CN"/>
              </w:rPr>
              <w:t>露天，占地面积约15000m</w:t>
            </w:r>
            <w:r>
              <w:rPr>
                <w:rFonts w:hint="eastAsia" w:ascii="Times New Roman" w:hAnsi="Times New Roman" w:eastAsia="宋体" w:cs="Times New Roman"/>
                <w:color w:val="auto"/>
                <w:szCs w:val="21"/>
                <w:u w:val="single" w:color="auto"/>
                <w:vertAlign w:val="superscript"/>
                <w:lang w:val="en-US" w:eastAsia="zh-CN"/>
              </w:rPr>
              <w:t>2</w:t>
            </w:r>
            <w:r>
              <w:rPr>
                <w:rFonts w:hint="eastAsia" w:ascii="Times New Roman" w:hAnsi="Times New Roman" w:eastAsia="宋体" w:cs="Times New Roman"/>
                <w:color w:val="auto"/>
                <w:szCs w:val="21"/>
                <w:u w:val="single" w:color="auto"/>
                <w:lang w:val="en-US" w:eastAsia="zh-CN"/>
              </w:rPr>
              <w:t>，</w:t>
            </w:r>
            <w:r>
              <w:rPr>
                <w:rFonts w:hint="eastAsia" w:ascii="Times New Roman" w:hAnsi="Times New Roman" w:eastAsia="宋体" w:cs="Times New Roman"/>
                <w:color w:val="auto"/>
                <w:szCs w:val="21"/>
                <w:u w:val="single" w:color="auto"/>
                <w:lang w:eastAsia="zh-CN"/>
              </w:rPr>
              <w:t>位于</w:t>
            </w:r>
            <w:r>
              <w:rPr>
                <w:rFonts w:hint="eastAsia" w:ascii="Times New Roman" w:hAnsi="Times New Roman" w:eastAsia="宋体" w:cs="Times New Roman"/>
                <w:color w:val="auto"/>
                <w:szCs w:val="21"/>
                <w:u w:val="single" w:color="auto"/>
                <w:lang w:val="en-US" w:eastAsia="zh-CN"/>
              </w:rPr>
              <w:t>生产车间的西面和南面，用于原料卸放</w:t>
            </w:r>
          </w:p>
        </w:tc>
      </w:tr>
      <w:tr w14:paraId="1E256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9" w:type="dxa"/>
            <w:vMerge w:val="continue"/>
            <w:vAlign w:val="center"/>
          </w:tcPr>
          <w:p w14:paraId="2DA61037">
            <w:pPr>
              <w:snapToGrid w:val="0"/>
              <w:jc w:val="center"/>
              <w:rPr>
                <w:rFonts w:hint="eastAsia" w:ascii="Times New Roman" w:hAnsi="Times New Roman" w:eastAsia="宋体" w:cs="Times New Roman"/>
                <w:color w:val="auto"/>
                <w:szCs w:val="21"/>
                <w:u w:val="single" w:color="auto"/>
                <w:lang w:eastAsia="zh-CN"/>
              </w:rPr>
            </w:pPr>
          </w:p>
        </w:tc>
        <w:tc>
          <w:tcPr>
            <w:tcW w:w="675" w:type="dxa"/>
            <w:vMerge w:val="continue"/>
            <w:vAlign w:val="center"/>
          </w:tcPr>
          <w:p w14:paraId="78306759">
            <w:pPr>
              <w:snapToGrid w:val="0"/>
              <w:jc w:val="center"/>
              <w:rPr>
                <w:rFonts w:hint="eastAsia" w:ascii="Times New Roman" w:hAnsi="Times New Roman" w:eastAsia="宋体" w:cs="Times New Roman"/>
                <w:color w:val="auto"/>
                <w:szCs w:val="21"/>
                <w:u w:val="single" w:color="auto"/>
                <w:lang w:val="en-US" w:eastAsia="zh-CN"/>
              </w:rPr>
            </w:pPr>
          </w:p>
        </w:tc>
        <w:tc>
          <w:tcPr>
            <w:tcW w:w="1064" w:type="dxa"/>
            <w:shd w:val="clear" w:color="auto" w:fill="auto"/>
            <w:vAlign w:val="center"/>
          </w:tcPr>
          <w:p w14:paraId="2CDD7AF5">
            <w:pPr>
              <w:snapToGrid w:val="0"/>
              <w:jc w:val="center"/>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Cs w:val="21"/>
                <w:u w:val="single" w:color="auto"/>
                <w:lang w:val="en-US" w:eastAsia="zh-CN"/>
              </w:rPr>
              <w:t>成品堆场</w:t>
            </w:r>
          </w:p>
        </w:tc>
        <w:tc>
          <w:tcPr>
            <w:tcW w:w="6304" w:type="dxa"/>
            <w:shd w:val="clear" w:color="auto" w:fill="auto"/>
            <w:vAlign w:val="center"/>
          </w:tcPr>
          <w:p w14:paraId="6F4E8F5B">
            <w:pPr>
              <w:snapToGrid w:val="0"/>
              <w:jc w:val="center"/>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Cs w:val="21"/>
                <w:u w:val="single" w:color="auto"/>
                <w:lang w:val="en-US" w:eastAsia="zh-CN"/>
              </w:rPr>
              <w:t>露天，占地面积约37000m</w:t>
            </w:r>
            <w:r>
              <w:rPr>
                <w:rFonts w:hint="eastAsia" w:ascii="Times New Roman" w:hAnsi="Times New Roman" w:eastAsia="宋体" w:cs="Times New Roman"/>
                <w:color w:val="auto"/>
                <w:szCs w:val="21"/>
                <w:u w:val="single" w:color="auto"/>
                <w:vertAlign w:val="superscript"/>
                <w:lang w:val="en-US" w:eastAsia="zh-CN"/>
              </w:rPr>
              <w:t>2</w:t>
            </w:r>
            <w:r>
              <w:rPr>
                <w:rFonts w:hint="eastAsia" w:ascii="Times New Roman" w:hAnsi="Times New Roman" w:eastAsia="宋体" w:cs="Times New Roman"/>
                <w:color w:val="auto"/>
                <w:szCs w:val="21"/>
                <w:u w:val="single" w:color="auto"/>
                <w:lang w:val="en-US" w:eastAsia="zh-CN"/>
              </w:rPr>
              <w:t>，用于成品堆放</w:t>
            </w:r>
          </w:p>
        </w:tc>
      </w:tr>
      <w:tr w14:paraId="2A03C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restart"/>
            <w:vAlign w:val="center"/>
          </w:tcPr>
          <w:p w14:paraId="0E94248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675" w:type="dxa"/>
            <w:vMerge w:val="restart"/>
            <w:vAlign w:val="center"/>
          </w:tcPr>
          <w:p w14:paraId="63F6007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辅助工程</w:t>
            </w:r>
          </w:p>
        </w:tc>
        <w:tc>
          <w:tcPr>
            <w:tcW w:w="1064" w:type="dxa"/>
            <w:vAlign w:val="center"/>
          </w:tcPr>
          <w:p w14:paraId="06D8C81C">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倒班宿舍</w:t>
            </w:r>
          </w:p>
        </w:tc>
        <w:tc>
          <w:tcPr>
            <w:tcW w:w="6304" w:type="dxa"/>
            <w:vAlign w:val="center"/>
          </w:tcPr>
          <w:p w14:paraId="0C6E9E83">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w:t>
            </w:r>
            <w:r>
              <w:rPr>
                <w:rFonts w:ascii="Times New Roman" w:hAnsi="Times New Roman" w:eastAsia="宋体" w:cs="Times New Roman"/>
                <w:color w:val="auto"/>
                <w:szCs w:val="21"/>
                <w:u w:val="single" w:color="auto"/>
              </w:rPr>
              <w:t>栋，</w:t>
            </w:r>
            <w:r>
              <w:rPr>
                <w:rFonts w:hint="eastAsia" w:ascii="Times New Roman" w:hAnsi="Times New Roman" w:eastAsia="宋体" w:cs="Times New Roman"/>
                <w:color w:val="auto"/>
                <w:szCs w:val="21"/>
                <w:u w:val="single" w:color="auto"/>
              </w:rPr>
              <w:t>砖混</w:t>
            </w:r>
            <w:r>
              <w:rPr>
                <w:rFonts w:ascii="Times New Roman" w:hAnsi="Times New Roman" w:eastAsia="宋体" w:cs="Times New Roman"/>
                <w:color w:val="auto"/>
                <w:szCs w:val="21"/>
                <w:u w:val="single" w:color="auto"/>
              </w:rPr>
              <w:t>结构，</w:t>
            </w:r>
            <w:r>
              <w:rPr>
                <w:rFonts w:hint="eastAsia" w:ascii="Times New Roman" w:hAnsi="Times New Roman" w:eastAsia="宋体" w:cs="Times New Roman"/>
                <w:color w:val="auto"/>
                <w:szCs w:val="21"/>
                <w:u w:val="single" w:color="auto"/>
                <w:lang w:val="en-US" w:eastAsia="zh-CN"/>
              </w:rPr>
              <w:t>3#倒班宿舍7层，占地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890</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6230</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lang w:val="en-US" w:eastAsia="zh-CN"/>
              </w:rPr>
              <w:t>4#倒班宿舍5层占地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735</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3675</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p>
        </w:tc>
      </w:tr>
      <w:tr w14:paraId="5F67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9" w:type="dxa"/>
            <w:vMerge w:val="continue"/>
            <w:vAlign w:val="center"/>
          </w:tcPr>
          <w:p w14:paraId="306DE4C6">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1282773C">
            <w:pPr>
              <w:snapToGrid w:val="0"/>
              <w:jc w:val="center"/>
              <w:rPr>
                <w:rFonts w:ascii="Times New Roman" w:hAnsi="Times New Roman" w:eastAsia="宋体" w:cs="Times New Roman"/>
                <w:color w:val="auto"/>
                <w:szCs w:val="21"/>
                <w:u w:val="single" w:color="auto"/>
              </w:rPr>
            </w:pPr>
          </w:p>
        </w:tc>
        <w:tc>
          <w:tcPr>
            <w:tcW w:w="1064" w:type="dxa"/>
            <w:vAlign w:val="center"/>
          </w:tcPr>
          <w:p w14:paraId="40999EB8">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研发楼</w:t>
            </w:r>
            <w:r>
              <w:rPr>
                <w:rFonts w:hint="eastAsia" w:ascii="Times New Roman" w:hAnsi="Times New Roman" w:eastAsia="宋体" w:cs="Times New Roman"/>
                <w:color w:val="auto"/>
                <w:szCs w:val="21"/>
                <w:u w:val="single" w:color="auto"/>
              </w:rPr>
              <w:t xml:space="preserve"> </w:t>
            </w:r>
          </w:p>
        </w:tc>
        <w:tc>
          <w:tcPr>
            <w:tcW w:w="6304" w:type="dxa"/>
            <w:vAlign w:val="center"/>
          </w:tcPr>
          <w:p w14:paraId="2ACE8F08">
            <w:pPr>
              <w:snapToGrid w:val="0"/>
              <w:jc w:val="center"/>
              <w:rPr>
                <w:rFonts w:hint="default" w:ascii="Times New Roman" w:hAnsi="Times New Roman" w:eastAsia="宋体" w:cs="Times New Roman"/>
                <w:color w:val="auto"/>
                <w:szCs w:val="21"/>
                <w:u w:val="single" w:color="auto"/>
                <w:lang w:val="en-US" w:eastAsia="zh-CN"/>
              </w:rPr>
            </w:pPr>
            <w:r>
              <w:rPr>
                <w:rFonts w:ascii="Times New Roman" w:hAnsi="Times New Roman" w:eastAsia="宋体" w:cs="Times New Roman"/>
                <w:color w:val="auto"/>
                <w:szCs w:val="21"/>
                <w:u w:val="single" w:color="auto"/>
              </w:rPr>
              <w:t>1栋，</w:t>
            </w:r>
            <w:r>
              <w:rPr>
                <w:rFonts w:hint="eastAsia" w:ascii="Times New Roman" w:hAnsi="Times New Roman" w:eastAsia="宋体" w:cs="Times New Roman"/>
                <w:color w:val="auto"/>
                <w:szCs w:val="21"/>
                <w:u w:val="single" w:color="auto"/>
                <w:lang w:val="en-US" w:eastAsia="zh-CN"/>
              </w:rPr>
              <w:t>4</w:t>
            </w:r>
            <w:r>
              <w:rPr>
                <w:rFonts w:ascii="Times New Roman" w:hAnsi="Times New Roman" w:eastAsia="宋体" w:cs="Times New Roman"/>
                <w:color w:val="auto"/>
                <w:szCs w:val="21"/>
                <w:u w:val="single" w:color="auto"/>
              </w:rPr>
              <w:t>层，</w:t>
            </w:r>
            <w:r>
              <w:rPr>
                <w:rFonts w:hint="eastAsia" w:ascii="Times New Roman" w:hAnsi="Times New Roman" w:eastAsia="宋体" w:cs="Times New Roman"/>
                <w:color w:val="auto"/>
                <w:szCs w:val="21"/>
                <w:u w:val="single" w:color="auto"/>
                <w:lang w:val="en-US" w:eastAsia="zh-CN"/>
              </w:rPr>
              <w:t>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470</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1880</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，砖混</w:t>
            </w:r>
            <w:r>
              <w:rPr>
                <w:rFonts w:ascii="Times New Roman" w:hAnsi="Times New Roman" w:eastAsia="宋体" w:cs="Times New Roman"/>
                <w:color w:val="auto"/>
                <w:szCs w:val="21"/>
                <w:u w:val="single" w:color="auto"/>
              </w:rPr>
              <w:t>结构，高</w:t>
            </w:r>
            <w:r>
              <w:rPr>
                <w:rFonts w:hint="eastAsia" w:ascii="Times New Roman" w:hAnsi="Times New Roman" w:eastAsia="宋体" w:cs="Times New Roman"/>
                <w:color w:val="auto"/>
                <w:szCs w:val="21"/>
                <w:u w:val="single" w:color="auto"/>
                <w:lang w:val="en-US" w:eastAsia="zh-CN"/>
              </w:rPr>
              <w:t>15.3</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lang w:val="en-US" w:eastAsia="zh-CN"/>
              </w:rPr>
              <w:t>用于办公及产品研发</w:t>
            </w:r>
          </w:p>
        </w:tc>
      </w:tr>
      <w:tr w14:paraId="0FD89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2D45AEE7">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3D9FA8FB">
            <w:pPr>
              <w:snapToGrid w:val="0"/>
              <w:jc w:val="center"/>
              <w:rPr>
                <w:rFonts w:ascii="Times New Roman" w:hAnsi="Times New Roman" w:eastAsia="宋体" w:cs="Times New Roman"/>
                <w:color w:val="auto"/>
                <w:szCs w:val="21"/>
                <w:u w:val="single" w:color="auto"/>
              </w:rPr>
            </w:pPr>
          </w:p>
        </w:tc>
        <w:tc>
          <w:tcPr>
            <w:tcW w:w="1064" w:type="dxa"/>
            <w:vAlign w:val="center"/>
          </w:tcPr>
          <w:p w14:paraId="77BEAF35">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工具间</w:t>
            </w:r>
          </w:p>
        </w:tc>
        <w:tc>
          <w:tcPr>
            <w:tcW w:w="6304" w:type="dxa"/>
            <w:vAlign w:val="center"/>
          </w:tcPr>
          <w:p w14:paraId="64DE462A">
            <w:pPr>
              <w:snapToGrid w:val="0"/>
              <w:jc w:val="center"/>
              <w:rPr>
                <w:rFonts w:hint="default" w:ascii="Times New Roman" w:hAnsi="Times New Roman" w:eastAsia="宋体" w:cs="Times New Roman"/>
                <w:color w:val="auto"/>
                <w:szCs w:val="21"/>
                <w:u w:val="single" w:color="auto"/>
                <w:lang w:val="en-US" w:eastAsia="zh-CN"/>
              </w:rPr>
            </w:pPr>
            <w:r>
              <w:rPr>
                <w:rFonts w:ascii="Times New Roman" w:hAnsi="Times New Roman" w:eastAsia="宋体" w:cs="Times New Roman"/>
                <w:color w:val="auto"/>
                <w:szCs w:val="21"/>
                <w:u w:val="single" w:color="auto"/>
              </w:rPr>
              <w:t>1栋，</w:t>
            </w:r>
            <w:r>
              <w:rPr>
                <w:rFonts w:hint="eastAsia" w:ascii="Times New Roman" w:hAnsi="Times New Roman" w:eastAsia="宋体" w:cs="Times New Roman"/>
                <w:color w:val="auto"/>
                <w:szCs w:val="21"/>
                <w:u w:val="single" w:color="auto"/>
                <w:lang w:val="en-US" w:eastAsia="zh-CN"/>
              </w:rPr>
              <w:t>3</w:t>
            </w:r>
            <w:r>
              <w:rPr>
                <w:rFonts w:ascii="Times New Roman" w:hAnsi="Times New Roman" w:eastAsia="宋体" w:cs="Times New Roman"/>
                <w:color w:val="auto"/>
                <w:szCs w:val="21"/>
                <w:u w:val="single" w:color="auto"/>
              </w:rPr>
              <w:t>层，</w:t>
            </w:r>
            <w:r>
              <w:rPr>
                <w:rFonts w:hint="eastAsia" w:ascii="Times New Roman" w:hAnsi="Times New Roman" w:eastAsia="宋体" w:cs="Times New Roman"/>
                <w:color w:val="auto"/>
                <w:szCs w:val="21"/>
                <w:u w:val="single" w:color="auto"/>
                <w:lang w:val="en-US" w:eastAsia="zh-CN"/>
              </w:rPr>
              <w:t>占地</w:t>
            </w:r>
            <w:r>
              <w:rPr>
                <w:rFonts w:ascii="Times New Roman" w:hAnsi="Times New Roman" w:eastAsia="宋体" w:cs="Times New Roman"/>
                <w:color w:val="auto"/>
                <w:szCs w:val="21"/>
                <w:u w:val="single" w:color="auto"/>
              </w:rPr>
              <w:t>面积</w:t>
            </w:r>
            <w:r>
              <w:rPr>
                <w:rFonts w:hint="eastAsia" w:ascii="Times New Roman" w:hAnsi="Times New Roman" w:eastAsia="宋体" w:cs="Times New Roman"/>
                <w:color w:val="auto"/>
                <w:szCs w:val="21"/>
                <w:u w:val="single" w:color="auto"/>
                <w:lang w:val="en-US" w:eastAsia="zh-CN"/>
              </w:rPr>
              <w:t>45</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建筑面积</w:t>
            </w:r>
            <w:r>
              <w:rPr>
                <w:rFonts w:hint="eastAsia" w:ascii="Times New Roman" w:hAnsi="Times New Roman" w:eastAsia="宋体" w:cs="Times New Roman"/>
                <w:color w:val="auto"/>
                <w:szCs w:val="21"/>
                <w:u w:val="single" w:color="auto"/>
                <w:lang w:val="en-US" w:eastAsia="zh-CN"/>
              </w:rPr>
              <w:t>135</w:t>
            </w:r>
            <w:r>
              <w:rPr>
                <w:rFonts w:ascii="Times New Roman" w:hAnsi="Times New Roman" w:eastAsia="宋体" w:cs="Times New Roman"/>
                <w:color w:val="auto"/>
                <w:szCs w:val="21"/>
                <w:u w:val="single" w:color="auto"/>
              </w:rPr>
              <w:t>m</w:t>
            </w:r>
            <w:r>
              <w:rPr>
                <w:rFonts w:ascii="Times New Roman" w:hAnsi="Times New Roman" w:eastAsia="宋体" w:cs="Times New Roman"/>
                <w:color w:val="auto"/>
                <w:szCs w:val="21"/>
                <w:u w:val="single" w:color="auto"/>
                <w:vertAlign w:val="superscript"/>
              </w:rPr>
              <w:t>2</w:t>
            </w:r>
            <w:r>
              <w:rPr>
                <w:rFonts w:hint="eastAsia" w:ascii="Times New Roman" w:hAnsi="Times New Roman" w:eastAsia="宋体" w:cs="Times New Roman"/>
                <w:color w:val="auto"/>
                <w:szCs w:val="21"/>
                <w:u w:val="single" w:color="auto"/>
              </w:rPr>
              <w:t>，砖混</w:t>
            </w:r>
            <w:r>
              <w:rPr>
                <w:rFonts w:ascii="Times New Roman" w:hAnsi="Times New Roman" w:eastAsia="宋体" w:cs="Times New Roman"/>
                <w:color w:val="auto"/>
                <w:szCs w:val="21"/>
                <w:u w:val="single" w:color="auto"/>
              </w:rPr>
              <w:t>结构，高</w:t>
            </w:r>
            <w:r>
              <w:rPr>
                <w:rFonts w:hint="eastAsia" w:ascii="Times New Roman" w:hAnsi="Times New Roman" w:eastAsia="宋体" w:cs="Times New Roman"/>
                <w:color w:val="auto"/>
                <w:szCs w:val="21"/>
                <w:u w:val="single" w:color="auto"/>
                <w:lang w:val="en-US" w:eastAsia="zh-CN"/>
              </w:rPr>
              <w:t>14</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lang w:val="en-US" w:eastAsia="zh-CN"/>
              </w:rPr>
              <w:t>用于设备维修工具等</w:t>
            </w:r>
          </w:p>
        </w:tc>
      </w:tr>
      <w:tr w14:paraId="0CFDA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9" w:type="dxa"/>
            <w:vMerge w:val="restart"/>
            <w:vAlign w:val="center"/>
          </w:tcPr>
          <w:p w14:paraId="0DFB5502">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w:t>
            </w:r>
          </w:p>
        </w:tc>
        <w:tc>
          <w:tcPr>
            <w:tcW w:w="675" w:type="dxa"/>
            <w:vMerge w:val="restart"/>
            <w:vAlign w:val="center"/>
          </w:tcPr>
          <w:p w14:paraId="509D472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公用工程</w:t>
            </w:r>
          </w:p>
        </w:tc>
        <w:tc>
          <w:tcPr>
            <w:tcW w:w="1064" w:type="dxa"/>
            <w:vAlign w:val="center"/>
          </w:tcPr>
          <w:p w14:paraId="7EBF74D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给水</w:t>
            </w:r>
          </w:p>
        </w:tc>
        <w:tc>
          <w:tcPr>
            <w:tcW w:w="6304" w:type="dxa"/>
            <w:vAlign w:val="center"/>
          </w:tcPr>
          <w:p w14:paraId="44FAD9F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由园区市政供水管网供给</w:t>
            </w:r>
          </w:p>
        </w:tc>
      </w:tr>
      <w:tr w14:paraId="1E014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5136896D">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23AF35B6">
            <w:pPr>
              <w:snapToGrid w:val="0"/>
              <w:jc w:val="center"/>
              <w:rPr>
                <w:rFonts w:ascii="Times New Roman" w:hAnsi="Times New Roman" w:eastAsia="宋体" w:cs="Times New Roman"/>
                <w:color w:val="auto"/>
                <w:szCs w:val="21"/>
                <w:u w:val="single" w:color="auto"/>
              </w:rPr>
            </w:pPr>
          </w:p>
        </w:tc>
        <w:tc>
          <w:tcPr>
            <w:tcW w:w="1064" w:type="dxa"/>
            <w:vAlign w:val="center"/>
          </w:tcPr>
          <w:p w14:paraId="2B321F86">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排水</w:t>
            </w:r>
          </w:p>
        </w:tc>
        <w:tc>
          <w:tcPr>
            <w:tcW w:w="6304" w:type="dxa"/>
            <w:vAlign w:val="center"/>
          </w:tcPr>
          <w:p w14:paraId="427DFF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auto"/>
                <w:szCs w:val="21"/>
                <w:u w:val="single" w:color="auto"/>
                <w:lang w:val="en-US" w:eastAsia="zh-CN"/>
              </w:rPr>
            </w:pPr>
            <w:r>
              <w:rPr>
                <w:rFonts w:ascii="Times New Roman" w:hAnsi="Times New Roman" w:eastAsia="宋体" w:cs="Times New Roman"/>
                <w:color w:val="auto"/>
                <w:sz w:val="21"/>
                <w:szCs w:val="21"/>
                <w:u w:val="single" w:color="auto"/>
              </w:rPr>
              <w:t>雨污分流，</w:t>
            </w:r>
            <w:r>
              <w:rPr>
                <w:rFonts w:hint="eastAsia" w:ascii="Times New Roman" w:hAnsi="Times New Roman" w:eastAsia="宋体" w:cs="Times New Roman"/>
                <w:color w:val="auto"/>
                <w:sz w:val="21"/>
                <w:szCs w:val="21"/>
                <w:u w:val="single" w:color="auto"/>
              </w:rPr>
              <w:t>雨水排入市政雨水管网；生活污水排入市政污水管网</w:t>
            </w:r>
            <w:r>
              <w:rPr>
                <w:rFonts w:hint="eastAsia" w:ascii="Times New Roman" w:hAnsi="Times New Roman" w:eastAsia="宋体" w:cs="Times New Roman"/>
                <w:color w:val="auto"/>
                <w:sz w:val="21"/>
                <w:szCs w:val="21"/>
                <w:u w:val="single" w:color="auto"/>
                <w:lang w:eastAsia="zh-CN"/>
              </w:rPr>
              <w:t>；</w:t>
            </w:r>
            <w:r>
              <w:rPr>
                <w:rFonts w:hint="eastAsia" w:ascii="Times New Roman" w:hAnsi="Times New Roman" w:eastAsia="宋体" w:cs="Times New Roman"/>
                <w:color w:val="auto"/>
                <w:spacing w:val="10"/>
                <w:sz w:val="21"/>
                <w:szCs w:val="21"/>
                <w:highlight w:val="none"/>
                <w:u w:val="single"/>
                <w:lang w:val="en-US" w:eastAsia="zh-CN"/>
              </w:rPr>
              <w:t>生产区设置</w:t>
            </w:r>
            <w:r>
              <w:rPr>
                <w:rFonts w:hint="eastAsia" w:ascii="Times New Roman" w:hAnsi="Times New Roman" w:eastAsia="宋体" w:cs="Times New Roman"/>
                <w:color w:val="auto"/>
                <w:sz w:val="21"/>
                <w:szCs w:val="21"/>
                <w:highlight w:val="none"/>
                <w:u w:val="single"/>
                <w:lang w:val="en-US" w:eastAsia="zh-CN"/>
              </w:rPr>
              <w:t>900</w:t>
            </w:r>
            <w:r>
              <w:rPr>
                <w:rFonts w:hint="default" w:ascii="Times New Roman" w:hAnsi="Times New Roman" w:eastAsia="宋体" w:cs="Times New Roman"/>
                <w:color w:val="auto"/>
                <w:sz w:val="21"/>
                <w:szCs w:val="21"/>
                <w:highlight w:val="none"/>
                <w:u w:val="single"/>
              </w:rPr>
              <w:t>m</w:t>
            </w:r>
            <w:r>
              <w:rPr>
                <w:rFonts w:hint="default" w:ascii="Times New Roman" w:hAnsi="Times New Roman" w:eastAsia="宋体" w:cs="Times New Roman"/>
                <w:color w:val="auto"/>
                <w:sz w:val="21"/>
                <w:szCs w:val="21"/>
                <w:highlight w:val="none"/>
                <w:u w:val="single"/>
                <w:vertAlign w:val="superscript"/>
              </w:rPr>
              <w:t>3</w:t>
            </w:r>
            <w:r>
              <w:rPr>
                <w:rFonts w:hint="eastAsia" w:ascii="Times New Roman" w:hAnsi="Times New Roman" w:eastAsia="宋体" w:cs="Times New Roman"/>
                <w:color w:val="auto"/>
                <w:sz w:val="21"/>
                <w:szCs w:val="21"/>
                <w:highlight w:val="none"/>
                <w:u w:val="single"/>
                <w:vertAlign w:val="baseline"/>
                <w:lang w:val="en-US" w:eastAsia="zh-CN"/>
              </w:rPr>
              <w:t>初期雨水池，产品堆场设置</w:t>
            </w:r>
            <w:r>
              <w:rPr>
                <w:rFonts w:hint="eastAsia" w:ascii="Times New Roman" w:hAnsi="Times New Roman" w:eastAsia="宋体" w:cs="Times New Roman"/>
                <w:color w:val="auto"/>
                <w:sz w:val="21"/>
                <w:szCs w:val="21"/>
                <w:highlight w:val="none"/>
                <w:u w:val="single"/>
                <w:lang w:val="en-US" w:eastAsia="zh-CN"/>
              </w:rPr>
              <w:t>550</w:t>
            </w:r>
            <w:r>
              <w:rPr>
                <w:rFonts w:hint="default" w:ascii="Times New Roman" w:hAnsi="Times New Roman" w:eastAsia="宋体" w:cs="Times New Roman"/>
                <w:color w:val="auto"/>
                <w:sz w:val="21"/>
                <w:szCs w:val="21"/>
                <w:highlight w:val="none"/>
                <w:u w:val="single"/>
              </w:rPr>
              <w:t>m</w:t>
            </w:r>
            <w:r>
              <w:rPr>
                <w:rFonts w:hint="default" w:ascii="Times New Roman" w:hAnsi="Times New Roman" w:eastAsia="宋体" w:cs="Times New Roman"/>
                <w:color w:val="auto"/>
                <w:sz w:val="21"/>
                <w:szCs w:val="21"/>
                <w:highlight w:val="none"/>
                <w:u w:val="single"/>
                <w:vertAlign w:val="superscript"/>
              </w:rPr>
              <w:t>3</w:t>
            </w:r>
            <w:r>
              <w:rPr>
                <w:rFonts w:hint="eastAsia" w:ascii="Times New Roman" w:hAnsi="Times New Roman" w:eastAsia="宋体" w:cs="Times New Roman"/>
                <w:color w:val="auto"/>
                <w:sz w:val="21"/>
                <w:szCs w:val="21"/>
                <w:highlight w:val="none"/>
                <w:u w:val="single"/>
                <w:vertAlign w:val="baseline"/>
                <w:lang w:val="en-US" w:eastAsia="zh-CN"/>
              </w:rPr>
              <w:t>初期雨水池。</w:t>
            </w:r>
          </w:p>
        </w:tc>
      </w:tr>
      <w:tr w14:paraId="5509D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182D2438">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0E506ED4">
            <w:pPr>
              <w:snapToGrid w:val="0"/>
              <w:jc w:val="center"/>
              <w:rPr>
                <w:rFonts w:ascii="Times New Roman" w:hAnsi="Times New Roman" w:eastAsia="宋体" w:cs="Times New Roman"/>
                <w:color w:val="auto"/>
                <w:szCs w:val="21"/>
                <w:u w:val="single" w:color="auto"/>
              </w:rPr>
            </w:pPr>
          </w:p>
        </w:tc>
        <w:tc>
          <w:tcPr>
            <w:tcW w:w="1064" w:type="dxa"/>
            <w:vAlign w:val="center"/>
          </w:tcPr>
          <w:p w14:paraId="381015F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供电</w:t>
            </w:r>
          </w:p>
        </w:tc>
        <w:tc>
          <w:tcPr>
            <w:tcW w:w="6304" w:type="dxa"/>
            <w:vAlign w:val="center"/>
          </w:tcPr>
          <w:p w14:paraId="7C0B505B">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由园区供电网提供</w:t>
            </w:r>
          </w:p>
        </w:tc>
      </w:tr>
      <w:tr w14:paraId="567D5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restart"/>
            <w:vAlign w:val="center"/>
          </w:tcPr>
          <w:p w14:paraId="66121F7F">
            <w:pPr>
              <w:snapToGrid w:val="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5</w:t>
            </w:r>
          </w:p>
        </w:tc>
        <w:tc>
          <w:tcPr>
            <w:tcW w:w="675" w:type="dxa"/>
            <w:vMerge w:val="restart"/>
            <w:vAlign w:val="center"/>
          </w:tcPr>
          <w:p w14:paraId="7C077F4B">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环保工程</w:t>
            </w:r>
          </w:p>
        </w:tc>
        <w:tc>
          <w:tcPr>
            <w:tcW w:w="1064" w:type="dxa"/>
            <w:vAlign w:val="center"/>
          </w:tcPr>
          <w:p w14:paraId="7368EE2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废水处理</w:t>
            </w:r>
          </w:p>
        </w:tc>
        <w:tc>
          <w:tcPr>
            <w:tcW w:w="6304" w:type="dxa"/>
            <w:vAlign w:val="center"/>
          </w:tcPr>
          <w:p w14:paraId="6AB056A9">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生活污水经厂内三级化粪池预处理达到</w:t>
            </w:r>
            <w:r>
              <w:rPr>
                <w:rFonts w:hint="eastAsia" w:ascii="Times New Roman" w:hAnsi="Times New Roman" w:eastAsia="宋体" w:cs="Times New Roman"/>
                <w:color w:val="auto"/>
                <w:szCs w:val="21"/>
                <w:u w:val="single" w:color="auto"/>
                <w:lang w:eastAsia="zh-CN"/>
              </w:rPr>
              <w:t>大榄坪污水处理厂接管标准</w:t>
            </w:r>
            <w:r>
              <w:rPr>
                <w:rFonts w:hint="eastAsia" w:ascii="Times New Roman" w:hAnsi="Times New Roman" w:eastAsia="宋体" w:cs="Times New Roman"/>
                <w:color w:val="auto"/>
                <w:szCs w:val="21"/>
                <w:u w:val="single" w:color="auto"/>
              </w:rPr>
              <w:t>要求后，经市政管网排入大榄坪污水处理厂</w:t>
            </w:r>
          </w:p>
        </w:tc>
      </w:tr>
      <w:tr w14:paraId="00FED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683FDB0B">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39228909">
            <w:pPr>
              <w:snapToGrid w:val="0"/>
              <w:jc w:val="center"/>
              <w:rPr>
                <w:rFonts w:ascii="Times New Roman" w:hAnsi="Times New Roman" w:eastAsia="宋体" w:cs="Times New Roman"/>
                <w:color w:val="auto"/>
                <w:szCs w:val="21"/>
                <w:u w:val="single" w:color="auto"/>
              </w:rPr>
            </w:pPr>
          </w:p>
        </w:tc>
        <w:tc>
          <w:tcPr>
            <w:tcW w:w="1064" w:type="dxa"/>
            <w:vMerge w:val="restart"/>
            <w:vAlign w:val="center"/>
          </w:tcPr>
          <w:p w14:paraId="57B08FF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废气治理</w:t>
            </w:r>
          </w:p>
        </w:tc>
        <w:tc>
          <w:tcPr>
            <w:tcW w:w="6304" w:type="dxa"/>
            <w:vAlign w:val="center"/>
          </w:tcPr>
          <w:p w14:paraId="124E5C06">
            <w:pPr>
              <w:snapToGrid w:val="0"/>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切割废气经集气罩收集由移动式烟(粉)尘净化器处理后车间无组织排放</w:t>
            </w:r>
            <w:r>
              <w:rPr>
                <w:rFonts w:hint="eastAsia" w:ascii="Times New Roman" w:hAnsi="Times New Roman" w:eastAsia="宋体" w:cs="Times New Roman"/>
                <w:color w:val="auto"/>
                <w:szCs w:val="21"/>
                <w:u w:val="single" w:color="auto"/>
                <w:lang w:eastAsia="zh-CN"/>
              </w:rPr>
              <w:t>；</w:t>
            </w:r>
            <w:r>
              <w:rPr>
                <w:rFonts w:ascii="Times New Roman" w:hAnsi="Times New Roman" w:eastAsia="宋体" w:cs="Times New Roman"/>
                <w:color w:val="auto"/>
                <w:szCs w:val="21"/>
                <w:u w:val="single" w:color="auto"/>
              </w:rPr>
              <w:t>焊接废气经集气罩收集由移动式烟(粉)尘净化器处理后车间无组织排放</w:t>
            </w:r>
          </w:p>
        </w:tc>
      </w:tr>
      <w:tr w14:paraId="04924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605EF561">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2F125A13">
            <w:pPr>
              <w:snapToGrid w:val="0"/>
              <w:jc w:val="center"/>
              <w:rPr>
                <w:rFonts w:ascii="Times New Roman" w:hAnsi="Times New Roman" w:eastAsia="宋体" w:cs="Times New Roman"/>
                <w:color w:val="auto"/>
                <w:szCs w:val="21"/>
                <w:u w:val="single" w:color="auto"/>
              </w:rPr>
            </w:pPr>
          </w:p>
        </w:tc>
        <w:tc>
          <w:tcPr>
            <w:tcW w:w="1064" w:type="dxa"/>
            <w:vMerge w:val="continue"/>
            <w:vAlign w:val="center"/>
          </w:tcPr>
          <w:p w14:paraId="78F13781">
            <w:pPr>
              <w:snapToGrid w:val="0"/>
              <w:jc w:val="center"/>
              <w:rPr>
                <w:rFonts w:ascii="Times New Roman" w:hAnsi="Times New Roman" w:eastAsia="宋体" w:cs="Times New Roman"/>
                <w:color w:val="auto"/>
                <w:szCs w:val="21"/>
                <w:u w:val="single" w:color="auto"/>
              </w:rPr>
            </w:pPr>
          </w:p>
        </w:tc>
        <w:tc>
          <w:tcPr>
            <w:tcW w:w="6304" w:type="dxa"/>
            <w:vAlign w:val="center"/>
          </w:tcPr>
          <w:p w14:paraId="0601B73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抛丸废气</w:t>
            </w:r>
            <w:r>
              <w:rPr>
                <w:rFonts w:hint="eastAsia" w:ascii="Times New Roman" w:hAnsi="Times New Roman" w:eastAsia="宋体" w:cs="Times New Roman"/>
                <w:color w:val="auto"/>
                <w:szCs w:val="21"/>
                <w:u w:val="single" w:color="auto"/>
              </w:rPr>
              <w:t>和喷砂废气</w:t>
            </w:r>
            <w:r>
              <w:rPr>
                <w:rFonts w:ascii="Times New Roman" w:hAnsi="Times New Roman" w:eastAsia="宋体" w:cs="Times New Roman"/>
                <w:color w:val="auto"/>
                <w:szCs w:val="21"/>
                <w:u w:val="single" w:color="auto"/>
              </w:rPr>
              <w:t>经负压收集由</w:t>
            </w:r>
            <w:r>
              <w:rPr>
                <w:rFonts w:hint="eastAsia" w:ascii="宋体" w:hAnsi="宋体" w:eastAsia="宋体" w:cs="宋体"/>
                <w:color w:val="auto"/>
                <w:u w:val="single" w:color="auto"/>
                <w:lang w:val="en-US" w:eastAsia="zh-CN"/>
              </w:rPr>
              <w:t>旋风除尘器+</w:t>
            </w:r>
            <w:r>
              <w:rPr>
                <w:rFonts w:ascii="Times New Roman" w:hAnsi="Times New Roman" w:eastAsia="宋体" w:cs="Times New Roman"/>
                <w:color w:val="auto"/>
                <w:szCs w:val="21"/>
                <w:u w:val="single" w:color="auto"/>
              </w:rPr>
              <w:t>滤筒除尘器处理，通过</w:t>
            </w:r>
            <w:r>
              <w:rPr>
                <w:rFonts w:hint="eastAsia" w:ascii="Times New Roman" w:hAnsi="Times New Roman" w:eastAsia="宋体" w:cs="Times New Roman"/>
                <w:color w:val="auto"/>
                <w:szCs w:val="21"/>
                <w:u w:val="single" w:color="auto"/>
                <w:lang w:val="en-US" w:eastAsia="zh-CN"/>
              </w:rPr>
              <w:t>3</w:t>
            </w:r>
            <w:r>
              <w:rPr>
                <w:rFonts w:hint="eastAsia" w:ascii="Times New Roman" w:hAnsi="Times New Roman" w:eastAsia="宋体" w:cs="Times New Roman"/>
                <w:color w:val="auto"/>
                <w:szCs w:val="21"/>
                <w:u w:val="single" w:color="auto"/>
              </w:rPr>
              <w:t>0</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rPr>
              <w:t>高</w:t>
            </w:r>
            <w:r>
              <w:rPr>
                <w:rFonts w:ascii="Times New Roman" w:hAnsi="Times New Roman" w:eastAsia="宋体" w:cs="Times New Roman"/>
                <w:color w:val="auto"/>
                <w:szCs w:val="21"/>
                <w:u w:val="single" w:color="auto"/>
              </w:rPr>
              <w:t>排气筒（DA001）排放</w:t>
            </w:r>
          </w:p>
        </w:tc>
      </w:tr>
      <w:tr w14:paraId="10246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4EC7E59C">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707F190D">
            <w:pPr>
              <w:snapToGrid w:val="0"/>
              <w:jc w:val="center"/>
              <w:rPr>
                <w:rFonts w:ascii="Times New Roman" w:hAnsi="Times New Roman" w:eastAsia="宋体" w:cs="Times New Roman"/>
                <w:color w:val="auto"/>
                <w:szCs w:val="21"/>
                <w:u w:val="single" w:color="auto"/>
              </w:rPr>
            </w:pPr>
          </w:p>
        </w:tc>
        <w:tc>
          <w:tcPr>
            <w:tcW w:w="1064" w:type="dxa"/>
            <w:vMerge w:val="continue"/>
            <w:vAlign w:val="center"/>
          </w:tcPr>
          <w:p w14:paraId="22977812">
            <w:pPr>
              <w:snapToGrid w:val="0"/>
              <w:jc w:val="center"/>
              <w:rPr>
                <w:rFonts w:ascii="Times New Roman" w:hAnsi="Times New Roman" w:eastAsia="宋体" w:cs="Times New Roman"/>
                <w:color w:val="auto"/>
                <w:szCs w:val="21"/>
                <w:u w:val="single" w:color="auto"/>
              </w:rPr>
            </w:pPr>
          </w:p>
        </w:tc>
        <w:tc>
          <w:tcPr>
            <w:tcW w:w="6304" w:type="dxa"/>
            <w:vAlign w:val="center"/>
          </w:tcPr>
          <w:p w14:paraId="61F02B4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喷漆废气经负压收集由“干式漆雾过滤+活性炭吸附</w:t>
            </w:r>
            <w:r>
              <w:rPr>
                <w:rFonts w:hint="eastAsia" w:ascii="Times New Roman" w:hAnsi="Times New Roman" w:eastAsia="宋体" w:cs="Times New Roman"/>
                <w:color w:val="auto"/>
                <w:szCs w:val="21"/>
                <w:u w:val="single" w:color="auto"/>
              </w:rPr>
              <w:t>+催化燃烧</w:t>
            </w:r>
            <w:r>
              <w:rPr>
                <w:rFonts w:ascii="Times New Roman" w:hAnsi="Times New Roman" w:eastAsia="宋体" w:cs="Times New Roman"/>
                <w:color w:val="auto"/>
                <w:szCs w:val="21"/>
                <w:u w:val="single" w:color="auto"/>
              </w:rPr>
              <w:t>”处理</w:t>
            </w:r>
            <w:r>
              <w:rPr>
                <w:rFonts w:hint="eastAsia" w:ascii="Times New Roman" w:hAnsi="Times New Roman" w:eastAsia="宋体" w:cs="Times New Roman"/>
                <w:color w:val="auto"/>
                <w:szCs w:val="21"/>
                <w:u w:val="single" w:color="auto"/>
              </w:rPr>
              <w:t>装置处理后</w:t>
            </w:r>
            <w:r>
              <w:rPr>
                <w:rFonts w:ascii="Times New Roman" w:hAnsi="Times New Roman" w:eastAsia="宋体" w:cs="Times New Roman"/>
                <w:color w:val="auto"/>
                <w:szCs w:val="21"/>
                <w:u w:val="single" w:color="auto"/>
              </w:rPr>
              <w:t>，通过</w:t>
            </w:r>
            <w:r>
              <w:rPr>
                <w:rFonts w:hint="eastAsia" w:ascii="Times New Roman" w:hAnsi="Times New Roman" w:eastAsia="宋体" w:cs="Times New Roman"/>
                <w:color w:val="auto"/>
                <w:szCs w:val="21"/>
                <w:u w:val="single" w:color="auto"/>
                <w:lang w:val="en-US" w:eastAsia="zh-CN"/>
              </w:rPr>
              <w:t>3</w:t>
            </w:r>
            <w:r>
              <w:rPr>
                <w:rFonts w:hint="eastAsia" w:ascii="Times New Roman" w:hAnsi="Times New Roman" w:eastAsia="宋体" w:cs="Times New Roman"/>
                <w:color w:val="auto"/>
                <w:szCs w:val="21"/>
                <w:u w:val="single" w:color="auto"/>
              </w:rPr>
              <w:t>0</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rPr>
              <w:t>高</w:t>
            </w:r>
            <w:r>
              <w:rPr>
                <w:rFonts w:ascii="Times New Roman" w:hAnsi="Times New Roman" w:eastAsia="宋体" w:cs="Times New Roman"/>
                <w:color w:val="auto"/>
                <w:szCs w:val="21"/>
                <w:u w:val="single" w:color="auto"/>
              </w:rPr>
              <w:t>排气筒（DA00</w:t>
            </w:r>
            <w:r>
              <w:rPr>
                <w:rFonts w:hint="eastAsia" w:ascii="Times New Roman" w:hAnsi="Times New Roman" w:eastAsia="宋体" w:cs="Times New Roman"/>
                <w:color w:val="auto"/>
                <w:szCs w:val="21"/>
                <w:u w:val="single" w:color="auto"/>
              </w:rPr>
              <w:t>2</w:t>
            </w:r>
            <w:r>
              <w:rPr>
                <w:rFonts w:ascii="Times New Roman" w:hAnsi="Times New Roman" w:eastAsia="宋体" w:cs="Times New Roman"/>
                <w:color w:val="auto"/>
                <w:szCs w:val="21"/>
                <w:u w:val="single" w:color="auto"/>
              </w:rPr>
              <w:t>）排放</w:t>
            </w:r>
          </w:p>
        </w:tc>
      </w:tr>
      <w:tr w14:paraId="730B4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21D9ED3A">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55DE3E3B">
            <w:pPr>
              <w:snapToGrid w:val="0"/>
              <w:jc w:val="center"/>
              <w:rPr>
                <w:rFonts w:ascii="Times New Roman" w:hAnsi="Times New Roman" w:eastAsia="宋体" w:cs="Times New Roman"/>
                <w:color w:val="auto"/>
                <w:szCs w:val="21"/>
                <w:u w:val="single" w:color="auto"/>
              </w:rPr>
            </w:pPr>
          </w:p>
        </w:tc>
        <w:tc>
          <w:tcPr>
            <w:tcW w:w="1064" w:type="dxa"/>
            <w:vMerge w:val="continue"/>
            <w:vAlign w:val="center"/>
          </w:tcPr>
          <w:p w14:paraId="0BB0AEFA">
            <w:pPr>
              <w:snapToGrid w:val="0"/>
              <w:jc w:val="center"/>
              <w:rPr>
                <w:rFonts w:ascii="Times New Roman" w:hAnsi="Times New Roman" w:eastAsia="宋体" w:cs="Times New Roman"/>
                <w:color w:val="auto"/>
                <w:szCs w:val="21"/>
                <w:u w:val="single" w:color="auto"/>
              </w:rPr>
            </w:pPr>
          </w:p>
        </w:tc>
        <w:tc>
          <w:tcPr>
            <w:tcW w:w="6304" w:type="dxa"/>
            <w:vAlign w:val="center"/>
          </w:tcPr>
          <w:p w14:paraId="53866187">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eastAsia="zh-CN"/>
              </w:rPr>
              <w:t>危废暂存间废气经</w:t>
            </w:r>
            <w:r>
              <w:rPr>
                <w:rFonts w:hint="eastAsia" w:ascii="Times New Roman" w:hAnsi="Times New Roman" w:eastAsia="宋体" w:cs="Times New Roman"/>
                <w:color w:val="auto"/>
                <w:szCs w:val="21"/>
                <w:u w:val="single" w:color="auto"/>
                <w:lang w:val="en-US" w:eastAsia="zh-CN"/>
              </w:rPr>
              <w:t>二级</w:t>
            </w:r>
            <w:r>
              <w:rPr>
                <w:rFonts w:hint="eastAsia" w:ascii="Times New Roman" w:hAnsi="Times New Roman" w:eastAsia="宋体" w:cs="Times New Roman"/>
                <w:color w:val="auto"/>
                <w:szCs w:val="21"/>
                <w:u w:val="single" w:color="auto"/>
                <w:lang w:eastAsia="zh-CN"/>
              </w:rPr>
              <w:t>活性炭吸附后</w:t>
            </w:r>
            <w:r>
              <w:rPr>
                <w:rFonts w:ascii="Times New Roman" w:hAnsi="Times New Roman" w:eastAsia="宋体" w:cs="Times New Roman"/>
                <w:color w:val="auto"/>
                <w:szCs w:val="21"/>
                <w:u w:val="single" w:color="auto"/>
              </w:rPr>
              <w:t>通过</w:t>
            </w:r>
            <w:r>
              <w:rPr>
                <w:rFonts w:hint="eastAsia" w:ascii="Times New Roman" w:hAnsi="Times New Roman" w:eastAsia="宋体" w:cs="Times New Roman"/>
                <w:color w:val="auto"/>
                <w:szCs w:val="21"/>
                <w:u w:val="single" w:color="auto"/>
                <w:lang w:val="en-US" w:eastAsia="zh-CN"/>
              </w:rPr>
              <w:t>3</w:t>
            </w:r>
            <w:r>
              <w:rPr>
                <w:rFonts w:hint="eastAsia" w:ascii="Times New Roman" w:hAnsi="Times New Roman" w:eastAsia="宋体" w:cs="Times New Roman"/>
                <w:color w:val="auto"/>
                <w:szCs w:val="21"/>
                <w:u w:val="single" w:color="auto"/>
              </w:rPr>
              <w:t>0</w:t>
            </w:r>
            <w:r>
              <w:rPr>
                <w:rFonts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rPr>
              <w:t>高</w:t>
            </w:r>
            <w:r>
              <w:rPr>
                <w:rFonts w:ascii="Times New Roman" w:hAnsi="Times New Roman" w:eastAsia="宋体" w:cs="Times New Roman"/>
                <w:color w:val="auto"/>
                <w:szCs w:val="21"/>
                <w:u w:val="single" w:color="auto"/>
              </w:rPr>
              <w:t>排气筒（DA00</w:t>
            </w:r>
            <w:r>
              <w:rPr>
                <w:rFonts w:hint="eastAsia" w:ascii="Times New Roman" w:hAnsi="Times New Roman" w:eastAsia="宋体" w:cs="Times New Roman"/>
                <w:color w:val="auto"/>
                <w:szCs w:val="21"/>
                <w:u w:val="single" w:color="auto"/>
                <w:lang w:val="en-US" w:eastAsia="zh-CN"/>
              </w:rPr>
              <w:t>2</w:t>
            </w:r>
            <w:r>
              <w:rPr>
                <w:rFonts w:ascii="Times New Roman" w:hAnsi="Times New Roman" w:eastAsia="宋体" w:cs="Times New Roman"/>
                <w:color w:val="auto"/>
                <w:szCs w:val="21"/>
                <w:u w:val="single" w:color="auto"/>
              </w:rPr>
              <w:t>）排放</w:t>
            </w:r>
          </w:p>
        </w:tc>
      </w:tr>
      <w:tr w14:paraId="56E1F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260F6370">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013694DF">
            <w:pPr>
              <w:snapToGrid w:val="0"/>
              <w:jc w:val="center"/>
              <w:rPr>
                <w:rFonts w:ascii="Times New Roman" w:hAnsi="Times New Roman" w:eastAsia="宋体" w:cs="Times New Roman"/>
                <w:color w:val="auto"/>
                <w:szCs w:val="21"/>
                <w:u w:val="single" w:color="auto"/>
              </w:rPr>
            </w:pPr>
          </w:p>
        </w:tc>
        <w:tc>
          <w:tcPr>
            <w:tcW w:w="1064" w:type="dxa"/>
            <w:vAlign w:val="center"/>
          </w:tcPr>
          <w:p w14:paraId="7BB95DA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噪声治理</w:t>
            </w:r>
          </w:p>
        </w:tc>
        <w:tc>
          <w:tcPr>
            <w:tcW w:w="6304" w:type="dxa"/>
            <w:vAlign w:val="center"/>
          </w:tcPr>
          <w:p w14:paraId="37EF13D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选用低噪声设备和机械、安装在密闭室内、消声器、设立隔声罩、加装基础减振、同时采取吸音隔音材料等措施；加强厂区绿化</w:t>
            </w:r>
          </w:p>
        </w:tc>
      </w:tr>
      <w:tr w14:paraId="76BC0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76E4CFF5">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59250F1A">
            <w:pPr>
              <w:snapToGrid w:val="0"/>
              <w:jc w:val="center"/>
              <w:rPr>
                <w:rFonts w:ascii="Times New Roman" w:hAnsi="Times New Roman" w:eastAsia="宋体" w:cs="Times New Roman"/>
                <w:color w:val="auto"/>
                <w:szCs w:val="21"/>
                <w:u w:val="single" w:color="auto"/>
              </w:rPr>
            </w:pPr>
          </w:p>
        </w:tc>
        <w:tc>
          <w:tcPr>
            <w:tcW w:w="1064" w:type="dxa"/>
            <w:vMerge w:val="restart"/>
            <w:vAlign w:val="center"/>
          </w:tcPr>
          <w:p w14:paraId="2F37383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固废处置</w:t>
            </w:r>
          </w:p>
        </w:tc>
        <w:tc>
          <w:tcPr>
            <w:tcW w:w="6304" w:type="dxa"/>
            <w:vAlign w:val="center"/>
          </w:tcPr>
          <w:p w14:paraId="6062020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切割下脚料、</w:t>
            </w:r>
            <w:r>
              <w:rPr>
                <w:rFonts w:hint="eastAsia" w:ascii="Times New Roman" w:hAnsi="Times New Roman" w:eastAsia="宋体" w:cs="Times New Roman"/>
                <w:color w:val="auto"/>
                <w:szCs w:val="21"/>
                <w:u w:val="single" w:color="auto"/>
              </w:rPr>
              <w:t>净化器</w:t>
            </w:r>
            <w:r>
              <w:rPr>
                <w:rFonts w:ascii="Times New Roman" w:hAnsi="Times New Roman" w:eastAsia="宋体" w:cs="Times New Roman"/>
                <w:color w:val="auto"/>
                <w:szCs w:val="21"/>
                <w:u w:val="single" w:color="auto"/>
              </w:rPr>
              <w:t>除尘灰、</w:t>
            </w:r>
            <w:r>
              <w:rPr>
                <w:rFonts w:hint="eastAsia" w:ascii="Times New Roman" w:hAnsi="Times New Roman" w:eastAsia="宋体" w:cs="Times New Roman"/>
                <w:color w:val="auto"/>
                <w:szCs w:val="21"/>
                <w:u w:val="single" w:color="auto"/>
              </w:rPr>
              <w:t>滤筒除尘灰、</w:t>
            </w:r>
            <w:r>
              <w:rPr>
                <w:rFonts w:ascii="Times New Roman" w:hAnsi="Times New Roman" w:eastAsia="宋体" w:cs="Times New Roman"/>
                <w:color w:val="auto"/>
                <w:szCs w:val="21"/>
                <w:u w:val="single" w:color="auto"/>
              </w:rPr>
              <w:t>废焊条焊渣、废钢丸</w:t>
            </w:r>
            <w:r>
              <w:rPr>
                <w:rFonts w:hint="eastAsia" w:ascii="Times New Roman" w:hAnsi="Times New Roman" w:eastAsia="宋体" w:cs="Times New Roman"/>
                <w:color w:val="auto"/>
                <w:szCs w:val="21"/>
                <w:u w:val="single" w:color="auto"/>
              </w:rPr>
              <w:t>、沉降粉尘等</w:t>
            </w:r>
            <w:r>
              <w:rPr>
                <w:rFonts w:ascii="Times New Roman" w:hAnsi="Times New Roman" w:eastAsia="宋体" w:cs="Times New Roman"/>
                <w:color w:val="auto"/>
                <w:szCs w:val="21"/>
                <w:u w:val="single" w:color="auto"/>
              </w:rPr>
              <w:t>分类收集，</w:t>
            </w:r>
            <w:r>
              <w:rPr>
                <w:rFonts w:hint="eastAsia" w:ascii="Times New Roman" w:hAnsi="Times New Roman" w:eastAsia="宋体" w:cs="Times New Roman"/>
                <w:color w:val="auto"/>
                <w:szCs w:val="21"/>
                <w:u w:val="single" w:color="auto"/>
              </w:rPr>
              <w:t>暂存于一般固废暂存间，</w:t>
            </w:r>
            <w:r>
              <w:rPr>
                <w:rFonts w:hint="eastAsia" w:ascii="Times New Roman" w:hAnsi="Times New Roman" w:eastAsia="宋体" w:cs="Times New Roman"/>
                <w:color w:val="auto"/>
                <w:szCs w:val="21"/>
                <w:u w:val="single" w:color="auto"/>
                <w:lang w:val="en-US" w:eastAsia="zh-CN"/>
              </w:rPr>
              <w:t>占地面积100m</w:t>
            </w:r>
            <w:r>
              <w:rPr>
                <w:rFonts w:hint="eastAsia" w:ascii="Times New Roman" w:hAnsi="Times New Roman" w:eastAsia="宋体" w:cs="Times New Roman"/>
                <w:color w:val="auto"/>
                <w:szCs w:val="21"/>
                <w:u w:val="single" w:color="auto"/>
                <w:vertAlign w:val="superscript"/>
                <w:lang w:val="en-US" w:eastAsia="zh-CN"/>
              </w:rPr>
              <w:t>2</w:t>
            </w:r>
            <w:r>
              <w:rPr>
                <w:rFonts w:hint="eastAsia" w:ascii="Times New Roman" w:hAnsi="Times New Roman" w:eastAsia="宋体" w:cs="Times New Roman"/>
                <w:color w:val="auto"/>
                <w:szCs w:val="21"/>
                <w:u w:val="single" w:color="auto"/>
                <w:lang w:val="en-US" w:eastAsia="zh-CN"/>
              </w:rPr>
              <w:t>,</w:t>
            </w:r>
            <w:r>
              <w:rPr>
                <w:rFonts w:ascii="Times New Roman" w:hAnsi="Times New Roman" w:eastAsia="宋体" w:cs="Times New Roman"/>
                <w:color w:val="auto"/>
                <w:szCs w:val="21"/>
                <w:u w:val="single" w:color="auto"/>
              </w:rPr>
              <w:t>定期外售</w:t>
            </w:r>
          </w:p>
        </w:tc>
      </w:tr>
      <w:tr w14:paraId="3CAE0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9" w:type="dxa"/>
            <w:vMerge w:val="continue"/>
            <w:vAlign w:val="center"/>
          </w:tcPr>
          <w:p w14:paraId="72990923">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154E7FFB">
            <w:pPr>
              <w:snapToGrid w:val="0"/>
              <w:jc w:val="center"/>
              <w:rPr>
                <w:rFonts w:ascii="Times New Roman" w:hAnsi="Times New Roman" w:eastAsia="宋体" w:cs="Times New Roman"/>
                <w:color w:val="auto"/>
                <w:szCs w:val="21"/>
                <w:u w:val="single" w:color="auto"/>
              </w:rPr>
            </w:pPr>
          </w:p>
        </w:tc>
        <w:tc>
          <w:tcPr>
            <w:tcW w:w="1064" w:type="dxa"/>
            <w:vMerge w:val="continue"/>
            <w:vAlign w:val="center"/>
          </w:tcPr>
          <w:p w14:paraId="0839CBEE">
            <w:pPr>
              <w:snapToGrid w:val="0"/>
              <w:jc w:val="center"/>
              <w:rPr>
                <w:rFonts w:ascii="Times New Roman" w:hAnsi="Times New Roman" w:eastAsia="宋体" w:cs="Times New Roman"/>
                <w:color w:val="auto"/>
                <w:szCs w:val="21"/>
                <w:u w:val="single" w:color="auto"/>
              </w:rPr>
            </w:pPr>
          </w:p>
        </w:tc>
        <w:tc>
          <w:tcPr>
            <w:tcW w:w="6304" w:type="dxa"/>
            <w:vAlign w:val="center"/>
          </w:tcPr>
          <w:p w14:paraId="1336C24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废过滤棉、废活性炭、废油漆桶、废润滑油</w:t>
            </w:r>
            <w:r>
              <w:rPr>
                <w:rFonts w:hint="eastAsia" w:ascii="Times New Roman" w:hAnsi="Times New Roman" w:eastAsia="宋体" w:cs="Times New Roman"/>
                <w:color w:val="auto"/>
                <w:szCs w:val="21"/>
                <w:u w:val="single" w:color="auto"/>
              </w:rPr>
              <w:t>、废催化剂、废稀释剂桶、废固化剂桶、漆渣、</w:t>
            </w:r>
            <w:r>
              <w:rPr>
                <w:rFonts w:ascii="Times New Roman" w:hAnsi="Times New Roman" w:eastAsia="宋体" w:cs="Times New Roman"/>
                <w:color w:val="auto"/>
                <w:szCs w:val="21"/>
                <w:u w:val="single" w:color="auto"/>
              </w:rPr>
              <w:t>废含油抹布均属于危险废物，分类收集在专用容器中，储存于</w:t>
            </w:r>
            <w:r>
              <w:rPr>
                <w:rFonts w:hint="eastAsia" w:ascii="Times New Roman" w:hAnsi="Times New Roman" w:eastAsia="宋体" w:cs="Times New Roman"/>
                <w:color w:val="auto"/>
                <w:szCs w:val="21"/>
                <w:u w:val="single" w:color="auto"/>
              </w:rPr>
              <w:t>危险废物</w:t>
            </w:r>
            <w:r>
              <w:rPr>
                <w:rFonts w:ascii="Times New Roman" w:hAnsi="Times New Roman" w:eastAsia="宋体" w:cs="Times New Roman"/>
                <w:color w:val="auto"/>
                <w:szCs w:val="21"/>
                <w:u w:val="single" w:color="auto"/>
              </w:rPr>
              <w:t>暂存间中</w:t>
            </w:r>
            <w:r>
              <w:rPr>
                <w:rFonts w:hint="eastAsia"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lang w:val="en-US" w:eastAsia="zh-CN"/>
              </w:rPr>
              <w:t>占地面积200m</w:t>
            </w:r>
            <w:r>
              <w:rPr>
                <w:rFonts w:hint="eastAsia" w:ascii="Times New Roman" w:hAnsi="Times New Roman" w:eastAsia="宋体" w:cs="Times New Roman"/>
                <w:color w:val="auto"/>
                <w:szCs w:val="21"/>
                <w:u w:val="single" w:color="auto"/>
                <w:vertAlign w:val="superscript"/>
                <w:lang w:val="en-US" w:eastAsia="zh-CN"/>
              </w:rPr>
              <w:t>2</w:t>
            </w:r>
            <w:r>
              <w:rPr>
                <w:rFonts w:hint="eastAsia" w:ascii="Times New Roman" w:hAnsi="Times New Roman" w:eastAsia="宋体" w:cs="Times New Roman"/>
                <w:color w:val="auto"/>
                <w:szCs w:val="21"/>
                <w:u w:val="single" w:color="auto"/>
                <w:lang w:val="en-US" w:eastAsia="zh-CN"/>
              </w:rPr>
              <w:t>,</w:t>
            </w:r>
            <w:r>
              <w:rPr>
                <w:rFonts w:ascii="Times New Roman" w:hAnsi="Times New Roman" w:eastAsia="宋体" w:cs="Times New Roman"/>
                <w:color w:val="auto"/>
                <w:szCs w:val="21"/>
                <w:u w:val="single" w:color="auto"/>
              </w:rPr>
              <w:t>定期</w:t>
            </w:r>
            <w:r>
              <w:rPr>
                <w:rFonts w:hint="eastAsia" w:ascii="Times New Roman" w:hAnsi="Times New Roman" w:eastAsia="宋体" w:cs="Times New Roman"/>
                <w:color w:val="auto"/>
                <w:szCs w:val="21"/>
                <w:u w:val="single" w:color="auto"/>
              </w:rPr>
              <w:t>交</w:t>
            </w:r>
            <w:r>
              <w:rPr>
                <w:rFonts w:ascii="Times New Roman" w:hAnsi="Times New Roman" w:eastAsia="宋体" w:cs="Times New Roman"/>
                <w:color w:val="auto"/>
                <w:szCs w:val="21"/>
                <w:u w:val="single" w:color="auto"/>
              </w:rPr>
              <w:t>有资质的单位处理</w:t>
            </w:r>
          </w:p>
        </w:tc>
      </w:tr>
      <w:tr w14:paraId="3DBB5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29784FA3">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1470E12C">
            <w:pPr>
              <w:snapToGrid w:val="0"/>
              <w:jc w:val="center"/>
              <w:rPr>
                <w:rFonts w:ascii="Times New Roman" w:hAnsi="Times New Roman" w:eastAsia="宋体" w:cs="Times New Roman"/>
                <w:color w:val="auto"/>
                <w:szCs w:val="21"/>
                <w:u w:val="single" w:color="auto"/>
              </w:rPr>
            </w:pPr>
          </w:p>
        </w:tc>
        <w:tc>
          <w:tcPr>
            <w:tcW w:w="1064" w:type="dxa"/>
            <w:vMerge w:val="continue"/>
            <w:vAlign w:val="center"/>
          </w:tcPr>
          <w:p w14:paraId="531BE253">
            <w:pPr>
              <w:snapToGrid w:val="0"/>
              <w:jc w:val="center"/>
              <w:rPr>
                <w:rFonts w:ascii="Times New Roman" w:hAnsi="Times New Roman" w:eastAsia="宋体" w:cs="Times New Roman"/>
                <w:color w:val="auto"/>
                <w:szCs w:val="21"/>
                <w:u w:val="single" w:color="auto"/>
              </w:rPr>
            </w:pPr>
          </w:p>
        </w:tc>
        <w:tc>
          <w:tcPr>
            <w:tcW w:w="6304" w:type="dxa"/>
            <w:vAlign w:val="center"/>
          </w:tcPr>
          <w:p w14:paraId="5ACDB3F2">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生活垃圾设置垃圾桶集中收集，由环卫部门处理</w:t>
            </w:r>
          </w:p>
        </w:tc>
      </w:tr>
      <w:tr w14:paraId="27C35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dxa"/>
            <w:vMerge w:val="continue"/>
            <w:vAlign w:val="center"/>
          </w:tcPr>
          <w:p w14:paraId="40932C08">
            <w:pPr>
              <w:snapToGrid w:val="0"/>
              <w:jc w:val="center"/>
              <w:rPr>
                <w:rFonts w:ascii="Times New Roman" w:hAnsi="Times New Roman" w:eastAsia="宋体" w:cs="Times New Roman"/>
                <w:color w:val="auto"/>
                <w:szCs w:val="21"/>
                <w:u w:val="single" w:color="auto"/>
              </w:rPr>
            </w:pPr>
          </w:p>
        </w:tc>
        <w:tc>
          <w:tcPr>
            <w:tcW w:w="675" w:type="dxa"/>
            <w:vMerge w:val="continue"/>
            <w:vAlign w:val="center"/>
          </w:tcPr>
          <w:p w14:paraId="57039492">
            <w:pPr>
              <w:snapToGrid w:val="0"/>
              <w:jc w:val="center"/>
              <w:rPr>
                <w:rFonts w:ascii="Times New Roman" w:hAnsi="Times New Roman" w:eastAsia="宋体" w:cs="Times New Roman"/>
                <w:color w:val="auto"/>
                <w:szCs w:val="21"/>
                <w:u w:val="single" w:color="auto"/>
              </w:rPr>
            </w:pPr>
          </w:p>
        </w:tc>
        <w:tc>
          <w:tcPr>
            <w:tcW w:w="1064" w:type="dxa"/>
            <w:vAlign w:val="center"/>
          </w:tcPr>
          <w:p w14:paraId="53307C66">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环境风险</w:t>
            </w:r>
          </w:p>
        </w:tc>
        <w:tc>
          <w:tcPr>
            <w:tcW w:w="6304" w:type="dxa"/>
            <w:vAlign w:val="center"/>
          </w:tcPr>
          <w:p w14:paraId="434E1A96">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涂装车间</w:t>
            </w:r>
            <w:r>
              <w:rPr>
                <w:rFonts w:hint="eastAsia" w:ascii="Times New Roman" w:hAnsi="Times New Roman" w:eastAsia="宋体" w:cs="Times New Roman"/>
                <w:color w:val="auto"/>
                <w:szCs w:val="21"/>
                <w:u w:val="single" w:color="auto"/>
              </w:rPr>
              <w:t>西</w:t>
            </w:r>
            <w:r>
              <w:rPr>
                <w:rFonts w:hint="eastAsia" w:ascii="Times New Roman" w:hAnsi="Times New Roman" w:eastAsia="宋体" w:cs="Times New Roman"/>
                <w:color w:val="auto"/>
                <w:szCs w:val="21"/>
                <w:u w:val="single" w:color="auto"/>
                <w:lang w:val="en-US" w:eastAsia="zh-CN"/>
              </w:rPr>
              <w:t>北</w:t>
            </w:r>
            <w:r>
              <w:rPr>
                <w:rFonts w:hint="eastAsia" w:ascii="Times New Roman" w:hAnsi="Times New Roman" w:eastAsia="宋体" w:cs="Times New Roman"/>
                <w:color w:val="auto"/>
                <w:szCs w:val="21"/>
                <w:u w:val="single" w:color="auto"/>
              </w:rPr>
              <w:t>侧设置1座150m</w:t>
            </w:r>
            <w:r>
              <w:rPr>
                <w:rFonts w:hint="eastAsia" w:ascii="Times New Roman" w:hAnsi="Times New Roman" w:eastAsia="宋体" w:cs="Times New Roman"/>
                <w:color w:val="auto"/>
                <w:szCs w:val="21"/>
                <w:u w:val="single" w:color="auto"/>
                <w:vertAlign w:val="superscript"/>
              </w:rPr>
              <w:t>3</w:t>
            </w:r>
            <w:r>
              <w:rPr>
                <w:rFonts w:hint="eastAsia" w:ascii="Times New Roman" w:hAnsi="Times New Roman" w:eastAsia="宋体" w:cs="Times New Roman"/>
                <w:color w:val="auto"/>
                <w:szCs w:val="21"/>
                <w:u w:val="single" w:color="auto"/>
              </w:rPr>
              <w:t>的事故应急池</w:t>
            </w:r>
          </w:p>
        </w:tc>
      </w:tr>
    </w:tbl>
    <w:p w14:paraId="7F3CF8A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35" w:name="_Toc3728165"/>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lang w:val="en-US" w:eastAsia="zh-CN"/>
        </w:rPr>
        <w:t>3</w:t>
      </w:r>
      <w:r>
        <w:rPr>
          <w:rFonts w:hint="eastAsia" w:ascii="Times New Roman" w:hAnsi="Times New Roman" w:eastAsia="宋体" w:cs="Times New Roman"/>
          <w:b/>
          <w:color w:val="auto"/>
          <w:kern w:val="0"/>
          <w:sz w:val="28"/>
          <w:szCs w:val="20"/>
          <w:u w:val="none" w:color="auto"/>
        </w:rPr>
        <w:t>建设规模及产品方案</w:t>
      </w:r>
    </w:p>
    <w:p w14:paraId="58706192">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本项目主要从事钢结构产品生产，主要产品有钢箱桥梁、</w:t>
      </w:r>
      <w:r>
        <w:rPr>
          <w:rFonts w:hint="eastAsia" w:ascii="Times New Roman" w:hAnsi="Times New Roman" w:eastAsia="宋体" w:cs="Times New Roman"/>
          <w:color w:val="auto"/>
          <w:sz w:val="24"/>
          <w:szCs w:val="24"/>
          <w:u w:val="none" w:color="auto"/>
          <w:lang w:eastAsia="zh-CN"/>
        </w:rPr>
        <w:t>海桩</w:t>
      </w:r>
      <w:r>
        <w:rPr>
          <w:rFonts w:ascii="Times New Roman" w:hAnsi="Times New Roman" w:eastAsia="宋体" w:cs="Times New Roman"/>
          <w:color w:val="auto"/>
          <w:sz w:val="24"/>
          <w:szCs w:val="24"/>
          <w:u w:val="none" w:color="auto"/>
        </w:rPr>
        <w:t>及导管架。本项目建设规模及产品方案见表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2</w:t>
      </w:r>
      <w:r>
        <w:rPr>
          <w:rFonts w:ascii="Times New Roman" w:hAnsi="Times New Roman" w:eastAsia="宋体" w:cs="Times New Roman"/>
          <w:color w:val="auto"/>
          <w:sz w:val="24"/>
          <w:szCs w:val="24"/>
          <w:u w:val="none" w:color="auto"/>
        </w:rPr>
        <w:t>。</w:t>
      </w:r>
    </w:p>
    <w:p w14:paraId="4FC4F302">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2</w:t>
      </w:r>
      <w:r>
        <w:rPr>
          <w:rFonts w:hint="eastAsia" w:ascii="Times New Roman" w:hAnsi="Times New Roman" w:eastAsia="宋体" w:cs="Times New Roman"/>
          <w:b/>
          <w:bCs/>
          <w:color w:val="auto"/>
          <w:sz w:val="24"/>
          <w:szCs w:val="24"/>
          <w:u w:val="none" w:color="auto"/>
        </w:rPr>
        <w:t>产品方案</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067"/>
        <w:gridCol w:w="1062"/>
        <w:gridCol w:w="1065"/>
        <w:gridCol w:w="1065"/>
        <w:gridCol w:w="1065"/>
        <w:gridCol w:w="1065"/>
        <w:gridCol w:w="1066"/>
      </w:tblGrid>
      <w:tr w14:paraId="5FEF1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37095882">
            <w:pPr>
              <w:snapToGrid w:val="0"/>
              <w:jc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序号</w:t>
            </w:r>
          </w:p>
        </w:tc>
        <w:tc>
          <w:tcPr>
            <w:tcW w:w="625" w:type="pct"/>
            <w:vAlign w:val="center"/>
          </w:tcPr>
          <w:p w14:paraId="79342640">
            <w:pPr>
              <w:snapToGrid w:val="0"/>
              <w:jc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产品名称</w:t>
            </w:r>
          </w:p>
        </w:tc>
        <w:tc>
          <w:tcPr>
            <w:tcW w:w="623" w:type="pct"/>
            <w:vAlign w:val="center"/>
          </w:tcPr>
          <w:p w14:paraId="2D0FDA71">
            <w:pPr>
              <w:snapToGrid w:val="0"/>
              <w:jc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产量（t/a）</w:t>
            </w:r>
          </w:p>
        </w:tc>
        <w:tc>
          <w:tcPr>
            <w:tcW w:w="1065" w:type="dxa"/>
            <w:vAlign w:val="center"/>
          </w:tcPr>
          <w:p w14:paraId="6231EDA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单个重量（吨）</w:t>
            </w:r>
          </w:p>
        </w:tc>
        <w:tc>
          <w:tcPr>
            <w:tcW w:w="1065" w:type="dxa"/>
            <w:vAlign w:val="center"/>
          </w:tcPr>
          <w:p w14:paraId="38FCA5EF">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年产量（</w:t>
            </w:r>
            <w:r>
              <w:rPr>
                <w:rFonts w:hint="eastAsia" w:ascii="Times New Roman" w:hAnsi="Times New Roman" w:eastAsia="宋体" w:cs="Times New Roman"/>
                <w:b w:val="0"/>
                <w:bCs w:val="0"/>
                <w:i w:val="0"/>
                <w:iCs w:val="0"/>
                <w:color w:val="auto"/>
                <w:kern w:val="0"/>
                <w:sz w:val="21"/>
                <w:szCs w:val="21"/>
                <w:u w:val="single" w:color="auto"/>
                <w:lang w:val="en-US" w:eastAsia="zh-CN" w:bidi="ar"/>
              </w:rPr>
              <w:t>套</w:t>
            </w:r>
            <w:r>
              <w:rPr>
                <w:rFonts w:hint="default" w:ascii="Times New Roman" w:hAnsi="Times New Roman" w:eastAsia="宋体" w:cs="Times New Roman"/>
                <w:b w:val="0"/>
                <w:bCs w:val="0"/>
                <w:i w:val="0"/>
                <w:iCs w:val="0"/>
                <w:color w:val="auto"/>
                <w:kern w:val="0"/>
                <w:sz w:val="21"/>
                <w:szCs w:val="21"/>
                <w:u w:val="single" w:color="auto"/>
                <w:lang w:val="en-US" w:eastAsia="zh-CN" w:bidi="ar"/>
              </w:rPr>
              <w:t>）</w:t>
            </w:r>
          </w:p>
        </w:tc>
        <w:tc>
          <w:tcPr>
            <w:tcW w:w="1065" w:type="dxa"/>
            <w:vAlign w:val="center"/>
          </w:tcPr>
          <w:p w14:paraId="3BBC2FE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每</w:t>
            </w:r>
            <w:r>
              <w:rPr>
                <w:rFonts w:hint="eastAsia" w:ascii="Times New Roman" w:hAnsi="Times New Roman" w:eastAsia="宋体" w:cs="Times New Roman"/>
                <w:b w:val="0"/>
                <w:bCs w:val="0"/>
                <w:i w:val="0"/>
                <w:iCs w:val="0"/>
                <w:color w:val="auto"/>
                <w:kern w:val="0"/>
                <w:sz w:val="21"/>
                <w:szCs w:val="21"/>
                <w:u w:val="single" w:color="auto"/>
                <w:lang w:val="en-US" w:eastAsia="zh-CN" w:bidi="ar"/>
              </w:rPr>
              <w:t>套</w:t>
            </w:r>
            <w:r>
              <w:rPr>
                <w:rFonts w:hint="default" w:ascii="Times New Roman" w:hAnsi="Times New Roman" w:eastAsia="宋体" w:cs="Times New Roman"/>
                <w:b w:val="0"/>
                <w:bCs w:val="0"/>
                <w:i w:val="0"/>
                <w:iCs w:val="0"/>
                <w:color w:val="auto"/>
                <w:kern w:val="0"/>
                <w:sz w:val="21"/>
                <w:szCs w:val="21"/>
                <w:u w:val="single" w:color="auto"/>
                <w:lang w:val="en-US" w:eastAsia="zh-CN" w:bidi="ar"/>
              </w:rPr>
              <w:t>面积（m</w:t>
            </w:r>
            <w:r>
              <w:rPr>
                <w:rFonts w:hint="default" w:ascii="Times New Roman" w:hAnsi="Times New Roman" w:eastAsia="宋体" w:cs="Times New Roman"/>
                <w:b w:val="0"/>
                <w:bCs w:val="0"/>
                <w:i w:val="0"/>
                <w:iCs w:val="0"/>
                <w:color w:val="auto"/>
                <w:kern w:val="0"/>
                <w:sz w:val="21"/>
                <w:szCs w:val="21"/>
                <w:u w:val="single" w:color="auto"/>
                <w:vertAlign w:val="superscript"/>
                <w:lang w:val="en-US" w:eastAsia="zh-CN" w:bidi="ar"/>
              </w:rPr>
              <w:t>2</w:t>
            </w:r>
            <w:r>
              <w:rPr>
                <w:rFonts w:hint="default" w:ascii="Times New Roman" w:hAnsi="Times New Roman" w:eastAsia="宋体" w:cs="Times New Roman"/>
                <w:b w:val="0"/>
                <w:bCs w:val="0"/>
                <w:i w:val="0"/>
                <w:iCs w:val="0"/>
                <w:color w:val="auto"/>
                <w:kern w:val="0"/>
                <w:sz w:val="21"/>
                <w:szCs w:val="21"/>
                <w:u w:val="single" w:color="auto"/>
                <w:lang w:val="en-US" w:eastAsia="zh-CN" w:bidi="ar"/>
              </w:rPr>
              <w:t>）</w:t>
            </w:r>
          </w:p>
        </w:tc>
        <w:tc>
          <w:tcPr>
            <w:tcW w:w="1065" w:type="dxa"/>
            <w:vAlign w:val="center"/>
          </w:tcPr>
          <w:p w14:paraId="4EB7F430">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总涂装面积（m</w:t>
            </w:r>
            <w:r>
              <w:rPr>
                <w:rFonts w:hint="default" w:ascii="Times New Roman" w:hAnsi="Times New Roman" w:eastAsia="宋体" w:cs="Times New Roman"/>
                <w:b w:val="0"/>
                <w:bCs w:val="0"/>
                <w:i w:val="0"/>
                <w:iCs w:val="0"/>
                <w:color w:val="auto"/>
                <w:kern w:val="0"/>
                <w:sz w:val="21"/>
                <w:szCs w:val="21"/>
                <w:u w:val="single" w:color="auto"/>
                <w:vertAlign w:val="superscript"/>
                <w:lang w:val="en-US" w:eastAsia="zh-CN" w:bidi="ar"/>
              </w:rPr>
              <w:t>2</w:t>
            </w:r>
            <w:r>
              <w:rPr>
                <w:rFonts w:hint="default" w:ascii="Times New Roman" w:hAnsi="Times New Roman" w:eastAsia="宋体" w:cs="Times New Roman"/>
                <w:b w:val="0"/>
                <w:bCs w:val="0"/>
                <w:i w:val="0"/>
                <w:iCs w:val="0"/>
                <w:color w:val="auto"/>
                <w:kern w:val="0"/>
                <w:sz w:val="21"/>
                <w:szCs w:val="21"/>
                <w:u w:val="single" w:color="auto"/>
                <w:lang w:val="en-US" w:eastAsia="zh-CN" w:bidi="ar"/>
              </w:rPr>
              <w:t>）</w:t>
            </w:r>
          </w:p>
        </w:tc>
        <w:tc>
          <w:tcPr>
            <w:tcW w:w="625" w:type="pct"/>
            <w:vAlign w:val="center"/>
          </w:tcPr>
          <w:p w14:paraId="02C776CE">
            <w:pPr>
              <w:snapToGrid w:val="0"/>
              <w:jc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年工作时数</w:t>
            </w:r>
          </w:p>
        </w:tc>
      </w:tr>
      <w:tr w14:paraId="7F9C7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Align w:val="center"/>
          </w:tcPr>
          <w:p w14:paraId="352BF454">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1</w:t>
            </w:r>
          </w:p>
        </w:tc>
        <w:tc>
          <w:tcPr>
            <w:tcW w:w="625" w:type="pct"/>
            <w:vAlign w:val="center"/>
          </w:tcPr>
          <w:p w14:paraId="46972A68">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val="en-US" w:eastAsia="zh-CN" w:bidi="ar"/>
              </w:rPr>
              <w:t>海</w:t>
            </w:r>
            <w:r>
              <w:rPr>
                <w:rFonts w:hint="default" w:ascii="Times New Roman" w:hAnsi="Times New Roman" w:eastAsia="宋体" w:cs="Times New Roman"/>
                <w:b w:val="0"/>
                <w:bCs w:val="0"/>
                <w:color w:val="auto"/>
                <w:kern w:val="0"/>
                <w:sz w:val="21"/>
                <w:szCs w:val="21"/>
                <w:u w:val="single" w:color="auto"/>
                <w:lang w:bidi="ar"/>
              </w:rPr>
              <w:t>桩</w:t>
            </w:r>
          </w:p>
        </w:tc>
        <w:tc>
          <w:tcPr>
            <w:tcW w:w="623" w:type="pct"/>
            <w:vAlign w:val="center"/>
          </w:tcPr>
          <w:p w14:paraId="16E6CCFA">
            <w:pPr>
              <w:widowControl/>
              <w:snapToGrid w:val="0"/>
              <w:jc w:val="center"/>
              <w:textAlignment w:val="center"/>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kern w:val="0"/>
                <w:sz w:val="21"/>
                <w:szCs w:val="21"/>
                <w:u w:val="single" w:color="auto"/>
                <w:lang w:val="en-US" w:eastAsia="zh-CN" w:bidi="ar"/>
              </w:rPr>
              <w:t>70000</w:t>
            </w:r>
          </w:p>
        </w:tc>
        <w:tc>
          <w:tcPr>
            <w:tcW w:w="1065" w:type="dxa"/>
            <w:vAlign w:val="center"/>
          </w:tcPr>
          <w:p w14:paraId="640B277B">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700</w:t>
            </w:r>
          </w:p>
        </w:tc>
        <w:tc>
          <w:tcPr>
            <w:tcW w:w="1065" w:type="dxa"/>
            <w:vAlign w:val="center"/>
          </w:tcPr>
          <w:p w14:paraId="2449E482">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100</w:t>
            </w:r>
          </w:p>
        </w:tc>
        <w:tc>
          <w:tcPr>
            <w:tcW w:w="1065" w:type="dxa"/>
            <w:vAlign w:val="center"/>
          </w:tcPr>
          <w:p w14:paraId="2A08B13A">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560</w:t>
            </w:r>
          </w:p>
        </w:tc>
        <w:tc>
          <w:tcPr>
            <w:tcW w:w="1065" w:type="dxa"/>
            <w:vAlign w:val="center"/>
          </w:tcPr>
          <w:p w14:paraId="0387F85E">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56000</w:t>
            </w:r>
          </w:p>
        </w:tc>
        <w:tc>
          <w:tcPr>
            <w:tcW w:w="625" w:type="pct"/>
            <w:vAlign w:val="center"/>
          </w:tcPr>
          <w:p w14:paraId="69B53F96">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7920h</w:t>
            </w:r>
          </w:p>
        </w:tc>
      </w:tr>
      <w:tr w14:paraId="3170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B6B3803">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2</w:t>
            </w:r>
          </w:p>
        </w:tc>
        <w:tc>
          <w:tcPr>
            <w:tcW w:w="625" w:type="pct"/>
            <w:vAlign w:val="center"/>
          </w:tcPr>
          <w:p w14:paraId="577BA151">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桥梁</w:t>
            </w:r>
          </w:p>
        </w:tc>
        <w:tc>
          <w:tcPr>
            <w:tcW w:w="623" w:type="pct"/>
            <w:vAlign w:val="center"/>
          </w:tcPr>
          <w:p w14:paraId="108A026C">
            <w:pPr>
              <w:widowControl/>
              <w:snapToGrid w:val="0"/>
              <w:jc w:val="center"/>
              <w:textAlignment w:val="center"/>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kern w:val="0"/>
                <w:sz w:val="21"/>
                <w:szCs w:val="21"/>
                <w:u w:val="single" w:color="auto"/>
                <w:lang w:val="en-US" w:eastAsia="zh-CN" w:bidi="ar"/>
              </w:rPr>
              <w:t>50000</w:t>
            </w:r>
          </w:p>
        </w:tc>
        <w:tc>
          <w:tcPr>
            <w:tcW w:w="1065" w:type="dxa"/>
            <w:vAlign w:val="center"/>
          </w:tcPr>
          <w:p w14:paraId="5DC8E6BB">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400</w:t>
            </w:r>
          </w:p>
        </w:tc>
        <w:tc>
          <w:tcPr>
            <w:tcW w:w="1065" w:type="dxa"/>
            <w:vAlign w:val="center"/>
          </w:tcPr>
          <w:p w14:paraId="48DBF62B">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125</w:t>
            </w:r>
          </w:p>
        </w:tc>
        <w:tc>
          <w:tcPr>
            <w:tcW w:w="1065" w:type="dxa"/>
            <w:vAlign w:val="center"/>
          </w:tcPr>
          <w:p w14:paraId="73AD6837">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576</w:t>
            </w:r>
          </w:p>
        </w:tc>
        <w:tc>
          <w:tcPr>
            <w:tcW w:w="1065" w:type="dxa"/>
            <w:vAlign w:val="center"/>
          </w:tcPr>
          <w:p w14:paraId="7BC8519F">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72000</w:t>
            </w:r>
          </w:p>
        </w:tc>
        <w:tc>
          <w:tcPr>
            <w:tcW w:w="625" w:type="pct"/>
            <w:vAlign w:val="center"/>
          </w:tcPr>
          <w:p w14:paraId="51A3AF95">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7920h</w:t>
            </w:r>
          </w:p>
        </w:tc>
      </w:tr>
      <w:tr w14:paraId="30207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2A37A000">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3</w:t>
            </w:r>
          </w:p>
        </w:tc>
        <w:tc>
          <w:tcPr>
            <w:tcW w:w="625" w:type="pct"/>
            <w:vAlign w:val="center"/>
          </w:tcPr>
          <w:p w14:paraId="1A109010">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导管架</w:t>
            </w:r>
          </w:p>
        </w:tc>
        <w:tc>
          <w:tcPr>
            <w:tcW w:w="623" w:type="pct"/>
            <w:vAlign w:val="center"/>
          </w:tcPr>
          <w:p w14:paraId="7CB1DDD2">
            <w:pPr>
              <w:widowControl/>
              <w:snapToGrid w:val="0"/>
              <w:jc w:val="center"/>
              <w:textAlignment w:val="center"/>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kern w:val="0"/>
                <w:sz w:val="21"/>
                <w:szCs w:val="21"/>
                <w:u w:val="single" w:color="auto"/>
                <w:lang w:val="en-US" w:eastAsia="zh-CN" w:bidi="ar"/>
              </w:rPr>
              <w:t>40000</w:t>
            </w:r>
          </w:p>
        </w:tc>
        <w:tc>
          <w:tcPr>
            <w:tcW w:w="1065" w:type="dxa"/>
            <w:vAlign w:val="center"/>
          </w:tcPr>
          <w:p w14:paraId="22A7639A">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1000</w:t>
            </w:r>
          </w:p>
        </w:tc>
        <w:tc>
          <w:tcPr>
            <w:tcW w:w="1065" w:type="dxa"/>
            <w:vAlign w:val="center"/>
          </w:tcPr>
          <w:p w14:paraId="4A063A71">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40</w:t>
            </w:r>
          </w:p>
        </w:tc>
        <w:tc>
          <w:tcPr>
            <w:tcW w:w="1065" w:type="dxa"/>
            <w:vAlign w:val="center"/>
          </w:tcPr>
          <w:p w14:paraId="585D823C">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800</w:t>
            </w:r>
          </w:p>
        </w:tc>
        <w:tc>
          <w:tcPr>
            <w:tcW w:w="1065" w:type="dxa"/>
            <w:vAlign w:val="center"/>
          </w:tcPr>
          <w:p w14:paraId="37AF3D37">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default" w:ascii="Times New Roman" w:hAnsi="Times New Roman" w:eastAsia="宋体" w:cs="Times New Roman"/>
                <w:b w:val="0"/>
                <w:bCs w:val="0"/>
                <w:i w:val="0"/>
                <w:iCs w:val="0"/>
                <w:color w:val="auto"/>
                <w:kern w:val="0"/>
                <w:sz w:val="21"/>
                <w:szCs w:val="21"/>
                <w:u w:val="single" w:color="auto"/>
                <w:lang w:val="en-US" w:eastAsia="zh-CN" w:bidi="ar"/>
              </w:rPr>
              <w:t>32000</w:t>
            </w:r>
          </w:p>
        </w:tc>
        <w:tc>
          <w:tcPr>
            <w:tcW w:w="625" w:type="pct"/>
            <w:vAlign w:val="center"/>
          </w:tcPr>
          <w:p w14:paraId="76F4B496">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7920h</w:t>
            </w:r>
          </w:p>
        </w:tc>
      </w:tr>
      <w:tr w14:paraId="1D434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14:paraId="08C20707">
            <w:pPr>
              <w:snapToGrid w:val="0"/>
              <w:jc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sz w:val="21"/>
                <w:szCs w:val="21"/>
                <w:u w:val="single" w:color="auto"/>
              </w:rPr>
              <w:t>合计</w:t>
            </w:r>
          </w:p>
        </w:tc>
        <w:tc>
          <w:tcPr>
            <w:tcW w:w="623" w:type="pct"/>
            <w:vAlign w:val="center"/>
          </w:tcPr>
          <w:p w14:paraId="747D2BEC">
            <w:pPr>
              <w:widowControl/>
              <w:snapToGrid w:val="0"/>
              <w:jc w:val="center"/>
              <w:textAlignment w:val="center"/>
              <w:rPr>
                <w:rFonts w:hint="default" w:ascii="Times New Roman" w:hAnsi="Times New Roman" w:eastAsia="宋体" w:cs="Times New Roman"/>
                <w:b w:val="0"/>
                <w:bCs w:val="0"/>
                <w:color w:val="auto"/>
                <w:sz w:val="21"/>
                <w:szCs w:val="21"/>
                <w:u w:val="single" w:color="auto"/>
                <w:lang w:val="en-US" w:eastAsia="zh-CN"/>
              </w:rPr>
            </w:pPr>
            <w:r>
              <w:rPr>
                <w:rFonts w:hint="default" w:ascii="Times New Roman" w:hAnsi="Times New Roman" w:eastAsia="宋体" w:cs="Times New Roman"/>
                <w:b w:val="0"/>
                <w:bCs w:val="0"/>
                <w:color w:val="auto"/>
                <w:kern w:val="0"/>
                <w:sz w:val="21"/>
                <w:szCs w:val="21"/>
                <w:u w:val="single" w:color="auto"/>
                <w:lang w:val="en-US" w:eastAsia="zh-CN" w:bidi="ar"/>
              </w:rPr>
              <w:t>160000</w:t>
            </w:r>
          </w:p>
        </w:tc>
        <w:tc>
          <w:tcPr>
            <w:tcW w:w="625" w:type="pct"/>
            <w:vAlign w:val="center"/>
          </w:tcPr>
          <w:p w14:paraId="51679675">
            <w:pPr>
              <w:widowControl/>
              <w:snapToGrid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eastAsia" w:ascii="Times New Roman" w:hAnsi="Times New Roman" w:eastAsia="宋体" w:cs="Times New Roman"/>
                <w:b w:val="0"/>
                <w:bCs w:val="0"/>
                <w:color w:val="auto"/>
                <w:kern w:val="0"/>
                <w:sz w:val="21"/>
                <w:szCs w:val="21"/>
                <w:u w:val="single" w:color="auto"/>
                <w:lang w:val="en-US" w:eastAsia="zh-CN" w:bidi="ar"/>
              </w:rPr>
              <w:t>/</w:t>
            </w:r>
          </w:p>
        </w:tc>
        <w:tc>
          <w:tcPr>
            <w:tcW w:w="625" w:type="pct"/>
            <w:vAlign w:val="center"/>
          </w:tcPr>
          <w:p w14:paraId="0A002221">
            <w:pPr>
              <w:widowControl/>
              <w:snapToGrid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eastAsia" w:ascii="Times New Roman" w:hAnsi="Times New Roman" w:eastAsia="宋体" w:cs="Times New Roman"/>
                <w:b w:val="0"/>
                <w:bCs w:val="0"/>
                <w:color w:val="auto"/>
                <w:kern w:val="0"/>
                <w:sz w:val="21"/>
                <w:szCs w:val="21"/>
                <w:u w:val="single" w:color="auto"/>
                <w:lang w:val="en-US" w:eastAsia="zh-CN" w:bidi="ar"/>
              </w:rPr>
              <w:t>/</w:t>
            </w:r>
          </w:p>
        </w:tc>
        <w:tc>
          <w:tcPr>
            <w:tcW w:w="625" w:type="pct"/>
            <w:vAlign w:val="center"/>
          </w:tcPr>
          <w:p w14:paraId="220EFA4B">
            <w:pPr>
              <w:widowControl/>
              <w:snapToGrid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eastAsia" w:ascii="Times New Roman" w:hAnsi="Times New Roman" w:eastAsia="宋体" w:cs="Times New Roman"/>
                <w:b w:val="0"/>
                <w:bCs w:val="0"/>
                <w:color w:val="auto"/>
                <w:kern w:val="0"/>
                <w:sz w:val="21"/>
                <w:szCs w:val="21"/>
                <w:u w:val="single" w:color="auto"/>
                <w:lang w:val="en-US" w:eastAsia="zh-CN" w:bidi="ar"/>
              </w:rPr>
              <w:t>/</w:t>
            </w:r>
          </w:p>
        </w:tc>
        <w:tc>
          <w:tcPr>
            <w:tcW w:w="625" w:type="pct"/>
            <w:vAlign w:val="center"/>
          </w:tcPr>
          <w:p w14:paraId="21A0DE29">
            <w:pPr>
              <w:widowControl/>
              <w:snapToGrid w:val="0"/>
              <w:jc w:val="center"/>
              <w:textAlignment w:val="center"/>
              <w:rPr>
                <w:rFonts w:hint="default" w:ascii="Times New Roman" w:hAnsi="Times New Roman" w:eastAsia="宋体" w:cs="Times New Roman"/>
                <w:b w:val="0"/>
                <w:bCs w:val="0"/>
                <w:color w:val="auto"/>
                <w:kern w:val="0"/>
                <w:sz w:val="21"/>
                <w:szCs w:val="21"/>
                <w:u w:val="single" w:color="auto"/>
                <w:lang w:val="en-US" w:eastAsia="zh-CN" w:bidi="ar"/>
              </w:rPr>
            </w:pPr>
            <w:r>
              <w:rPr>
                <w:rFonts w:hint="eastAsia" w:ascii="Times New Roman" w:hAnsi="Times New Roman" w:eastAsia="宋体" w:cs="Times New Roman"/>
                <w:b w:val="0"/>
                <w:bCs w:val="0"/>
                <w:color w:val="auto"/>
                <w:kern w:val="0"/>
                <w:sz w:val="21"/>
                <w:szCs w:val="21"/>
                <w:u w:val="single" w:color="auto"/>
                <w:lang w:val="en-US" w:eastAsia="zh-CN" w:bidi="ar"/>
              </w:rPr>
              <w:t>160000</w:t>
            </w:r>
          </w:p>
        </w:tc>
        <w:tc>
          <w:tcPr>
            <w:tcW w:w="625" w:type="pct"/>
            <w:vAlign w:val="center"/>
          </w:tcPr>
          <w:p w14:paraId="51FCE458">
            <w:pPr>
              <w:widowControl/>
              <w:snapToGrid w:val="0"/>
              <w:jc w:val="center"/>
              <w:textAlignment w:val="center"/>
              <w:rPr>
                <w:rFonts w:hint="default" w:ascii="Times New Roman" w:hAnsi="Times New Roman" w:eastAsia="宋体" w:cs="Times New Roman"/>
                <w:b w:val="0"/>
                <w:bCs w:val="0"/>
                <w:color w:val="auto"/>
                <w:sz w:val="21"/>
                <w:szCs w:val="21"/>
                <w:u w:val="single" w:color="auto"/>
              </w:rPr>
            </w:pPr>
            <w:r>
              <w:rPr>
                <w:rFonts w:hint="default" w:ascii="Times New Roman" w:hAnsi="Times New Roman" w:eastAsia="宋体" w:cs="Times New Roman"/>
                <w:b w:val="0"/>
                <w:bCs w:val="0"/>
                <w:color w:val="auto"/>
                <w:kern w:val="0"/>
                <w:sz w:val="21"/>
                <w:szCs w:val="21"/>
                <w:u w:val="single" w:color="auto"/>
                <w:lang w:bidi="ar"/>
              </w:rPr>
              <w:t>/</w:t>
            </w:r>
          </w:p>
        </w:tc>
      </w:tr>
    </w:tbl>
    <w:p w14:paraId="2C1B20F4">
      <w:pPr>
        <w:tabs>
          <w:tab w:val="left" w:pos="1288"/>
        </w:tabs>
        <w:autoSpaceDE w:val="0"/>
        <w:autoSpaceDN w:val="0"/>
        <w:adjustRightInd w:val="0"/>
        <w:spacing w:line="360" w:lineRule="auto"/>
        <w:jc w:val="left"/>
        <w:textAlignment w:val="baseline"/>
        <w:outlineLvl w:val="2"/>
        <w:rPr>
          <w:rFonts w:hint="eastAsia" w:ascii="Times New Roman" w:hAnsi="Times New Roman" w:eastAsia="宋体" w:cs="Times New Roman"/>
          <w:b/>
          <w:color w:val="auto"/>
          <w:kern w:val="0"/>
          <w:sz w:val="28"/>
          <w:szCs w:val="20"/>
          <w:u w:val="none" w:color="auto"/>
          <w:lang w:val="en-US" w:eastAsia="zh-CN"/>
        </w:rPr>
      </w:pPr>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总图布置</w:t>
      </w:r>
      <w:bookmarkEnd w:id="135"/>
    </w:p>
    <w:p w14:paraId="7285BCBE">
      <w:pPr>
        <w:autoSpaceDE w:val="0"/>
        <w:autoSpaceDN w:val="0"/>
        <w:snapToGrid w:val="0"/>
        <w:spacing w:line="360" w:lineRule="auto"/>
        <w:ind w:firstLine="480" w:firstLineChars="200"/>
        <w:jc w:val="left"/>
        <w:rPr>
          <w:rFonts w:hint="eastAsia"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根据生产的流程，</w:t>
      </w:r>
      <w:r>
        <w:rPr>
          <w:rFonts w:hint="eastAsia" w:ascii="Times New Roman" w:hAnsi="Times New Roman" w:eastAsia="宋体" w:cs="Times New Roman"/>
          <w:color w:val="auto"/>
          <w:sz w:val="24"/>
          <w:szCs w:val="24"/>
          <w:u w:val="single" w:color="auto"/>
          <w:lang w:val="en-US" w:eastAsia="zh-CN"/>
        </w:rPr>
        <w:t>项目主要由生产区和成品堆场组成，成品堆场位于南侧，生产区位于北侧，生产区东侧布置倒班宿舍、研发楼等，中部布置装焊车间和卸货堆场，装焊车间内设海</w:t>
      </w:r>
      <w:r>
        <w:rPr>
          <w:rFonts w:hint="eastAsia" w:ascii="Times New Roman" w:hAnsi="Times New Roman" w:eastAsia="宋体" w:cs="Times New Roman"/>
          <w:color w:val="auto"/>
          <w:sz w:val="24"/>
          <w:szCs w:val="24"/>
          <w:u w:val="single" w:color="auto"/>
        </w:rPr>
        <w:t>桩</w:t>
      </w:r>
      <w:r>
        <w:rPr>
          <w:rFonts w:hint="eastAsia" w:ascii="Times New Roman" w:hAnsi="Times New Roman" w:eastAsia="宋体" w:cs="Times New Roman"/>
          <w:color w:val="auto"/>
          <w:sz w:val="24"/>
          <w:szCs w:val="24"/>
          <w:u w:val="single" w:color="auto"/>
          <w:lang w:val="en-US" w:eastAsia="zh-CN"/>
        </w:rPr>
        <w:t>车间、</w:t>
      </w:r>
      <w:r>
        <w:rPr>
          <w:rFonts w:hint="eastAsia" w:ascii="Times New Roman" w:hAnsi="Times New Roman" w:eastAsia="宋体" w:cs="Times New Roman"/>
          <w:color w:val="auto"/>
          <w:sz w:val="24"/>
          <w:szCs w:val="24"/>
          <w:u w:val="single" w:color="auto"/>
        </w:rPr>
        <w:t>桥梁</w:t>
      </w:r>
      <w:r>
        <w:rPr>
          <w:rFonts w:hint="eastAsia" w:ascii="Times New Roman" w:hAnsi="Times New Roman" w:eastAsia="宋体" w:cs="Times New Roman"/>
          <w:color w:val="auto"/>
          <w:sz w:val="24"/>
          <w:szCs w:val="24"/>
          <w:u w:val="single" w:color="auto"/>
          <w:lang w:val="en-US" w:eastAsia="zh-CN"/>
        </w:rPr>
        <w:t>车间、</w:t>
      </w:r>
      <w:r>
        <w:rPr>
          <w:rFonts w:hint="eastAsia" w:ascii="Times New Roman" w:hAnsi="Times New Roman" w:eastAsia="宋体" w:cs="Times New Roman"/>
          <w:color w:val="auto"/>
          <w:sz w:val="24"/>
          <w:szCs w:val="24"/>
          <w:u w:val="single" w:color="auto"/>
        </w:rPr>
        <w:t>导管架</w:t>
      </w:r>
      <w:r>
        <w:rPr>
          <w:rFonts w:hint="eastAsia" w:ascii="Times New Roman" w:hAnsi="Times New Roman" w:eastAsia="宋体" w:cs="Times New Roman"/>
          <w:color w:val="auto"/>
          <w:sz w:val="24"/>
          <w:szCs w:val="24"/>
          <w:u w:val="single" w:color="auto"/>
          <w:lang w:val="en-US" w:eastAsia="zh-CN"/>
        </w:rPr>
        <w:t>车间，西部布置涂装车间和卸货堆场，涂装车间内设海桩涂装车间、涂装车间、打磨车间、总拼车间</w:t>
      </w:r>
      <w:r>
        <w:rPr>
          <w:rFonts w:hint="eastAsia" w:ascii="Times New Roman" w:hAnsi="Times New Roman" w:eastAsia="宋体" w:cs="Times New Roman"/>
          <w:color w:val="auto"/>
          <w:sz w:val="24"/>
          <w:szCs w:val="24"/>
          <w:u w:val="single" w:color="auto"/>
        </w:rPr>
        <w:t>。</w:t>
      </w:r>
    </w:p>
    <w:p w14:paraId="2A659AC8">
      <w:pPr>
        <w:autoSpaceDE w:val="0"/>
        <w:autoSpaceDN w:val="0"/>
        <w:snapToGrid w:val="0"/>
        <w:spacing w:line="360" w:lineRule="auto"/>
        <w:ind w:firstLine="480" w:firstLineChars="200"/>
        <w:jc w:val="left"/>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储运设施应根据物料的性质及运输方式等条件，相对集中布置在运输装卸便利的位置，并宜靠近与其有关的设施。进行合理运输组织，缩短运输距离，便于相互联系，避免人流与物流的交叉，确保人员安全疏散。</w:t>
      </w:r>
    </w:p>
    <w:p w14:paraId="22A4328F">
      <w:pPr>
        <w:autoSpaceDE w:val="0"/>
        <w:autoSpaceDN w:val="0"/>
        <w:snapToGrid w:val="0"/>
        <w:spacing w:line="360" w:lineRule="auto"/>
        <w:ind w:firstLine="480" w:firstLineChars="200"/>
        <w:jc w:val="left"/>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项目厂区功能分区明确，设计中充分考虑当地气象条件，生产区位于厂区的下风向，总平面布置合理。项目总平面布置图见附图2。</w:t>
      </w:r>
    </w:p>
    <w:p w14:paraId="0A35C00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ascii="Times New Roman" w:hAnsi="Times New Roman" w:eastAsia="宋体" w:cs="Times New Roman"/>
          <w:color w:val="auto"/>
          <w:sz w:val="24"/>
          <w:szCs w:val="20"/>
          <w:u w:val="none" w:color="auto"/>
        </w:rPr>
        <w:drawing>
          <wp:anchor distT="0" distB="0" distL="114300" distR="114300" simplePos="0" relativeHeight="251663360" behindDoc="0" locked="0" layoutInCell="1" allowOverlap="1">
            <wp:simplePos x="0" y="0"/>
            <wp:positionH relativeFrom="column">
              <wp:posOffset>11200765</wp:posOffset>
            </wp:positionH>
            <wp:positionV relativeFrom="paragraph">
              <wp:posOffset>1905</wp:posOffset>
            </wp:positionV>
            <wp:extent cx="1274445" cy="1225550"/>
            <wp:effectExtent l="0" t="0" r="5715" b="889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274445" cy="1225550"/>
                    </a:xfrm>
                    <a:prstGeom prst="rect">
                      <a:avLst/>
                    </a:prstGeom>
                    <a:noFill/>
                  </pic:spPr>
                </pic:pic>
              </a:graphicData>
            </a:graphic>
          </wp:anchor>
        </w:drawing>
      </w:r>
      <w:bookmarkStart w:id="136" w:name="_Toc3728166"/>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5主要</w:t>
      </w:r>
      <w:r>
        <w:rPr>
          <w:rFonts w:ascii="Times New Roman" w:hAnsi="Times New Roman" w:eastAsia="宋体" w:cs="Times New Roman"/>
          <w:b/>
          <w:color w:val="auto"/>
          <w:kern w:val="0"/>
          <w:sz w:val="28"/>
          <w:szCs w:val="20"/>
          <w:u w:val="none" w:color="auto"/>
        </w:rPr>
        <w:t>原辅材料</w:t>
      </w:r>
      <w:bookmarkEnd w:id="136"/>
      <w:r>
        <w:rPr>
          <w:rFonts w:hint="eastAsia" w:ascii="Times New Roman" w:hAnsi="Times New Roman" w:eastAsia="宋体" w:cs="Times New Roman"/>
          <w:b/>
          <w:color w:val="auto"/>
          <w:kern w:val="0"/>
          <w:sz w:val="28"/>
          <w:szCs w:val="20"/>
          <w:u w:val="none" w:color="auto"/>
        </w:rPr>
        <w:t>及能源消耗</w:t>
      </w:r>
    </w:p>
    <w:p w14:paraId="1C799B57">
      <w:pPr>
        <w:autoSpaceDE w:val="0"/>
        <w:autoSpaceDN w:val="0"/>
        <w:snapToGrid w:val="0"/>
        <w:spacing w:line="360" w:lineRule="auto"/>
        <w:ind w:firstLine="482" w:firstLineChars="200"/>
        <w:rPr>
          <w:rFonts w:ascii="Times New Roman" w:hAnsi="Times New Roman" w:eastAsia="宋体" w:cs="Times New Roman"/>
          <w:b/>
          <w:bCs/>
          <w:color w:val="auto"/>
          <w:kern w:val="0"/>
          <w:sz w:val="24"/>
          <w:szCs w:val="24"/>
          <w:u w:val="none" w:color="auto"/>
        </w:rPr>
      </w:pPr>
      <w:r>
        <w:rPr>
          <w:rFonts w:hint="eastAsia" w:ascii="Times New Roman" w:hAnsi="Times New Roman" w:eastAsia="宋体" w:cs="Times New Roman"/>
          <w:b/>
          <w:bCs/>
          <w:color w:val="auto"/>
          <w:kern w:val="0"/>
          <w:sz w:val="24"/>
          <w:szCs w:val="24"/>
          <w:u w:val="none" w:color="auto"/>
        </w:rPr>
        <w:t>1、主要原辅材料消耗情况</w:t>
      </w:r>
    </w:p>
    <w:p w14:paraId="4087552D">
      <w:pPr>
        <w:snapToGrid w:val="0"/>
        <w:spacing w:line="360" w:lineRule="auto"/>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本项目主要原辅材料消耗及贮存情况见表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3</w:t>
      </w:r>
      <w:r>
        <w:rPr>
          <w:rFonts w:ascii="Times New Roman" w:hAnsi="Times New Roman" w:eastAsia="宋体" w:cs="Times New Roman"/>
          <w:color w:val="auto"/>
          <w:sz w:val="24"/>
          <w:szCs w:val="24"/>
          <w:u w:val="none" w:color="auto"/>
        </w:rPr>
        <w:t>。</w:t>
      </w:r>
    </w:p>
    <w:p w14:paraId="7551D9CF">
      <w:pPr>
        <w:snapToGrid w:val="0"/>
        <w:spacing w:before="156" w:beforeLines="50"/>
        <w:jc w:val="center"/>
        <w:rPr>
          <w:rFonts w:hint="eastAsia" w:ascii="Times New Roman" w:hAnsi="Times New Roman" w:eastAsia="宋体" w:cs="Times New Roman"/>
          <w:b/>
          <w:bCs/>
          <w:color w:val="auto"/>
          <w:sz w:val="24"/>
          <w:szCs w:val="24"/>
          <w:u w:val="none" w:color="auto"/>
        </w:rPr>
      </w:pPr>
      <w:bookmarkStart w:id="137" w:name="_Hlk80732223"/>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3</w:t>
      </w:r>
      <w:r>
        <w:rPr>
          <w:rFonts w:hint="eastAsia" w:ascii="Times New Roman" w:hAnsi="Times New Roman" w:eastAsia="宋体" w:cs="Times New Roman"/>
          <w:b/>
          <w:bCs/>
          <w:color w:val="auto"/>
          <w:sz w:val="24"/>
          <w:szCs w:val="24"/>
          <w:u w:val="none" w:color="auto"/>
        </w:rPr>
        <w:t>主要原辅材料消耗及贮存情况</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677"/>
        <w:gridCol w:w="1593"/>
        <w:gridCol w:w="1037"/>
        <w:gridCol w:w="2530"/>
        <w:gridCol w:w="956"/>
      </w:tblGrid>
      <w:tr w14:paraId="2F825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01F9567B">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677" w:type="dxa"/>
            <w:vAlign w:val="center"/>
          </w:tcPr>
          <w:p w14:paraId="401E642E">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名称</w:t>
            </w:r>
          </w:p>
        </w:tc>
        <w:tc>
          <w:tcPr>
            <w:tcW w:w="1593" w:type="dxa"/>
            <w:vAlign w:val="center"/>
          </w:tcPr>
          <w:p w14:paraId="45CBFC8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消耗量</w:t>
            </w:r>
          </w:p>
        </w:tc>
        <w:tc>
          <w:tcPr>
            <w:tcW w:w="1037" w:type="dxa"/>
            <w:vAlign w:val="center"/>
          </w:tcPr>
          <w:p w14:paraId="4491C39B">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最大贮存量</w:t>
            </w:r>
          </w:p>
        </w:tc>
        <w:tc>
          <w:tcPr>
            <w:tcW w:w="2530" w:type="dxa"/>
            <w:vAlign w:val="center"/>
          </w:tcPr>
          <w:p w14:paraId="3F27CFF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贮存位置</w:t>
            </w:r>
          </w:p>
        </w:tc>
        <w:tc>
          <w:tcPr>
            <w:tcW w:w="956" w:type="dxa"/>
            <w:vAlign w:val="center"/>
          </w:tcPr>
          <w:p w14:paraId="317E534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包装方式</w:t>
            </w:r>
          </w:p>
        </w:tc>
      </w:tr>
      <w:tr w14:paraId="01EA8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9" w:type="dxa"/>
            <w:vAlign w:val="center"/>
          </w:tcPr>
          <w:p w14:paraId="70418BC9">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w:t>
            </w:r>
          </w:p>
        </w:tc>
        <w:tc>
          <w:tcPr>
            <w:tcW w:w="1677" w:type="dxa"/>
            <w:vAlign w:val="center"/>
          </w:tcPr>
          <w:p w14:paraId="693EFCDC">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钢材</w:t>
            </w:r>
          </w:p>
        </w:tc>
        <w:tc>
          <w:tcPr>
            <w:tcW w:w="1593" w:type="dxa"/>
            <w:vAlign w:val="center"/>
          </w:tcPr>
          <w:p w14:paraId="16ACA88B">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16</w:t>
            </w:r>
            <w:r>
              <w:rPr>
                <w:rFonts w:ascii="Times New Roman" w:hAnsi="Times New Roman" w:eastAsia="宋体" w:cs="Times New Roman"/>
                <w:color w:val="auto"/>
                <w:kern w:val="0"/>
                <w:szCs w:val="21"/>
                <w:u w:val="single" w:color="auto"/>
                <w:lang w:bidi="ar"/>
              </w:rPr>
              <w:t>2</w:t>
            </w:r>
            <w:r>
              <w:rPr>
                <w:rFonts w:hint="eastAsia" w:ascii="Times New Roman" w:hAnsi="Times New Roman" w:eastAsia="宋体" w:cs="Times New Roman"/>
                <w:color w:val="auto"/>
                <w:kern w:val="0"/>
                <w:szCs w:val="21"/>
                <w:u w:val="single" w:color="auto"/>
                <w:lang w:bidi="ar"/>
              </w:rPr>
              <w:t>5</w:t>
            </w:r>
            <w:r>
              <w:rPr>
                <w:rFonts w:ascii="Times New Roman" w:hAnsi="Times New Roman" w:eastAsia="宋体" w:cs="Times New Roman"/>
                <w:color w:val="auto"/>
                <w:kern w:val="0"/>
                <w:szCs w:val="21"/>
                <w:u w:val="single" w:color="auto"/>
                <w:lang w:bidi="ar"/>
              </w:rPr>
              <w:t>00t/a</w:t>
            </w:r>
          </w:p>
        </w:tc>
        <w:tc>
          <w:tcPr>
            <w:tcW w:w="1037" w:type="dxa"/>
            <w:vAlign w:val="center"/>
          </w:tcPr>
          <w:p w14:paraId="23BE120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10000t</w:t>
            </w:r>
          </w:p>
        </w:tc>
        <w:tc>
          <w:tcPr>
            <w:tcW w:w="2530" w:type="dxa"/>
            <w:vAlign w:val="center"/>
          </w:tcPr>
          <w:p w14:paraId="735622BD">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18ED018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w:t>
            </w:r>
          </w:p>
        </w:tc>
      </w:tr>
      <w:tr w14:paraId="638AC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27034C6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w:t>
            </w:r>
          </w:p>
        </w:tc>
        <w:tc>
          <w:tcPr>
            <w:tcW w:w="1677" w:type="dxa"/>
            <w:vAlign w:val="center"/>
          </w:tcPr>
          <w:p w14:paraId="50B5F486">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法兰</w:t>
            </w:r>
          </w:p>
        </w:tc>
        <w:tc>
          <w:tcPr>
            <w:tcW w:w="1593" w:type="dxa"/>
            <w:vAlign w:val="center"/>
          </w:tcPr>
          <w:p w14:paraId="4E52C58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240t/a</w:t>
            </w:r>
          </w:p>
        </w:tc>
        <w:tc>
          <w:tcPr>
            <w:tcW w:w="1037" w:type="dxa"/>
            <w:vAlign w:val="center"/>
          </w:tcPr>
          <w:p w14:paraId="7194D91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100t</w:t>
            </w:r>
          </w:p>
        </w:tc>
        <w:tc>
          <w:tcPr>
            <w:tcW w:w="2530" w:type="dxa"/>
            <w:vAlign w:val="center"/>
          </w:tcPr>
          <w:p w14:paraId="38A7E526">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45778CCF">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7854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04C0DCFA">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3</w:t>
            </w:r>
          </w:p>
        </w:tc>
        <w:tc>
          <w:tcPr>
            <w:tcW w:w="1677" w:type="dxa"/>
            <w:vAlign w:val="center"/>
          </w:tcPr>
          <w:p w14:paraId="6EEBC2A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内部附件</w:t>
            </w:r>
          </w:p>
        </w:tc>
        <w:tc>
          <w:tcPr>
            <w:tcW w:w="1593" w:type="dxa"/>
            <w:vAlign w:val="center"/>
          </w:tcPr>
          <w:p w14:paraId="2B3CBDF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1300t/a</w:t>
            </w:r>
          </w:p>
        </w:tc>
        <w:tc>
          <w:tcPr>
            <w:tcW w:w="1037" w:type="dxa"/>
            <w:vAlign w:val="center"/>
          </w:tcPr>
          <w:p w14:paraId="713D5969">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100t</w:t>
            </w:r>
          </w:p>
        </w:tc>
        <w:tc>
          <w:tcPr>
            <w:tcW w:w="2530" w:type="dxa"/>
            <w:vAlign w:val="center"/>
          </w:tcPr>
          <w:p w14:paraId="69417D72">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2A1D0C69">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580BA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1DCA150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4</w:t>
            </w:r>
          </w:p>
        </w:tc>
        <w:tc>
          <w:tcPr>
            <w:tcW w:w="1677" w:type="dxa"/>
            <w:vAlign w:val="center"/>
          </w:tcPr>
          <w:p w14:paraId="3F9F2A24">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内焊件</w:t>
            </w:r>
          </w:p>
        </w:tc>
        <w:tc>
          <w:tcPr>
            <w:tcW w:w="1593" w:type="dxa"/>
            <w:vAlign w:val="center"/>
          </w:tcPr>
          <w:p w14:paraId="5AD8CFA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60t/a</w:t>
            </w:r>
          </w:p>
        </w:tc>
        <w:tc>
          <w:tcPr>
            <w:tcW w:w="1037" w:type="dxa"/>
            <w:vAlign w:val="center"/>
          </w:tcPr>
          <w:p w14:paraId="3E397F0E">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20t</w:t>
            </w:r>
          </w:p>
        </w:tc>
        <w:tc>
          <w:tcPr>
            <w:tcW w:w="2530" w:type="dxa"/>
            <w:vAlign w:val="center"/>
          </w:tcPr>
          <w:p w14:paraId="20B98560">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5668A119">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6FE70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39FA1A9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5</w:t>
            </w:r>
          </w:p>
        </w:tc>
        <w:tc>
          <w:tcPr>
            <w:tcW w:w="1677" w:type="dxa"/>
            <w:vAlign w:val="center"/>
          </w:tcPr>
          <w:p w14:paraId="6545459A">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门框</w:t>
            </w:r>
          </w:p>
        </w:tc>
        <w:tc>
          <w:tcPr>
            <w:tcW w:w="1593" w:type="dxa"/>
            <w:vAlign w:val="center"/>
          </w:tcPr>
          <w:p w14:paraId="2987B5A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130t/a</w:t>
            </w:r>
          </w:p>
        </w:tc>
        <w:tc>
          <w:tcPr>
            <w:tcW w:w="1037" w:type="dxa"/>
            <w:vAlign w:val="center"/>
          </w:tcPr>
          <w:p w14:paraId="409FE58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30t</w:t>
            </w:r>
          </w:p>
        </w:tc>
        <w:tc>
          <w:tcPr>
            <w:tcW w:w="2530" w:type="dxa"/>
            <w:vAlign w:val="center"/>
          </w:tcPr>
          <w:p w14:paraId="72F1DA2C">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2311A14A">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3A211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3E40725">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6</w:t>
            </w:r>
          </w:p>
        </w:tc>
        <w:tc>
          <w:tcPr>
            <w:tcW w:w="1677" w:type="dxa"/>
            <w:vAlign w:val="center"/>
          </w:tcPr>
          <w:p w14:paraId="2CB8D756">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焊条</w:t>
            </w:r>
          </w:p>
        </w:tc>
        <w:tc>
          <w:tcPr>
            <w:tcW w:w="1593" w:type="dxa"/>
            <w:vAlign w:val="center"/>
          </w:tcPr>
          <w:p w14:paraId="34947E92">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270t/a</w:t>
            </w:r>
          </w:p>
        </w:tc>
        <w:tc>
          <w:tcPr>
            <w:tcW w:w="1037" w:type="dxa"/>
            <w:vAlign w:val="center"/>
          </w:tcPr>
          <w:p w14:paraId="29B14A0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10t</w:t>
            </w:r>
          </w:p>
        </w:tc>
        <w:tc>
          <w:tcPr>
            <w:tcW w:w="2530" w:type="dxa"/>
            <w:vAlign w:val="center"/>
          </w:tcPr>
          <w:p w14:paraId="598A4A26">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673CF717">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3413C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4FE93052">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7</w:t>
            </w:r>
          </w:p>
        </w:tc>
        <w:tc>
          <w:tcPr>
            <w:tcW w:w="1677" w:type="dxa"/>
            <w:vAlign w:val="center"/>
          </w:tcPr>
          <w:p w14:paraId="501697C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钢丸</w:t>
            </w:r>
          </w:p>
        </w:tc>
        <w:tc>
          <w:tcPr>
            <w:tcW w:w="1593" w:type="dxa"/>
            <w:vAlign w:val="center"/>
          </w:tcPr>
          <w:p w14:paraId="5DA303EC">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500t/a</w:t>
            </w:r>
          </w:p>
        </w:tc>
        <w:tc>
          <w:tcPr>
            <w:tcW w:w="1037" w:type="dxa"/>
            <w:vAlign w:val="center"/>
          </w:tcPr>
          <w:p w14:paraId="0AE6EBBE">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100t</w:t>
            </w:r>
          </w:p>
        </w:tc>
        <w:tc>
          <w:tcPr>
            <w:tcW w:w="2530" w:type="dxa"/>
            <w:vAlign w:val="center"/>
          </w:tcPr>
          <w:p w14:paraId="00D0A467">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627C55E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箱装</w:t>
            </w:r>
          </w:p>
        </w:tc>
      </w:tr>
      <w:tr w14:paraId="1A1D1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4AA8AB9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8</w:t>
            </w:r>
          </w:p>
        </w:tc>
        <w:tc>
          <w:tcPr>
            <w:tcW w:w="1677" w:type="dxa"/>
            <w:vAlign w:val="center"/>
          </w:tcPr>
          <w:p w14:paraId="608D33C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丙烷</w:t>
            </w:r>
          </w:p>
        </w:tc>
        <w:tc>
          <w:tcPr>
            <w:tcW w:w="1593" w:type="dxa"/>
            <w:vAlign w:val="center"/>
          </w:tcPr>
          <w:p w14:paraId="0B52EC6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226000m</w:t>
            </w:r>
            <w:r>
              <w:rPr>
                <w:rStyle w:val="149"/>
                <w:rFonts w:eastAsia="宋体"/>
                <w:color w:val="auto"/>
                <w:u w:val="single" w:color="auto"/>
                <w:lang w:bidi="ar"/>
              </w:rPr>
              <w:t>3</w:t>
            </w:r>
            <w:r>
              <w:rPr>
                <w:rFonts w:ascii="Times New Roman" w:hAnsi="Times New Roman" w:eastAsia="宋体" w:cs="Times New Roman"/>
                <w:color w:val="auto"/>
                <w:kern w:val="0"/>
                <w:szCs w:val="21"/>
                <w:u w:val="single" w:color="auto"/>
                <w:lang w:bidi="ar"/>
              </w:rPr>
              <w:t>/a</w:t>
            </w:r>
          </w:p>
        </w:tc>
        <w:tc>
          <w:tcPr>
            <w:tcW w:w="1037" w:type="dxa"/>
            <w:vAlign w:val="center"/>
          </w:tcPr>
          <w:p w14:paraId="17FA82B8">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2000m</w:t>
            </w:r>
            <w:r>
              <w:rPr>
                <w:rStyle w:val="149"/>
                <w:rFonts w:eastAsia="宋体"/>
                <w:color w:val="auto"/>
                <w:u w:val="single" w:color="auto"/>
                <w:lang w:bidi="ar"/>
              </w:rPr>
              <w:t>3</w:t>
            </w:r>
          </w:p>
        </w:tc>
        <w:tc>
          <w:tcPr>
            <w:tcW w:w="2530" w:type="dxa"/>
            <w:vAlign w:val="center"/>
          </w:tcPr>
          <w:p w14:paraId="46752F5F">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5EA85CBE">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瓶装</w:t>
            </w:r>
          </w:p>
        </w:tc>
      </w:tr>
      <w:tr w14:paraId="57258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6A09554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9</w:t>
            </w:r>
          </w:p>
        </w:tc>
        <w:tc>
          <w:tcPr>
            <w:tcW w:w="1677" w:type="dxa"/>
            <w:vAlign w:val="center"/>
          </w:tcPr>
          <w:p w14:paraId="58F5071C">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氧气</w:t>
            </w:r>
          </w:p>
        </w:tc>
        <w:tc>
          <w:tcPr>
            <w:tcW w:w="1593" w:type="dxa"/>
            <w:vAlign w:val="center"/>
          </w:tcPr>
          <w:p w14:paraId="17249BB7">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160000m</w:t>
            </w:r>
            <w:r>
              <w:rPr>
                <w:rStyle w:val="149"/>
                <w:rFonts w:eastAsia="宋体"/>
                <w:color w:val="auto"/>
                <w:u w:val="single" w:color="auto"/>
                <w:lang w:bidi="ar"/>
              </w:rPr>
              <w:t>3</w:t>
            </w:r>
            <w:r>
              <w:rPr>
                <w:rFonts w:ascii="Times New Roman" w:hAnsi="Times New Roman" w:eastAsia="宋体" w:cs="Times New Roman"/>
                <w:color w:val="auto"/>
                <w:kern w:val="0"/>
                <w:szCs w:val="21"/>
                <w:u w:val="single" w:color="auto"/>
                <w:lang w:bidi="ar"/>
              </w:rPr>
              <w:t>/a</w:t>
            </w:r>
          </w:p>
        </w:tc>
        <w:tc>
          <w:tcPr>
            <w:tcW w:w="1037" w:type="dxa"/>
            <w:vAlign w:val="center"/>
          </w:tcPr>
          <w:p w14:paraId="3C32BDD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1000m</w:t>
            </w:r>
            <w:r>
              <w:rPr>
                <w:rStyle w:val="149"/>
                <w:rFonts w:eastAsia="宋体"/>
                <w:color w:val="auto"/>
                <w:u w:val="single" w:color="auto"/>
                <w:lang w:bidi="ar"/>
              </w:rPr>
              <w:t>3</w:t>
            </w:r>
          </w:p>
        </w:tc>
        <w:tc>
          <w:tcPr>
            <w:tcW w:w="2530" w:type="dxa"/>
            <w:vAlign w:val="center"/>
          </w:tcPr>
          <w:p w14:paraId="1B240831">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45AD4D1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瓶装</w:t>
            </w:r>
          </w:p>
        </w:tc>
      </w:tr>
      <w:tr w14:paraId="1DC7D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0E436D0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10</w:t>
            </w:r>
          </w:p>
        </w:tc>
        <w:tc>
          <w:tcPr>
            <w:tcW w:w="1677" w:type="dxa"/>
            <w:vAlign w:val="center"/>
          </w:tcPr>
          <w:p w14:paraId="69DFE261">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二氧化碳</w:t>
            </w:r>
          </w:p>
        </w:tc>
        <w:tc>
          <w:tcPr>
            <w:tcW w:w="1593" w:type="dxa"/>
            <w:vAlign w:val="center"/>
          </w:tcPr>
          <w:p w14:paraId="4CB2C436">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200000m</w:t>
            </w:r>
            <w:r>
              <w:rPr>
                <w:rFonts w:ascii="Times New Roman" w:hAnsi="Times New Roman" w:eastAsia="宋体" w:cs="Times New Roman"/>
                <w:color w:val="auto"/>
                <w:kern w:val="0"/>
                <w:szCs w:val="21"/>
                <w:u w:val="single" w:color="auto"/>
                <w:vertAlign w:val="superscript"/>
                <w:lang w:bidi="ar"/>
              </w:rPr>
              <w:t>3</w:t>
            </w:r>
            <w:r>
              <w:rPr>
                <w:rFonts w:ascii="Times New Roman" w:hAnsi="Times New Roman" w:eastAsia="宋体" w:cs="Times New Roman"/>
                <w:color w:val="auto"/>
                <w:kern w:val="0"/>
                <w:szCs w:val="21"/>
                <w:u w:val="single" w:color="auto"/>
                <w:lang w:bidi="ar"/>
              </w:rPr>
              <w:t>/a</w:t>
            </w:r>
          </w:p>
        </w:tc>
        <w:tc>
          <w:tcPr>
            <w:tcW w:w="1037" w:type="dxa"/>
            <w:vAlign w:val="center"/>
          </w:tcPr>
          <w:p w14:paraId="570ABB7F">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2000m</w:t>
            </w:r>
            <w:r>
              <w:rPr>
                <w:rFonts w:ascii="Times New Roman" w:hAnsi="Times New Roman" w:eastAsia="宋体" w:cs="Times New Roman"/>
                <w:color w:val="auto"/>
                <w:kern w:val="0"/>
                <w:szCs w:val="21"/>
                <w:u w:val="single" w:color="auto"/>
                <w:vertAlign w:val="superscript"/>
                <w:lang w:bidi="ar"/>
              </w:rPr>
              <w:t>3</w:t>
            </w:r>
          </w:p>
        </w:tc>
        <w:tc>
          <w:tcPr>
            <w:tcW w:w="2530" w:type="dxa"/>
            <w:vAlign w:val="center"/>
          </w:tcPr>
          <w:p w14:paraId="106C61F0">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海</w:t>
            </w:r>
            <w:r>
              <w:rPr>
                <w:rFonts w:ascii="Times New Roman" w:hAnsi="Times New Roman" w:eastAsia="宋体" w:cs="Times New Roman"/>
                <w:color w:val="auto"/>
                <w:kern w:val="0"/>
                <w:szCs w:val="21"/>
                <w:u w:val="single" w:color="auto"/>
                <w:lang w:bidi="ar"/>
              </w:rPr>
              <w:t>桩</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桥梁</w:t>
            </w:r>
            <w:r>
              <w:rPr>
                <w:rFonts w:hint="eastAsia" w:ascii="Times New Roman" w:hAnsi="Times New Roman" w:eastAsia="宋体" w:cs="Times New Roman"/>
                <w:color w:val="auto"/>
                <w:kern w:val="0"/>
                <w:szCs w:val="21"/>
                <w:u w:val="single" w:color="auto"/>
                <w:lang w:eastAsia="zh-CN" w:bidi="ar"/>
              </w:rPr>
              <w:t>、</w:t>
            </w:r>
            <w:r>
              <w:rPr>
                <w:rFonts w:ascii="Times New Roman" w:hAnsi="Times New Roman" w:eastAsia="宋体" w:cs="Times New Roman"/>
                <w:color w:val="auto"/>
                <w:kern w:val="0"/>
                <w:szCs w:val="21"/>
                <w:u w:val="single" w:color="auto"/>
                <w:lang w:bidi="ar"/>
              </w:rPr>
              <w:t>导管架</w:t>
            </w:r>
            <w:r>
              <w:rPr>
                <w:rFonts w:hint="eastAsia" w:ascii="Times New Roman" w:hAnsi="Times New Roman" w:eastAsia="宋体" w:cs="Times New Roman"/>
                <w:color w:val="auto"/>
                <w:kern w:val="0"/>
                <w:szCs w:val="21"/>
                <w:u w:val="single" w:color="auto"/>
                <w:lang w:val="en-US" w:eastAsia="zh-CN" w:bidi="ar"/>
              </w:rPr>
              <w:t>车间</w:t>
            </w:r>
          </w:p>
        </w:tc>
        <w:tc>
          <w:tcPr>
            <w:tcW w:w="956" w:type="dxa"/>
            <w:vAlign w:val="center"/>
          </w:tcPr>
          <w:p w14:paraId="3141757D">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瓶装</w:t>
            </w:r>
          </w:p>
        </w:tc>
      </w:tr>
      <w:tr w14:paraId="36D24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B1B9B9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11</w:t>
            </w:r>
          </w:p>
        </w:tc>
        <w:tc>
          <w:tcPr>
            <w:tcW w:w="1677" w:type="dxa"/>
            <w:vAlign w:val="center"/>
          </w:tcPr>
          <w:p w14:paraId="34434DCF">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油漆</w:t>
            </w:r>
          </w:p>
        </w:tc>
        <w:tc>
          <w:tcPr>
            <w:tcW w:w="1593" w:type="dxa"/>
            <w:vAlign w:val="center"/>
          </w:tcPr>
          <w:p w14:paraId="43B396E1">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205.585</w:t>
            </w:r>
            <w:r>
              <w:rPr>
                <w:rFonts w:ascii="Times New Roman" w:hAnsi="Times New Roman" w:eastAsia="宋体" w:cs="Times New Roman"/>
                <w:color w:val="auto"/>
                <w:kern w:val="0"/>
                <w:szCs w:val="21"/>
                <w:u w:val="single" w:color="auto"/>
                <w:lang w:bidi="ar"/>
              </w:rPr>
              <w:t>t/a</w:t>
            </w:r>
          </w:p>
        </w:tc>
        <w:tc>
          <w:tcPr>
            <w:tcW w:w="1037" w:type="dxa"/>
            <w:vAlign w:val="center"/>
          </w:tcPr>
          <w:p w14:paraId="7F20401D">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20</w:t>
            </w:r>
            <w:r>
              <w:rPr>
                <w:rFonts w:ascii="Times New Roman" w:hAnsi="Times New Roman" w:eastAsia="宋体" w:cs="Times New Roman"/>
                <w:color w:val="auto"/>
                <w:kern w:val="0"/>
                <w:szCs w:val="21"/>
                <w:u w:val="single" w:color="auto"/>
                <w:lang w:bidi="ar"/>
              </w:rPr>
              <w:t>t</w:t>
            </w:r>
          </w:p>
        </w:tc>
        <w:tc>
          <w:tcPr>
            <w:tcW w:w="2530" w:type="dxa"/>
            <w:vAlign w:val="center"/>
          </w:tcPr>
          <w:p w14:paraId="66B69A40">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3C28438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桶装</w:t>
            </w:r>
          </w:p>
        </w:tc>
      </w:tr>
      <w:tr w14:paraId="2BE2B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9" w:type="dxa"/>
            <w:vAlign w:val="center"/>
          </w:tcPr>
          <w:p w14:paraId="0F1E63F2">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12</w:t>
            </w:r>
          </w:p>
        </w:tc>
        <w:tc>
          <w:tcPr>
            <w:tcW w:w="1677" w:type="dxa"/>
            <w:vAlign w:val="center"/>
          </w:tcPr>
          <w:p w14:paraId="78597805">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稀释剂</w:t>
            </w:r>
          </w:p>
        </w:tc>
        <w:tc>
          <w:tcPr>
            <w:tcW w:w="1593" w:type="dxa"/>
            <w:vAlign w:val="center"/>
          </w:tcPr>
          <w:p w14:paraId="32830BB3">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16.468</w:t>
            </w:r>
            <w:r>
              <w:rPr>
                <w:rFonts w:ascii="Times New Roman" w:hAnsi="Times New Roman" w:eastAsia="宋体" w:cs="Times New Roman"/>
                <w:color w:val="auto"/>
                <w:kern w:val="0"/>
                <w:szCs w:val="21"/>
                <w:u w:val="single" w:color="auto"/>
                <w:lang w:bidi="ar"/>
              </w:rPr>
              <w:t>t/a</w:t>
            </w:r>
          </w:p>
        </w:tc>
        <w:tc>
          <w:tcPr>
            <w:tcW w:w="1037" w:type="dxa"/>
            <w:vAlign w:val="center"/>
          </w:tcPr>
          <w:p w14:paraId="2BAEAE70">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bidi="ar"/>
              </w:rPr>
              <w:t>5</w:t>
            </w:r>
            <w:r>
              <w:rPr>
                <w:rFonts w:ascii="Times New Roman" w:hAnsi="Times New Roman" w:eastAsia="宋体" w:cs="Times New Roman"/>
                <w:color w:val="auto"/>
                <w:kern w:val="0"/>
                <w:szCs w:val="21"/>
                <w:u w:val="single" w:color="auto"/>
                <w:lang w:bidi="ar"/>
              </w:rPr>
              <w:t>t</w:t>
            </w:r>
          </w:p>
        </w:tc>
        <w:tc>
          <w:tcPr>
            <w:tcW w:w="2530" w:type="dxa"/>
            <w:vAlign w:val="center"/>
          </w:tcPr>
          <w:p w14:paraId="736C9E86">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7782FA52">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桶装</w:t>
            </w:r>
          </w:p>
        </w:tc>
      </w:tr>
      <w:tr w14:paraId="55A32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192A5A2A">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13</w:t>
            </w:r>
          </w:p>
        </w:tc>
        <w:tc>
          <w:tcPr>
            <w:tcW w:w="1677" w:type="dxa"/>
            <w:vAlign w:val="center"/>
          </w:tcPr>
          <w:p w14:paraId="1B57F8D0">
            <w:pPr>
              <w:widowControl/>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color w:val="auto"/>
                <w:kern w:val="0"/>
                <w:szCs w:val="21"/>
                <w:u w:val="single" w:color="auto"/>
                <w:lang w:bidi="ar"/>
              </w:rPr>
              <w:t>固化剂</w:t>
            </w:r>
          </w:p>
        </w:tc>
        <w:tc>
          <w:tcPr>
            <w:tcW w:w="1593" w:type="dxa"/>
            <w:vAlign w:val="center"/>
          </w:tcPr>
          <w:p w14:paraId="3B8F5C65">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16.383</w:t>
            </w:r>
            <w:r>
              <w:rPr>
                <w:rFonts w:ascii="Times New Roman" w:hAnsi="Times New Roman" w:eastAsia="宋体" w:cs="Times New Roman"/>
                <w:color w:val="auto"/>
                <w:kern w:val="0"/>
                <w:szCs w:val="21"/>
                <w:u w:val="single" w:color="auto"/>
                <w:lang w:bidi="ar"/>
              </w:rPr>
              <w:t xml:space="preserve">t/a </w:t>
            </w:r>
          </w:p>
        </w:tc>
        <w:tc>
          <w:tcPr>
            <w:tcW w:w="1037" w:type="dxa"/>
            <w:vAlign w:val="center"/>
          </w:tcPr>
          <w:p w14:paraId="397BA3A7">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bidi="ar"/>
              </w:rPr>
              <w:t>5</w:t>
            </w:r>
            <w:r>
              <w:rPr>
                <w:rFonts w:ascii="Times New Roman" w:hAnsi="Times New Roman" w:eastAsia="宋体" w:cs="Times New Roman"/>
                <w:color w:val="auto"/>
                <w:kern w:val="0"/>
                <w:szCs w:val="21"/>
                <w:u w:val="single" w:color="auto"/>
                <w:lang w:bidi="ar"/>
              </w:rPr>
              <w:t>t</w:t>
            </w:r>
          </w:p>
        </w:tc>
        <w:tc>
          <w:tcPr>
            <w:tcW w:w="2530" w:type="dxa"/>
            <w:vAlign w:val="center"/>
          </w:tcPr>
          <w:p w14:paraId="6880AED6">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6D405B8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桶装</w:t>
            </w:r>
          </w:p>
        </w:tc>
      </w:tr>
      <w:tr w14:paraId="13965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7AEF0770">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14</w:t>
            </w:r>
          </w:p>
        </w:tc>
        <w:tc>
          <w:tcPr>
            <w:tcW w:w="1677" w:type="dxa"/>
            <w:vAlign w:val="center"/>
          </w:tcPr>
          <w:p w14:paraId="2BC22EFA">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润滑油</w:t>
            </w:r>
          </w:p>
        </w:tc>
        <w:tc>
          <w:tcPr>
            <w:tcW w:w="1593" w:type="dxa"/>
            <w:vAlign w:val="center"/>
          </w:tcPr>
          <w:p w14:paraId="6167A80F">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2t/a</w:t>
            </w:r>
          </w:p>
        </w:tc>
        <w:tc>
          <w:tcPr>
            <w:tcW w:w="1037" w:type="dxa"/>
            <w:vAlign w:val="center"/>
          </w:tcPr>
          <w:p w14:paraId="4591C947">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1t</w:t>
            </w:r>
          </w:p>
        </w:tc>
        <w:tc>
          <w:tcPr>
            <w:tcW w:w="2530" w:type="dxa"/>
            <w:vAlign w:val="center"/>
          </w:tcPr>
          <w:p w14:paraId="6C3C63F6">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打磨车间</w:t>
            </w:r>
          </w:p>
        </w:tc>
        <w:tc>
          <w:tcPr>
            <w:tcW w:w="956" w:type="dxa"/>
            <w:vAlign w:val="center"/>
          </w:tcPr>
          <w:p w14:paraId="559F204F">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桶装</w:t>
            </w:r>
          </w:p>
        </w:tc>
      </w:tr>
      <w:tr w14:paraId="275A5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422A8792">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15</w:t>
            </w:r>
          </w:p>
        </w:tc>
        <w:tc>
          <w:tcPr>
            <w:tcW w:w="1677" w:type="dxa"/>
            <w:vAlign w:val="center"/>
          </w:tcPr>
          <w:p w14:paraId="245E0223">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活性炭</w:t>
            </w:r>
          </w:p>
        </w:tc>
        <w:tc>
          <w:tcPr>
            <w:tcW w:w="1593" w:type="dxa"/>
            <w:vAlign w:val="center"/>
          </w:tcPr>
          <w:p w14:paraId="6E1C044B">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2.778t</w:t>
            </w:r>
            <w:r>
              <w:rPr>
                <w:rFonts w:ascii="Times New Roman" w:hAnsi="Times New Roman" w:eastAsia="宋体" w:cs="Times New Roman"/>
                <w:color w:val="auto"/>
                <w:kern w:val="0"/>
                <w:szCs w:val="21"/>
                <w:u w:val="single" w:color="auto"/>
                <w:lang w:bidi="ar"/>
              </w:rPr>
              <w:t>/a</w:t>
            </w:r>
          </w:p>
        </w:tc>
        <w:tc>
          <w:tcPr>
            <w:tcW w:w="1037" w:type="dxa"/>
            <w:vAlign w:val="center"/>
          </w:tcPr>
          <w:p w14:paraId="56557A09">
            <w:pPr>
              <w:widowControl/>
              <w:jc w:val="center"/>
              <w:textAlignment w:val="center"/>
              <w:rPr>
                <w:rFonts w:ascii="Times New Roman" w:hAnsi="Times New Roman" w:eastAsia="宋体" w:cs="Times New Roman"/>
                <w:color w:val="auto"/>
                <w:kern w:val="0"/>
                <w:szCs w:val="21"/>
                <w:u w:val="single" w:color="auto"/>
                <w:lang w:bidi="ar"/>
              </w:rPr>
            </w:pPr>
            <w:r>
              <w:rPr>
                <w:rFonts w:hint="eastAsia" w:ascii="Times New Roman" w:hAnsi="Times New Roman" w:eastAsia="宋体" w:cs="Times New Roman"/>
                <w:color w:val="auto"/>
                <w:kern w:val="0"/>
                <w:szCs w:val="21"/>
                <w:u w:val="single" w:color="auto"/>
                <w:lang w:val="en-US" w:eastAsia="zh-CN" w:bidi="ar"/>
              </w:rPr>
              <w:t>2.778t</w:t>
            </w:r>
          </w:p>
        </w:tc>
        <w:tc>
          <w:tcPr>
            <w:tcW w:w="2530" w:type="dxa"/>
            <w:vAlign w:val="center"/>
          </w:tcPr>
          <w:p w14:paraId="137C77AD">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3F244E7B">
            <w:pPr>
              <w:widowControl/>
              <w:jc w:val="center"/>
              <w:textAlignment w:val="center"/>
              <w:rPr>
                <w:rFonts w:ascii="Times New Roman" w:hAnsi="Times New Roman" w:eastAsia="宋体" w:cs="Times New Roman"/>
                <w:color w:val="auto"/>
                <w:kern w:val="0"/>
                <w:szCs w:val="21"/>
                <w:u w:val="single" w:color="auto"/>
                <w:lang w:bidi="ar"/>
              </w:rPr>
            </w:pPr>
            <w:r>
              <w:rPr>
                <w:rFonts w:ascii="Times New Roman" w:hAnsi="Times New Roman" w:eastAsia="宋体" w:cs="Times New Roman"/>
                <w:color w:val="auto"/>
                <w:kern w:val="0"/>
                <w:szCs w:val="21"/>
                <w:u w:val="single" w:color="auto"/>
                <w:lang w:bidi="ar"/>
              </w:rPr>
              <w:t>箱装</w:t>
            </w:r>
          </w:p>
        </w:tc>
      </w:tr>
      <w:tr w14:paraId="29A44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2AE6CE1F">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16</w:t>
            </w:r>
          </w:p>
        </w:tc>
        <w:tc>
          <w:tcPr>
            <w:tcW w:w="1677" w:type="dxa"/>
            <w:vAlign w:val="center"/>
          </w:tcPr>
          <w:p w14:paraId="1938B072">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过滤棉</w:t>
            </w:r>
          </w:p>
        </w:tc>
        <w:tc>
          <w:tcPr>
            <w:tcW w:w="1593" w:type="dxa"/>
            <w:vAlign w:val="center"/>
          </w:tcPr>
          <w:p w14:paraId="7BE51509">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3.103t</w:t>
            </w:r>
            <w:r>
              <w:rPr>
                <w:rFonts w:ascii="Times New Roman" w:hAnsi="Times New Roman" w:eastAsia="宋体" w:cs="Times New Roman"/>
                <w:color w:val="auto"/>
                <w:kern w:val="0"/>
                <w:szCs w:val="21"/>
                <w:u w:val="single" w:color="auto"/>
                <w:lang w:bidi="ar"/>
              </w:rPr>
              <w:t>/a</w:t>
            </w:r>
          </w:p>
        </w:tc>
        <w:tc>
          <w:tcPr>
            <w:tcW w:w="1037" w:type="dxa"/>
            <w:vAlign w:val="center"/>
          </w:tcPr>
          <w:p w14:paraId="60E9F30A">
            <w:pPr>
              <w:widowControl/>
              <w:jc w:val="center"/>
              <w:textAlignment w:val="center"/>
              <w:rPr>
                <w:rFonts w:ascii="Times New Roman" w:hAnsi="Times New Roman" w:eastAsia="宋体" w:cs="Times New Roman"/>
                <w:color w:val="auto"/>
                <w:kern w:val="0"/>
                <w:szCs w:val="21"/>
                <w:u w:val="single" w:color="auto"/>
                <w:lang w:bidi="ar"/>
              </w:rPr>
            </w:pPr>
            <w:r>
              <w:rPr>
                <w:rFonts w:hint="eastAsia" w:ascii="Times New Roman" w:hAnsi="Times New Roman" w:eastAsia="宋体" w:cs="Times New Roman"/>
                <w:color w:val="auto"/>
                <w:kern w:val="0"/>
                <w:szCs w:val="21"/>
                <w:u w:val="single" w:color="auto"/>
                <w:lang w:val="en-US" w:eastAsia="zh-CN" w:bidi="ar"/>
              </w:rPr>
              <w:t>3.103t</w:t>
            </w:r>
          </w:p>
        </w:tc>
        <w:tc>
          <w:tcPr>
            <w:tcW w:w="2530" w:type="dxa"/>
            <w:vAlign w:val="center"/>
          </w:tcPr>
          <w:p w14:paraId="7E3B155F">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64302E31">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袋装</w:t>
            </w:r>
          </w:p>
        </w:tc>
      </w:tr>
      <w:tr w14:paraId="44E1C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14:paraId="5D8AEB95">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17</w:t>
            </w:r>
          </w:p>
        </w:tc>
        <w:tc>
          <w:tcPr>
            <w:tcW w:w="1677" w:type="dxa"/>
            <w:vAlign w:val="center"/>
          </w:tcPr>
          <w:p w14:paraId="413F650A">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催化剂</w:t>
            </w:r>
          </w:p>
        </w:tc>
        <w:tc>
          <w:tcPr>
            <w:tcW w:w="1593" w:type="dxa"/>
            <w:vAlign w:val="center"/>
          </w:tcPr>
          <w:p w14:paraId="3DC76C3E">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0.1t</w:t>
            </w:r>
            <w:r>
              <w:rPr>
                <w:rFonts w:ascii="Times New Roman" w:hAnsi="Times New Roman" w:eastAsia="宋体" w:cs="Times New Roman"/>
                <w:color w:val="auto"/>
                <w:kern w:val="0"/>
                <w:szCs w:val="21"/>
                <w:u w:val="single" w:color="auto"/>
                <w:lang w:bidi="ar"/>
              </w:rPr>
              <w:t>/a</w:t>
            </w:r>
          </w:p>
        </w:tc>
        <w:tc>
          <w:tcPr>
            <w:tcW w:w="1037" w:type="dxa"/>
            <w:vAlign w:val="center"/>
          </w:tcPr>
          <w:p w14:paraId="3F3ADB15">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0.1t</w:t>
            </w:r>
          </w:p>
        </w:tc>
        <w:tc>
          <w:tcPr>
            <w:tcW w:w="2530" w:type="dxa"/>
            <w:vAlign w:val="center"/>
          </w:tcPr>
          <w:p w14:paraId="01EEAEDA">
            <w:pPr>
              <w:widowControl/>
              <w:jc w:val="center"/>
              <w:textAlignment w:val="center"/>
              <w:rPr>
                <w:rFonts w:hint="eastAsia"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涂装车间</w:t>
            </w:r>
          </w:p>
        </w:tc>
        <w:tc>
          <w:tcPr>
            <w:tcW w:w="956" w:type="dxa"/>
            <w:vAlign w:val="center"/>
          </w:tcPr>
          <w:p w14:paraId="644817E6">
            <w:pPr>
              <w:widowControl/>
              <w:jc w:val="center"/>
              <w:textAlignment w:val="center"/>
              <w:rPr>
                <w:rFonts w:ascii="Times New Roman" w:hAnsi="Times New Roman" w:eastAsia="宋体" w:cs="Times New Roman"/>
                <w:color w:val="auto"/>
                <w:kern w:val="0"/>
                <w:szCs w:val="21"/>
                <w:u w:val="single" w:color="auto"/>
                <w:lang w:bidi="ar"/>
              </w:rPr>
            </w:pPr>
            <w:r>
              <w:rPr>
                <w:rFonts w:ascii="Times New Roman" w:hAnsi="Times New Roman" w:eastAsia="宋体" w:cs="Times New Roman"/>
                <w:color w:val="auto"/>
                <w:kern w:val="0"/>
                <w:szCs w:val="21"/>
                <w:u w:val="single" w:color="auto"/>
                <w:lang w:bidi="ar"/>
              </w:rPr>
              <w:t>箱装</w:t>
            </w:r>
          </w:p>
        </w:tc>
      </w:tr>
      <w:bookmarkEnd w:id="137"/>
    </w:tbl>
    <w:p w14:paraId="274089D4">
      <w:pPr>
        <w:autoSpaceDE w:val="0"/>
        <w:autoSpaceDN w:val="0"/>
        <w:snapToGrid w:val="0"/>
        <w:spacing w:line="360" w:lineRule="auto"/>
        <w:ind w:firstLine="482" w:firstLineChars="200"/>
        <w:rPr>
          <w:rFonts w:ascii="Times New Roman" w:hAnsi="Times New Roman" w:eastAsia="宋体" w:cs="Times New Roman"/>
          <w:b/>
          <w:bCs/>
          <w:color w:val="auto"/>
          <w:kern w:val="0"/>
          <w:sz w:val="24"/>
          <w:szCs w:val="24"/>
          <w:u w:val="none" w:color="auto"/>
        </w:rPr>
      </w:pPr>
      <w:r>
        <w:rPr>
          <w:rFonts w:hint="eastAsia" w:ascii="Times New Roman" w:hAnsi="Times New Roman" w:eastAsia="宋体" w:cs="Times New Roman"/>
          <w:b/>
          <w:bCs/>
          <w:color w:val="auto"/>
          <w:kern w:val="0"/>
          <w:sz w:val="24"/>
          <w:szCs w:val="24"/>
          <w:u w:val="none" w:color="auto"/>
          <w:lang w:val="en-US" w:eastAsia="zh-CN"/>
        </w:rPr>
        <w:t>2</w:t>
      </w:r>
      <w:r>
        <w:rPr>
          <w:rFonts w:hint="eastAsia" w:ascii="Times New Roman" w:hAnsi="Times New Roman" w:eastAsia="宋体" w:cs="Times New Roman"/>
          <w:b/>
          <w:bCs/>
          <w:color w:val="auto"/>
          <w:kern w:val="0"/>
          <w:sz w:val="24"/>
          <w:szCs w:val="24"/>
          <w:u w:val="none" w:color="auto"/>
        </w:rPr>
        <w:t>、</w:t>
      </w:r>
      <w:r>
        <w:rPr>
          <w:rFonts w:hint="eastAsia" w:ascii="Times New Roman" w:hAnsi="Times New Roman" w:eastAsia="宋体" w:cs="Times New Roman"/>
          <w:b/>
          <w:bCs/>
          <w:color w:val="auto"/>
          <w:kern w:val="0"/>
          <w:sz w:val="24"/>
          <w:szCs w:val="24"/>
          <w:u w:val="none" w:color="auto"/>
          <w:lang w:val="en-US" w:eastAsia="zh-CN"/>
        </w:rPr>
        <w:t>涂料用量核算</w:t>
      </w:r>
    </w:p>
    <w:p w14:paraId="738E6530">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表</w:t>
      </w:r>
      <w:r>
        <w:rPr>
          <w:rFonts w:hint="eastAsia" w:ascii="Times New Roman" w:hAnsi="Times New Roman" w:eastAsia="宋体" w:cs="Times New Roman"/>
          <w:b/>
          <w:bCs/>
          <w:color w:val="auto"/>
          <w:sz w:val="24"/>
          <w:szCs w:val="24"/>
          <w:u w:val="none" w:color="auto"/>
        </w:rPr>
        <w:t>2.1-</w:t>
      </w:r>
      <w:r>
        <w:rPr>
          <w:rFonts w:hint="eastAsia" w:ascii="Times New Roman" w:hAnsi="Times New Roman" w:eastAsia="宋体" w:cs="Times New Roman"/>
          <w:b/>
          <w:bCs/>
          <w:color w:val="auto"/>
          <w:sz w:val="24"/>
          <w:szCs w:val="24"/>
          <w:u w:val="none" w:color="auto"/>
          <w:lang w:val="en-US" w:eastAsia="zh-CN"/>
        </w:rPr>
        <w:t>4</w:t>
      </w:r>
      <w:r>
        <w:rPr>
          <w:rFonts w:hint="eastAsia" w:ascii="Times New Roman" w:hAnsi="Times New Roman" w:eastAsia="宋体" w:cs="Times New Roman"/>
          <w:b/>
          <w:bCs/>
          <w:color w:val="auto"/>
          <w:sz w:val="24"/>
          <w:szCs w:val="24"/>
          <w:u w:val="none" w:color="auto"/>
        </w:rPr>
        <w:t xml:space="preserve"> 涂料用量核算一览表</w:t>
      </w:r>
    </w:p>
    <w:tbl>
      <w:tblPr>
        <w:tblStyle w:val="37"/>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55"/>
        <w:gridCol w:w="1055"/>
        <w:gridCol w:w="1055"/>
        <w:gridCol w:w="1449"/>
        <w:gridCol w:w="1526"/>
        <w:gridCol w:w="910"/>
        <w:gridCol w:w="1467"/>
      </w:tblGrid>
      <w:tr w14:paraId="19246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FBEF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图层系统</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22F3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涂料类型</w:t>
            </w:r>
          </w:p>
        </w:tc>
        <w:tc>
          <w:tcPr>
            <w:tcW w:w="6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C3D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喷涂面积（m</w:t>
            </w:r>
            <w:r>
              <w:rPr>
                <w:rFonts w:hint="default" w:ascii="Times New Roman" w:hAnsi="Times New Roman" w:eastAsia="宋体" w:cs="Times New Roman"/>
                <w:i w:val="0"/>
                <w:iCs w:val="0"/>
                <w:color w:val="auto"/>
                <w:kern w:val="0"/>
                <w:sz w:val="21"/>
                <w:szCs w:val="21"/>
                <w:u w:val="single" w:color="auto"/>
                <w:vertAlign w:val="superscript"/>
                <w:lang w:val="en-US" w:eastAsia="zh-CN" w:bidi="ar"/>
              </w:rPr>
              <w:t>2</w:t>
            </w: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8A56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湿膜厚度（μm）</w:t>
            </w:r>
          </w:p>
        </w:tc>
        <w:tc>
          <w:tcPr>
            <w:tcW w:w="8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35C4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密度（g/cm</w:t>
            </w:r>
            <w:r>
              <w:rPr>
                <w:rFonts w:hint="default" w:ascii="Times New Roman" w:hAnsi="Times New Roman" w:eastAsia="宋体" w:cs="Times New Roman"/>
                <w:i w:val="0"/>
                <w:iCs w:val="0"/>
                <w:color w:val="auto"/>
                <w:kern w:val="0"/>
                <w:sz w:val="21"/>
                <w:szCs w:val="21"/>
                <w:u w:val="single" w:color="auto"/>
                <w:vertAlign w:val="superscript"/>
                <w:lang w:val="en-US" w:eastAsia="zh-CN" w:bidi="ar"/>
              </w:rPr>
              <w:t>3</w:t>
            </w: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1AD22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涂装损失比</w:t>
            </w:r>
          </w:p>
        </w:tc>
        <w:tc>
          <w:tcPr>
            <w:tcW w:w="8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C1AE1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混合后油漆用量（t/a）</w:t>
            </w:r>
          </w:p>
        </w:tc>
      </w:tr>
      <w:tr w14:paraId="0B665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81026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桥梁外</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612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F76C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A7EE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1A41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B65E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4C8B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2FFB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D2C95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C36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5F8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B941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79D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8691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2539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4C18A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0CCF3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20F1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面漆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370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DFF7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062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C317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EC1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D6AD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958B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海桩内</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AF0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A6AF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60E7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A82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259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1DAB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199AC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24B2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628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3D2F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CAB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7BC8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417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8A16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9DEF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95708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海桩外</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B9DF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2E3F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FFBF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B1FF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E386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A446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62F4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231AD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BBDC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916A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04D1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E4CF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8751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375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D527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E2DCB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743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面漆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85EE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547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D131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0018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7B6F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22B6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3E90D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导管架内</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8D9E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5E85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515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6BD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C72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9A33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15F7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F5BE3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261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43C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093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76D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6CB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AF4A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FE56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11EA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导管架外</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717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1EF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DCF8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EFE8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F60C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388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7D82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681B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0E53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23BC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AED8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B20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E04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6F24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8908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CB697">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E06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面漆</w:t>
            </w:r>
          </w:p>
        </w:tc>
        <w:tc>
          <w:tcPr>
            <w:tcW w:w="10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B571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D327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C9E3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C570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5ADC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5379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restart"/>
            <w:tcBorders>
              <w:top w:val="single" w:color="000000" w:sz="4" w:space="0"/>
              <w:left w:val="single" w:color="000000" w:sz="4" w:space="0"/>
              <w:right w:val="single" w:color="000000" w:sz="4" w:space="0"/>
            </w:tcBorders>
            <w:shd w:val="clear" w:color="auto" w:fill="auto"/>
            <w:noWrap/>
            <w:vAlign w:val="center"/>
          </w:tcPr>
          <w:p w14:paraId="76AAC10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合计</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BE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39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DA85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4897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056C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4726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5912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left w:val="single" w:color="000000" w:sz="4" w:space="0"/>
              <w:right w:val="single" w:color="000000" w:sz="4" w:space="0"/>
            </w:tcBorders>
            <w:shd w:val="clear" w:color="auto" w:fill="auto"/>
            <w:noWrap/>
            <w:vAlign w:val="center"/>
          </w:tcPr>
          <w:p w14:paraId="21F06C3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2585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CEF1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C85D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7EC1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DE06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D3C2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E592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619" w:type="pct"/>
            <w:vMerge w:val="continue"/>
            <w:tcBorders>
              <w:left w:val="single" w:color="000000" w:sz="4" w:space="0"/>
              <w:bottom w:val="single" w:color="000000" w:sz="4" w:space="0"/>
              <w:right w:val="single" w:color="000000" w:sz="4" w:space="0"/>
            </w:tcBorders>
            <w:shd w:val="clear" w:color="auto" w:fill="auto"/>
            <w:noWrap/>
            <w:vAlign w:val="center"/>
          </w:tcPr>
          <w:p w14:paraId="2F14B93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829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面漆</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4B58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0C8C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8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5CB7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3BB2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8664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bl>
    <w:p w14:paraId="1DD7726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注：①涂料用量：涂料用量（t/a）=涂装面积（m</w:t>
      </w:r>
      <w:r>
        <w:rPr>
          <w:rFonts w:hint="default" w:ascii="Times New Roman" w:hAnsi="Times New Roman" w:eastAsia="宋体" w:cs="Times New Roman"/>
          <w:color w:val="auto"/>
          <w:sz w:val="21"/>
          <w:szCs w:val="21"/>
          <w:u w:val="none" w:color="auto"/>
          <w:vertAlign w:val="superscript"/>
          <w:lang w:val="en-US" w:eastAsia="zh-CN"/>
        </w:rPr>
        <w:t>2</w:t>
      </w:r>
      <w:r>
        <w:rPr>
          <w:rFonts w:hint="default" w:ascii="Times New Roman" w:hAnsi="Times New Roman" w:eastAsia="宋体" w:cs="Times New Roman"/>
          <w:color w:val="auto"/>
          <w:sz w:val="21"/>
          <w:szCs w:val="21"/>
          <w:u w:val="none" w:color="auto"/>
          <w:lang w:val="en-US" w:eastAsia="zh-CN"/>
        </w:rPr>
        <w:t>/a）×湿膜厚度（μm）×湿膜密度（g/L）÷油漆利用率（%）；</w:t>
      </w:r>
    </w:p>
    <w:p w14:paraId="050CF5D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②涂料利用率：本项目喷漆方式为手动喷涂，喷漆工艺为</w:t>
      </w:r>
      <w:bookmarkStart w:id="138" w:name="OLE_LINK1"/>
      <w:r>
        <w:rPr>
          <w:rFonts w:hint="default" w:ascii="Times New Roman" w:hAnsi="Times New Roman" w:eastAsia="宋体" w:cs="Times New Roman"/>
          <w:color w:val="auto"/>
          <w:sz w:val="21"/>
          <w:szCs w:val="21"/>
          <w:u w:val="single" w:color="auto"/>
          <w:lang w:val="en-US" w:eastAsia="zh-CN"/>
        </w:rPr>
        <w:t>无气喷涂</w:t>
      </w:r>
      <w:bookmarkEnd w:id="138"/>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根据《现代涂装手册》（化学工业出版社，2010 年出版）第五章，采用无气喷涂的喷涂效率一般为60%；根据《涂装工艺与设备》（冯立明，化学工业出版社2013年版），采用高压无气喷涂的喷涂效率＞80%；</w:t>
      </w:r>
      <w:r>
        <w:rPr>
          <w:rFonts w:hint="default" w:ascii="Times New Roman" w:hAnsi="Times New Roman" w:eastAsia="宋体" w:cs="Times New Roman"/>
          <w:color w:val="auto"/>
          <w:sz w:val="21"/>
          <w:szCs w:val="21"/>
          <w:u w:val="single" w:color="auto"/>
          <w:lang w:val="en-US" w:eastAsia="zh-CN"/>
        </w:rPr>
        <w:t>根据《涂装工艺与设备》（冯立明，化学工业出版社2013年版），采用高压无气喷涂的喷涂效率＞80%；</w:t>
      </w:r>
      <w:r>
        <w:rPr>
          <w:rFonts w:hint="eastAsia" w:ascii="Times New Roman" w:hAnsi="Times New Roman" w:eastAsia="宋体" w:cs="Times New Roman"/>
          <w:color w:val="auto"/>
          <w:sz w:val="21"/>
          <w:szCs w:val="21"/>
          <w:u w:val="single" w:color="auto"/>
          <w:lang w:val="en-US" w:eastAsia="zh-CN"/>
        </w:rPr>
        <w:t>本项目</w:t>
      </w:r>
      <w:r>
        <w:rPr>
          <w:rFonts w:hint="default" w:ascii="Times New Roman" w:hAnsi="Times New Roman" w:eastAsia="宋体" w:cs="Times New Roman"/>
          <w:color w:val="auto"/>
          <w:sz w:val="21"/>
          <w:szCs w:val="21"/>
          <w:u w:val="single" w:color="auto"/>
          <w:lang w:val="en-US" w:eastAsia="zh-CN"/>
        </w:rPr>
        <w:t>喷涂效率</w:t>
      </w:r>
      <w:r>
        <w:rPr>
          <w:rFonts w:hint="eastAsia" w:ascii="Times New Roman" w:hAnsi="Times New Roman" w:eastAsia="宋体" w:cs="Times New Roman"/>
          <w:color w:val="auto"/>
          <w:sz w:val="21"/>
          <w:szCs w:val="21"/>
          <w:u w:val="single" w:color="auto"/>
          <w:lang w:val="en-US" w:eastAsia="zh-CN"/>
        </w:rPr>
        <w:t>保守取值60%</w:t>
      </w:r>
      <w:r>
        <w:rPr>
          <w:rFonts w:hint="default" w:ascii="Times New Roman" w:hAnsi="Times New Roman" w:eastAsia="宋体" w:cs="Times New Roman"/>
          <w:color w:val="auto"/>
          <w:sz w:val="21"/>
          <w:szCs w:val="21"/>
          <w:u w:val="single" w:color="auto"/>
          <w:lang w:val="en-US" w:eastAsia="zh-CN"/>
        </w:rPr>
        <w:t>。</w:t>
      </w:r>
    </w:p>
    <w:p w14:paraId="16E053D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③湿膜厚度：根据企业的提供的测量数据，</w:t>
      </w:r>
      <w:r>
        <w:rPr>
          <w:rFonts w:hint="eastAsia" w:ascii="Times New Roman" w:hAnsi="Times New Roman" w:eastAsia="宋体" w:cs="Times New Roman"/>
          <w:color w:val="auto"/>
          <w:sz w:val="21"/>
          <w:szCs w:val="21"/>
          <w:u w:val="none" w:color="auto"/>
          <w:lang w:val="en-US" w:eastAsia="zh-CN"/>
        </w:rPr>
        <w:t>产品外层</w:t>
      </w:r>
      <w:r>
        <w:rPr>
          <w:rFonts w:hint="default" w:ascii="Times New Roman" w:hAnsi="Times New Roman" w:eastAsia="宋体" w:cs="Times New Roman"/>
          <w:color w:val="auto"/>
          <w:sz w:val="21"/>
          <w:szCs w:val="21"/>
          <w:u w:val="none" w:color="auto"/>
          <w:lang w:val="en-US" w:eastAsia="zh-CN"/>
        </w:rPr>
        <w:t>底漆涂层约</w:t>
      </w:r>
      <w:r>
        <w:rPr>
          <w:rFonts w:hint="eastAsia" w:ascii="Times New Roman" w:hAnsi="Times New Roman" w:eastAsia="宋体" w:cs="Times New Roman"/>
          <w:color w:val="auto"/>
          <w:sz w:val="21"/>
          <w:szCs w:val="21"/>
          <w:u w:val="none" w:color="auto"/>
          <w:lang w:val="en-US" w:eastAsia="zh-CN"/>
        </w:rPr>
        <w:t>50</w:t>
      </w:r>
      <w:r>
        <w:rPr>
          <w:rFonts w:hint="default" w:ascii="Times New Roman" w:hAnsi="Times New Roman" w:eastAsia="宋体" w:cs="Times New Roman"/>
          <w:color w:val="auto"/>
          <w:sz w:val="21"/>
          <w:szCs w:val="21"/>
          <w:u w:val="none" w:color="auto"/>
          <w:lang w:val="en-US" w:eastAsia="zh-CN"/>
        </w:rPr>
        <w:t>μm、中漆涂层约</w:t>
      </w:r>
      <w:r>
        <w:rPr>
          <w:rFonts w:hint="eastAsia" w:ascii="Times New Roman" w:hAnsi="Times New Roman" w:eastAsia="宋体" w:cs="Times New Roman"/>
          <w:color w:val="auto"/>
          <w:sz w:val="21"/>
          <w:szCs w:val="21"/>
          <w:u w:val="none" w:color="auto"/>
          <w:lang w:val="en-US" w:eastAsia="zh-CN"/>
        </w:rPr>
        <w:t>110</w:t>
      </w:r>
      <w:r>
        <w:rPr>
          <w:rFonts w:hint="default" w:ascii="Times New Roman" w:hAnsi="Times New Roman" w:eastAsia="宋体" w:cs="Times New Roman"/>
          <w:color w:val="auto"/>
          <w:sz w:val="21"/>
          <w:szCs w:val="21"/>
          <w:u w:val="none" w:color="auto"/>
          <w:lang w:val="en-US" w:eastAsia="zh-CN"/>
        </w:rPr>
        <w:t>μm、面漆涂层约</w:t>
      </w:r>
      <w:r>
        <w:rPr>
          <w:rFonts w:hint="eastAsia" w:ascii="Times New Roman" w:hAnsi="Times New Roman" w:eastAsia="宋体" w:cs="Times New Roman"/>
          <w:color w:val="auto"/>
          <w:sz w:val="21"/>
          <w:szCs w:val="21"/>
          <w:u w:val="none" w:color="auto"/>
          <w:lang w:val="en-US" w:eastAsia="zh-CN"/>
        </w:rPr>
        <w:t>50</w:t>
      </w:r>
      <w:r>
        <w:rPr>
          <w:rFonts w:hint="default" w:ascii="Times New Roman" w:hAnsi="Times New Roman" w:eastAsia="宋体" w:cs="Times New Roman"/>
          <w:color w:val="auto"/>
          <w:sz w:val="21"/>
          <w:szCs w:val="21"/>
          <w:u w:val="none" w:color="auto"/>
          <w:lang w:val="en-US" w:eastAsia="zh-CN"/>
        </w:rPr>
        <w:t>μm，总计约2</w:t>
      </w:r>
      <w:r>
        <w:rPr>
          <w:rFonts w:hint="eastAsia"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lang w:val="en-US" w:eastAsia="zh-CN"/>
        </w:rPr>
        <w:t>0μm</w:t>
      </w:r>
      <w:r>
        <w:rPr>
          <w:rFonts w:hint="eastAsia" w:ascii="Times New Roman" w:hAnsi="Times New Roman" w:eastAsia="宋体" w:cs="Times New Roman"/>
          <w:color w:val="auto"/>
          <w:sz w:val="21"/>
          <w:szCs w:val="21"/>
          <w:u w:val="none" w:color="auto"/>
          <w:lang w:val="en-US" w:eastAsia="zh-CN"/>
        </w:rPr>
        <w:t>；产品内层</w:t>
      </w:r>
      <w:r>
        <w:rPr>
          <w:rFonts w:hint="default" w:ascii="Times New Roman" w:hAnsi="Times New Roman" w:eastAsia="宋体" w:cs="Times New Roman"/>
          <w:color w:val="auto"/>
          <w:sz w:val="21"/>
          <w:szCs w:val="21"/>
          <w:u w:val="none" w:color="auto"/>
          <w:lang w:val="en-US" w:eastAsia="zh-CN"/>
        </w:rPr>
        <w:t>底漆涂层约</w:t>
      </w:r>
      <w:r>
        <w:rPr>
          <w:rFonts w:hint="eastAsia" w:ascii="Times New Roman" w:hAnsi="Times New Roman" w:eastAsia="宋体" w:cs="Times New Roman"/>
          <w:color w:val="auto"/>
          <w:sz w:val="21"/>
          <w:szCs w:val="21"/>
          <w:u w:val="none" w:color="auto"/>
          <w:lang w:val="en-US" w:eastAsia="zh-CN"/>
        </w:rPr>
        <w:t>50</w:t>
      </w:r>
      <w:r>
        <w:rPr>
          <w:rFonts w:hint="default" w:ascii="Times New Roman" w:hAnsi="Times New Roman" w:eastAsia="宋体" w:cs="Times New Roman"/>
          <w:color w:val="auto"/>
          <w:sz w:val="21"/>
          <w:szCs w:val="21"/>
          <w:u w:val="none" w:color="auto"/>
          <w:lang w:val="en-US" w:eastAsia="zh-CN"/>
        </w:rPr>
        <w:t>μm、中漆涂层约</w:t>
      </w:r>
      <w:r>
        <w:rPr>
          <w:rFonts w:hint="eastAsia" w:ascii="Times New Roman" w:hAnsi="Times New Roman" w:eastAsia="宋体" w:cs="Times New Roman"/>
          <w:color w:val="auto"/>
          <w:sz w:val="21"/>
          <w:szCs w:val="21"/>
          <w:u w:val="none" w:color="auto"/>
          <w:lang w:val="en-US" w:eastAsia="zh-CN"/>
        </w:rPr>
        <w:t>160</w:t>
      </w:r>
      <w:r>
        <w:rPr>
          <w:rFonts w:hint="default" w:ascii="Times New Roman" w:hAnsi="Times New Roman" w:eastAsia="宋体" w:cs="Times New Roman"/>
          <w:color w:val="auto"/>
          <w:sz w:val="21"/>
          <w:szCs w:val="21"/>
          <w:u w:val="none" w:color="auto"/>
          <w:lang w:val="en-US" w:eastAsia="zh-CN"/>
        </w:rPr>
        <w:t>μm，总计约2</w:t>
      </w:r>
      <w:r>
        <w:rPr>
          <w:rFonts w:hint="eastAsia"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lang w:val="en-US" w:eastAsia="zh-CN"/>
        </w:rPr>
        <w:t>0μm</w:t>
      </w:r>
    </w:p>
    <w:p w14:paraId="02E2281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④湿膜密度：取值于施工配比</w:t>
      </w:r>
      <w:r>
        <w:rPr>
          <w:rFonts w:hint="eastAsia" w:ascii="Times New Roman" w:hAnsi="Times New Roman" w:eastAsia="宋体" w:cs="Times New Roman"/>
          <w:color w:val="auto"/>
          <w:sz w:val="21"/>
          <w:szCs w:val="21"/>
          <w:u w:val="none" w:color="auto"/>
          <w:lang w:val="en-US" w:eastAsia="zh-CN"/>
        </w:rPr>
        <w:t>漆</w:t>
      </w: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固化剂</w:t>
      </w: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稀释剂</w:t>
      </w:r>
      <w:r>
        <w:rPr>
          <w:rFonts w:hint="default" w:ascii="Times New Roman" w:hAnsi="Times New Roman" w:eastAsia="宋体" w:cs="Times New Roman"/>
          <w:color w:val="auto"/>
          <w:sz w:val="21"/>
          <w:szCs w:val="21"/>
          <w:u w:val="none" w:color="auto"/>
          <w:lang w:val="en-US" w:eastAsia="zh-CN"/>
        </w:rPr>
        <w:t>的混合密度。</w:t>
      </w:r>
    </w:p>
    <w:p w14:paraId="423A2C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⑤根据MSDS环氧富锌底漆密度2g/cm³、环氧固化剂密度0.95g/cm³、稀释剂密度0.8g/cm³，按混合后原漆、固化剂、稀释剂的体积算术加和，则混合后底漆的密度为</w:t>
      </w:r>
      <w:r>
        <w:rPr>
          <w:rFonts w:hint="eastAsia" w:ascii="Times New Roman" w:hAnsi="Times New Roman" w:eastAsia="宋体" w:cs="Times New Roman"/>
          <w:color w:val="auto"/>
          <w:sz w:val="21"/>
          <w:szCs w:val="21"/>
          <w:u w:val="none" w:color="auto"/>
          <w:lang w:val="en-US" w:eastAsia="zh-CN"/>
        </w:rPr>
        <w:t>1.735</w:t>
      </w:r>
      <w:r>
        <w:rPr>
          <w:rFonts w:hint="default" w:ascii="Times New Roman" w:hAnsi="Times New Roman" w:eastAsia="宋体" w:cs="Times New Roman"/>
          <w:color w:val="auto"/>
          <w:sz w:val="21"/>
          <w:szCs w:val="21"/>
          <w:u w:val="none" w:color="auto"/>
          <w:lang w:val="en-US" w:eastAsia="zh-CN"/>
        </w:rPr>
        <w:t>g/cm³；根据MSDS环氧云铁中间漆密度1.</w:t>
      </w:r>
      <w:r>
        <w:rPr>
          <w:rFonts w:hint="eastAsia" w:ascii="Times New Roman" w:hAnsi="Times New Roman" w:eastAsia="宋体" w:cs="Times New Roman"/>
          <w:color w:val="auto"/>
          <w:sz w:val="21"/>
          <w:szCs w:val="21"/>
          <w:u w:val="none" w:color="auto"/>
          <w:lang w:val="en-US" w:eastAsia="zh-CN"/>
        </w:rPr>
        <w:t>67</w:t>
      </w:r>
      <w:r>
        <w:rPr>
          <w:rFonts w:hint="default" w:ascii="Times New Roman" w:hAnsi="Times New Roman" w:eastAsia="宋体" w:cs="Times New Roman"/>
          <w:color w:val="auto"/>
          <w:sz w:val="21"/>
          <w:szCs w:val="21"/>
          <w:u w:val="none" w:color="auto"/>
          <w:lang w:val="en-US" w:eastAsia="zh-CN"/>
        </w:rPr>
        <w:t>g/cm³、环氧固化剂密度0.95g/cm³、稀释剂密度0.8g/cm³，按混合后中漆、固化剂、稀释剂的体积算术加和，则混合后中漆的密度为</w:t>
      </w:r>
      <w:r>
        <w:rPr>
          <w:rFonts w:hint="eastAsia" w:ascii="Times New Roman" w:hAnsi="Times New Roman" w:eastAsia="宋体" w:cs="Times New Roman"/>
          <w:color w:val="auto"/>
          <w:sz w:val="21"/>
          <w:szCs w:val="21"/>
          <w:u w:val="none" w:color="auto"/>
          <w:lang w:val="en-US" w:eastAsia="zh-CN"/>
        </w:rPr>
        <w:t>1.471</w:t>
      </w:r>
      <w:r>
        <w:rPr>
          <w:rFonts w:hint="default" w:ascii="Times New Roman" w:hAnsi="Times New Roman" w:eastAsia="宋体" w:cs="Times New Roman"/>
          <w:color w:val="auto"/>
          <w:sz w:val="21"/>
          <w:szCs w:val="21"/>
          <w:u w:val="none" w:color="auto"/>
          <w:lang w:val="en-US" w:eastAsia="zh-CN"/>
        </w:rPr>
        <w:t>g/cm；根据MSDS聚氨酯面漆密度1.</w:t>
      </w:r>
      <w:r>
        <w:rPr>
          <w:rFonts w:hint="eastAsia" w:ascii="Times New Roman" w:hAnsi="Times New Roman" w:eastAsia="宋体" w:cs="Times New Roman"/>
          <w:color w:val="auto"/>
          <w:sz w:val="21"/>
          <w:szCs w:val="21"/>
          <w:u w:val="none" w:color="auto"/>
          <w:lang w:val="en-US" w:eastAsia="zh-CN"/>
        </w:rPr>
        <w:t>4</w:t>
      </w:r>
      <w:r>
        <w:rPr>
          <w:rFonts w:hint="default" w:ascii="Times New Roman" w:hAnsi="Times New Roman" w:eastAsia="宋体" w:cs="Times New Roman"/>
          <w:color w:val="auto"/>
          <w:sz w:val="21"/>
          <w:szCs w:val="21"/>
          <w:u w:val="none" w:color="auto"/>
          <w:lang w:val="en-US" w:eastAsia="zh-CN"/>
        </w:rPr>
        <w:t>2</w:t>
      </w:r>
      <w:r>
        <w:rPr>
          <w:rFonts w:hint="eastAsia"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lang w:val="en-US" w:eastAsia="zh-CN"/>
        </w:rPr>
        <w:t>g/cm³、固化剂密度</w:t>
      </w:r>
      <w:r>
        <w:rPr>
          <w:rFonts w:hint="eastAsia" w:ascii="Times New Roman" w:hAnsi="Times New Roman" w:eastAsia="宋体" w:cs="Times New Roman"/>
          <w:color w:val="auto"/>
          <w:sz w:val="21"/>
          <w:szCs w:val="21"/>
          <w:u w:val="none" w:color="auto"/>
          <w:lang w:val="en-US" w:eastAsia="zh-CN"/>
        </w:rPr>
        <w:t>1.13</w:t>
      </w:r>
      <w:r>
        <w:rPr>
          <w:rFonts w:hint="default" w:ascii="Times New Roman" w:hAnsi="Times New Roman" w:eastAsia="宋体" w:cs="Times New Roman"/>
          <w:color w:val="auto"/>
          <w:sz w:val="21"/>
          <w:szCs w:val="21"/>
          <w:u w:val="none" w:color="auto"/>
          <w:lang w:val="en-US" w:eastAsia="zh-CN"/>
        </w:rPr>
        <w:t>g/cm³、稀释剂密度0.8g/cm³，按混合后面漆、固化剂、稀释剂的体积算术加和，则混合后面漆的密度为</w:t>
      </w:r>
      <w:r>
        <w:rPr>
          <w:rFonts w:hint="eastAsia" w:ascii="Times New Roman" w:hAnsi="Times New Roman" w:eastAsia="宋体" w:cs="Times New Roman"/>
          <w:color w:val="auto"/>
          <w:sz w:val="21"/>
          <w:szCs w:val="21"/>
          <w:u w:val="none" w:color="auto"/>
          <w:lang w:val="en-US" w:eastAsia="zh-CN"/>
        </w:rPr>
        <w:t>1.345</w:t>
      </w:r>
      <w:r>
        <w:rPr>
          <w:rFonts w:hint="default" w:ascii="Times New Roman" w:hAnsi="Times New Roman" w:eastAsia="宋体" w:cs="Times New Roman"/>
          <w:color w:val="auto"/>
          <w:sz w:val="21"/>
          <w:szCs w:val="21"/>
          <w:u w:val="none" w:color="auto"/>
          <w:lang w:val="en-US" w:eastAsia="zh-CN"/>
        </w:rPr>
        <w:t>g/cm³。</w:t>
      </w:r>
    </w:p>
    <w:p w14:paraId="03C08018">
      <w:pPr>
        <w:snapToGrid w:val="0"/>
        <w:spacing w:before="156" w:beforeLines="50"/>
        <w:jc w:val="center"/>
        <w:rPr>
          <w:rFonts w:hint="eastAsia" w:ascii="Times New Roman" w:hAnsi="Times New Roman" w:eastAsia="宋体" w:cs="Times New Roman"/>
          <w:b/>
          <w:bCs/>
          <w:color w:val="auto"/>
          <w:sz w:val="24"/>
          <w:szCs w:val="24"/>
          <w:u w:val="none" w:color="auto"/>
        </w:rPr>
      </w:pPr>
      <w:bookmarkStart w:id="139" w:name="_Ref20641"/>
      <w:r>
        <w:rPr>
          <w:rFonts w:hint="eastAsia" w:ascii="Times New Roman" w:hAnsi="Times New Roman" w:eastAsia="宋体" w:cs="Times New Roman"/>
          <w:b/>
          <w:bCs/>
          <w:color w:val="auto"/>
          <w:sz w:val="24"/>
          <w:szCs w:val="24"/>
          <w:u w:val="none" w:color="auto"/>
          <w:lang w:val="en-US" w:eastAsia="zh-CN"/>
        </w:rPr>
        <w:t xml:space="preserve">表 </w:t>
      </w:r>
      <w:bookmarkEnd w:id="139"/>
      <w:r>
        <w:rPr>
          <w:rFonts w:hint="eastAsia" w:ascii="Times New Roman" w:hAnsi="Times New Roman" w:eastAsia="宋体" w:cs="Times New Roman"/>
          <w:b/>
          <w:bCs/>
          <w:color w:val="auto"/>
          <w:sz w:val="24"/>
          <w:szCs w:val="24"/>
          <w:u w:val="none" w:color="auto"/>
        </w:rPr>
        <w:t>2.1-</w:t>
      </w:r>
      <w:r>
        <w:rPr>
          <w:rFonts w:hint="eastAsia" w:ascii="Times New Roman" w:hAnsi="Times New Roman" w:eastAsia="宋体" w:cs="Times New Roman"/>
          <w:b/>
          <w:bCs/>
          <w:color w:val="auto"/>
          <w:sz w:val="24"/>
          <w:szCs w:val="24"/>
          <w:u w:val="none" w:color="auto"/>
          <w:lang w:val="en-US" w:eastAsia="zh-CN"/>
        </w:rPr>
        <w:t>5</w:t>
      </w:r>
      <w:r>
        <w:rPr>
          <w:rFonts w:hint="eastAsia" w:ascii="Times New Roman" w:hAnsi="Times New Roman" w:eastAsia="宋体" w:cs="Times New Roman"/>
          <w:b/>
          <w:bCs/>
          <w:color w:val="auto"/>
          <w:sz w:val="24"/>
          <w:szCs w:val="24"/>
          <w:u w:val="none" w:color="auto"/>
        </w:rPr>
        <w:t>油漆使用量核算表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99"/>
        <w:gridCol w:w="821"/>
        <w:gridCol w:w="1036"/>
        <w:gridCol w:w="954"/>
        <w:gridCol w:w="1478"/>
        <w:gridCol w:w="920"/>
        <w:gridCol w:w="952"/>
        <w:gridCol w:w="1038"/>
        <w:gridCol w:w="822"/>
      </w:tblGrid>
      <w:tr w14:paraId="04815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shd w:val="clear" w:color="auto" w:fill="auto"/>
            <w:tcMar>
              <w:top w:w="0" w:type="dxa"/>
              <w:left w:w="57" w:type="dxa"/>
              <w:bottom w:w="0" w:type="dxa"/>
              <w:right w:w="57" w:type="dxa"/>
            </w:tcMar>
            <w:vAlign w:val="center"/>
          </w:tcPr>
          <w:p w14:paraId="4E1951D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类型</w:t>
            </w:r>
          </w:p>
        </w:tc>
        <w:tc>
          <w:tcPr>
            <w:tcW w:w="487" w:type="pct"/>
            <w:shd w:val="clear" w:color="auto" w:fill="auto"/>
            <w:tcMar>
              <w:top w:w="0" w:type="dxa"/>
              <w:left w:w="57" w:type="dxa"/>
              <w:bottom w:w="0" w:type="dxa"/>
              <w:right w:w="57" w:type="dxa"/>
            </w:tcMar>
            <w:vAlign w:val="center"/>
          </w:tcPr>
          <w:p w14:paraId="15ACE9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使用量（t/a）</w:t>
            </w:r>
          </w:p>
        </w:tc>
        <w:tc>
          <w:tcPr>
            <w:tcW w:w="615" w:type="pct"/>
            <w:shd w:val="clear" w:color="auto" w:fill="auto"/>
            <w:tcMar>
              <w:top w:w="0" w:type="dxa"/>
              <w:left w:w="57" w:type="dxa"/>
              <w:bottom w:w="0" w:type="dxa"/>
              <w:right w:w="57" w:type="dxa"/>
            </w:tcMar>
            <w:vAlign w:val="center"/>
          </w:tcPr>
          <w:p w14:paraId="74DDB9E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混合密度（g/cm</w:t>
            </w:r>
            <w:r>
              <w:rPr>
                <w:rFonts w:hint="default" w:ascii="Times New Roman" w:hAnsi="Times New Roman" w:eastAsia="宋体" w:cs="Times New Roman"/>
                <w:b/>
                <w:bCs/>
                <w:i w:val="0"/>
                <w:iCs w:val="0"/>
                <w:color w:val="auto"/>
                <w:kern w:val="0"/>
                <w:sz w:val="21"/>
                <w:szCs w:val="21"/>
                <w:u w:val="single" w:color="auto"/>
                <w:vertAlign w:val="superscript"/>
                <w:lang w:val="en-US" w:eastAsia="zh-CN" w:bidi="ar"/>
              </w:rPr>
              <w:t>3</w:t>
            </w:r>
            <w:r>
              <w:rPr>
                <w:rFonts w:hint="default" w:ascii="Times New Roman" w:hAnsi="Times New Roman" w:eastAsia="宋体" w:cs="Times New Roman"/>
                <w:b/>
                <w:bCs/>
                <w:i w:val="0"/>
                <w:iCs w:val="0"/>
                <w:color w:val="auto"/>
                <w:kern w:val="0"/>
                <w:sz w:val="21"/>
                <w:szCs w:val="21"/>
                <w:u w:val="single" w:color="auto"/>
                <w:lang w:val="en-US" w:eastAsia="zh-CN" w:bidi="ar"/>
              </w:rPr>
              <w:t>）</w:t>
            </w:r>
          </w:p>
        </w:tc>
        <w:tc>
          <w:tcPr>
            <w:tcW w:w="565" w:type="pct"/>
            <w:shd w:val="clear" w:color="auto" w:fill="auto"/>
            <w:tcMar>
              <w:top w:w="0" w:type="dxa"/>
              <w:left w:w="57" w:type="dxa"/>
              <w:bottom w:w="0" w:type="dxa"/>
              <w:right w:w="57" w:type="dxa"/>
            </w:tcMar>
            <w:vAlign w:val="center"/>
          </w:tcPr>
          <w:p w14:paraId="0A441C1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使用量（m</w:t>
            </w:r>
            <w:r>
              <w:rPr>
                <w:rFonts w:hint="default" w:ascii="Times New Roman" w:hAnsi="Times New Roman" w:eastAsia="宋体" w:cs="Times New Roman"/>
                <w:b/>
                <w:bCs/>
                <w:i w:val="0"/>
                <w:iCs w:val="0"/>
                <w:color w:val="auto"/>
                <w:kern w:val="0"/>
                <w:sz w:val="21"/>
                <w:szCs w:val="21"/>
                <w:u w:val="single" w:color="auto"/>
                <w:vertAlign w:val="superscript"/>
                <w:lang w:val="en-US" w:eastAsia="zh-CN" w:bidi="ar"/>
              </w:rPr>
              <w:t>3</w:t>
            </w:r>
            <w:r>
              <w:rPr>
                <w:rFonts w:hint="default" w:ascii="Times New Roman" w:hAnsi="Times New Roman" w:eastAsia="宋体" w:cs="Times New Roman"/>
                <w:b/>
                <w:bCs/>
                <w:i w:val="0"/>
                <w:iCs w:val="0"/>
                <w:color w:val="auto"/>
                <w:kern w:val="0"/>
                <w:sz w:val="21"/>
                <w:szCs w:val="21"/>
                <w:u w:val="single" w:color="auto"/>
                <w:lang w:val="en-US" w:eastAsia="zh-CN" w:bidi="ar"/>
              </w:rPr>
              <w:t>/a）</w:t>
            </w:r>
          </w:p>
        </w:tc>
        <w:tc>
          <w:tcPr>
            <w:tcW w:w="877" w:type="pct"/>
            <w:shd w:val="clear" w:color="auto" w:fill="auto"/>
            <w:tcMar>
              <w:top w:w="0" w:type="dxa"/>
              <w:left w:w="57" w:type="dxa"/>
              <w:bottom w:w="0" w:type="dxa"/>
              <w:right w:w="57" w:type="dxa"/>
            </w:tcMar>
            <w:vAlign w:val="center"/>
          </w:tcPr>
          <w:p w14:paraId="4ADA6C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包含类型</w:t>
            </w:r>
          </w:p>
        </w:tc>
        <w:tc>
          <w:tcPr>
            <w:tcW w:w="546" w:type="pct"/>
            <w:shd w:val="clear" w:color="auto" w:fill="auto"/>
            <w:tcMar>
              <w:top w:w="0" w:type="dxa"/>
              <w:left w:w="57" w:type="dxa"/>
              <w:bottom w:w="0" w:type="dxa"/>
              <w:right w:w="57" w:type="dxa"/>
            </w:tcMar>
            <w:vAlign w:val="center"/>
          </w:tcPr>
          <w:p w14:paraId="7459026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比例（体积比）</w:t>
            </w:r>
          </w:p>
        </w:tc>
        <w:tc>
          <w:tcPr>
            <w:tcW w:w="565" w:type="pct"/>
            <w:shd w:val="clear" w:color="auto" w:fill="auto"/>
            <w:tcMar>
              <w:top w:w="0" w:type="dxa"/>
              <w:left w:w="57" w:type="dxa"/>
              <w:bottom w:w="0" w:type="dxa"/>
              <w:right w:w="57" w:type="dxa"/>
            </w:tcMar>
            <w:vAlign w:val="center"/>
          </w:tcPr>
          <w:p w14:paraId="073242C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使用量（m</w:t>
            </w:r>
            <w:r>
              <w:rPr>
                <w:rFonts w:hint="default" w:ascii="Times New Roman" w:hAnsi="Times New Roman" w:eastAsia="宋体" w:cs="Times New Roman"/>
                <w:b/>
                <w:bCs/>
                <w:i w:val="0"/>
                <w:iCs w:val="0"/>
                <w:color w:val="auto"/>
                <w:kern w:val="0"/>
                <w:sz w:val="21"/>
                <w:szCs w:val="21"/>
                <w:u w:val="single" w:color="auto"/>
                <w:vertAlign w:val="superscript"/>
                <w:lang w:val="en-US" w:eastAsia="zh-CN" w:bidi="ar"/>
              </w:rPr>
              <w:t>3</w:t>
            </w:r>
            <w:r>
              <w:rPr>
                <w:rFonts w:hint="default" w:ascii="Times New Roman" w:hAnsi="Times New Roman" w:eastAsia="宋体" w:cs="Times New Roman"/>
                <w:b/>
                <w:bCs/>
                <w:i w:val="0"/>
                <w:iCs w:val="0"/>
                <w:color w:val="auto"/>
                <w:kern w:val="0"/>
                <w:sz w:val="21"/>
                <w:szCs w:val="21"/>
                <w:u w:val="single" w:color="auto"/>
                <w:lang w:val="en-US" w:eastAsia="zh-CN" w:bidi="ar"/>
              </w:rPr>
              <w:t>/a）</w:t>
            </w:r>
          </w:p>
        </w:tc>
        <w:tc>
          <w:tcPr>
            <w:tcW w:w="616" w:type="pct"/>
            <w:shd w:val="clear" w:color="auto" w:fill="auto"/>
            <w:tcMar>
              <w:top w:w="0" w:type="dxa"/>
              <w:left w:w="57" w:type="dxa"/>
              <w:bottom w:w="0" w:type="dxa"/>
              <w:right w:w="57" w:type="dxa"/>
            </w:tcMar>
            <w:vAlign w:val="center"/>
          </w:tcPr>
          <w:p w14:paraId="3C57C6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密度（g/cm</w:t>
            </w:r>
            <w:r>
              <w:rPr>
                <w:rFonts w:hint="default" w:ascii="Times New Roman" w:hAnsi="Times New Roman" w:eastAsia="宋体" w:cs="Times New Roman"/>
                <w:b/>
                <w:bCs/>
                <w:i w:val="0"/>
                <w:iCs w:val="0"/>
                <w:color w:val="auto"/>
                <w:kern w:val="0"/>
                <w:sz w:val="21"/>
                <w:szCs w:val="21"/>
                <w:u w:val="single" w:color="auto"/>
                <w:vertAlign w:val="superscript"/>
                <w:lang w:val="en-US" w:eastAsia="zh-CN" w:bidi="ar"/>
              </w:rPr>
              <w:t>3</w:t>
            </w:r>
            <w:r>
              <w:rPr>
                <w:rFonts w:hint="default" w:ascii="Times New Roman" w:hAnsi="Times New Roman" w:eastAsia="宋体" w:cs="Times New Roman"/>
                <w:b/>
                <w:bCs/>
                <w:i w:val="0"/>
                <w:iCs w:val="0"/>
                <w:color w:val="auto"/>
                <w:kern w:val="0"/>
                <w:sz w:val="21"/>
                <w:szCs w:val="21"/>
                <w:u w:val="single" w:color="auto"/>
                <w:lang w:val="en-US" w:eastAsia="zh-CN" w:bidi="ar"/>
              </w:rPr>
              <w:t>）</w:t>
            </w:r>
          </w:p>
        </w:tc>
        <w:tc>
          <w:tcPr>
            <w:tcW w:w="488" w:type="pct"/>
            <w:shd w:val="clear" w:color="auto" w:fill="auto"/>
            <w:tcMar>
              <w:top w:w="0" w:type="dxa"/>
              <w:left w:w="57" w:type="dxa"/>
              <w:bottom w:w="0" w:type="dxa"/>
              <w:right w:w="57" w:type="dxa"/>
            </w:tcMar>
            <w:vAlign w:val="center"/>
          </w:tcPr>
          <w:p w14:paraId="46AF076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使用量（t/a）</w:t>
            </w:r>
          </w:p>
        </w:tc>
      </w:tr>
      <w:tr w14:paraId="29DD0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shd w:val="clear" w:color="auto" w:fill="auto"/>
            <w:tcMar>
              <w:top w:w="0" w:type="dxa"/>
              <w:left w:w="57" w:type="dxa"/>
              <w:bottom w:w="0" w:type="dxa"/>
              <w:right w:w="57" w:type="dxa"/>
            </w:tcMar>
            <w:vAlign w:val="center"/>
          </w:tcPr>
          <w:p w14:paraId="7F6F9E6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底漆</w:t>
            </w:r>
          </w:p>
        </w:tc>
        <w:tc>
          <w:tcPr>
            <w:tcW w:w="487" w:type="pct"/>
            <w:vMerge w:val="restart"/>
            <w:shd w:val="clear" w:color="auto" w:fill="auto"/>
            <w:tcMar>
              <w:top w:w="0" w:type="dxa"/>
              <w:left w:w="57" w:type="dxa"/>
              <w:bottom w:w="0" w:type="dxa"/>
              <w:right w:w="57" w:type="dxa"/>
            </w:tcMar>
            <w:vAlign w:val="center"/>
          </w:tcPr>
          <w:p w14:paraId="55EB57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15" w:type="pct"/>
            <w:vMerge w:val="restart"/>
            <w:shd w:val="clear" w:color="auto" w:fill="auto"/>
            <w:tcMar>
              <w:top w:w="0" w:type="dxa"/>
              <w:left w:w="57" w:type="dxa"/>
              <w:bottom w:w="0" w:type="dxa"/>
              <w:right w:w="57" w:type="dxa"/>
            </w:tcMar>
            <w:vAlign w:val="center"/>
          </w:tcPr>
          <w:p w14:paraId="1692794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565" w:type="pct"/>
            <w:vMerge w:val="restart"/>
            <w:shd w:val="clear" w:color="auto" w:fill="auto"/>
            <w:tcMar>
              <w:top w:w="0" w:type="dxa"/>
              <w:left w:w="57" w:type="dxa"/>
              <w:bottom w:w="0" w:type="dxa"/>
              <w:right w:w="57" w:type="dxa"/>
            </w:tcMar>
            <w:vAlign w:val="center"/>
          </w:tcPr>
          <w:p w14:paraId="432457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877" w:type="pct"/>
            <w:shd w:val="clear" w:color="auto" w:fill="auto"/>
            <w:tcMar>
              <w:top w:w="0" w:type="dxa"/>
              <w:left w:w="57" w:type="dxa"/>
              <w:bottom w:w="0" w:type="dxa"/>
              <w:right w:w="57" w:type="dxa"/>
            </w:tcMar>
            <w:vAlign w:val="center"/>
          </w:tcPr>
          <w:p w14:paraId="5E8411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环氧富锌底漆</w:t>
            </w:r>
          </w:p>
        </w:tc>
        <w:tc>
          <w:tcPr>
            <w:tcW w:w="546" w:type="pct"/>
            <w:vMerge w:val="restart"/>
            <w:shd w:val="clear" w:color="auto" w:fill="auto"/>
            <w:tcMar>
              <w:top w:w="0" w:type="dxa"/>
              <w:left w:w="57" w:type="dxa"/>
              <w:bottom w:w="0" w:type="dxa"/>
              <w:right w:w="57" w:type="dxa"/>
            </w:tcMar>
            <w:vAlign w:val="center"/>
          </w:tcPr>
          <w:p w14:paraId="6A27E9F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46A0128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tcMar>
              <w:top w:w="0" w:type="dxa"/>
              <w:left w:w="57" w:type="dxa"/>
              <w:bottom w:w="0" w:type="dxa"/>
              <w:right w:w="57" w:type="dxa"/>
            </w:tcMar>
            <w:vAlign w:val="center"/>
          </w:tcPr>
          <w:p w14:paraId="3147940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6FE844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4668D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2A5AD3D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1E47378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1958345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008C37B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tcMar>
              <w:top w:w="0" w:type="dxa"/>
              <w:left w:w="57" w:type="dxa"/>
              <w:bottom w:w="0" w:type="dxa"/>
              <w:right w:w="57" w:type="dxa"/>
            </w:tcMar>
            <w:vAlign w:val="center"/>
          </w:tcPr>
          <w:p w14:paraId="2DDF71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环氧固化剂</w:t>
            </w:r>
          </w:p>
        </w:tc>
        <w:tc>
          <w:tcPr>
            <w:tcW w:w="546" w:type="pct"/>
            <w:vMerge w:val="continue"/>
            <w:shd w:val="clear" w:color="auto" w:fill="auto"/>
            <w:tcMar>
              <w:top w:w="0" w:type="dxa"/>
              <w:left w:w="57" w:type="dxa"/>
              <w:bottom w:w="0" w:type="dxa"/>
              <w:right w:w="57" w:type="dxa"/>
            </w:tcMar>
            <w:vAlign w:val="center"/>
          </w:tcPr>
          <w:p w14:paraId="1D9A9F7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768A9CE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tcMar>
              <w:top w:w="0" w:type="dxa"/>
              <w:left w:w="57" w:type="dxa"/>
              <w:bottom w:w="0" w:type="dxa"/>
              <w:right w:w="57" w:type="dxa"/>
            </w:tcMar>
            <w:vAlign w:val="center"/>
          </w:tcPr>
          <w:p w14:paraId="5A9785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448EBCE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AF22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08DEADA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61851AE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3DA1A24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29C44DC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tcMar>
              <w:top w:w="0" w:type="dxa"/>
              <w:left w:w="57" w:type="dxa"/>
              <w:bottom w:w="0" w:type="dxa"/>
              <w:right w:w="57" w:type="dxa"/>
            </w:tcMar>
            <w:vAlign w:val="center"/>
          </w:tcPr>
          <w:p w14:paraId="1EAF6E8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546" w:type="pct"/>
            <w:vMerge w:val="continue"/>
            <w:shd w:val="clear" w:color="auto" w:fill="auto"/>
            <w:tcMar>
              <w:top w:w="0" w:type="dxa"/>
              <w:left w:w="57" w:type="dxa"/>
              <w:bottom w:w="0" w:type="dxa"/>
              <w:right w:w="57" w:type="dxa"/>
            </w:tcMar>
            <w:vAlign w:val="center"/>
          </w:tcPr>
          <w:p w14:paraId="4A036A3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71E6846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tcMar>
              <w:top w:w="0" w:type="dxa"/>
              <w:left w:w="57" w:type="dxa"/>
              <w:bottom w:w="0" w:type="dxa"/>
              <w:right w:w="57" w:type="dxa"/>
            </w:tcMar>
            <w:vAlign w:val="center"/>
          </w:tcPr>
          <w:p w14:paraId="7488727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2635CAF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8441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37" w:type="pct"/>
            <w:vMerge w:val="restart"/>
            <w:shd w:val="clear" w:color="auto" w:fill="auto"/>
            <w:tcMar>
              <w:top w:w="0" w:type="dxa"/>
              <w:left w:w="57" w:type="dxa"/>
              <w:bottom w:w="0" w:type="dxa"/>
              <w:right w:w="57" w:type="dxa"/>
            </w:tcMar>
            <w:vAlign w:val="center"/>
          </w:tcPr>
          <w:p w14:paraId="716F43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中漆</w:t>
            </w:r>
          </w:p>
        </w:tc>
        <w:tc>
          <w:tcPr>
            <w:tcW w:w="487" w:type="pct"/>
            <w:vMerge w:val="restart"/>
            <w:shd w:val="clear" w:color="auto" w:fill="auto"/>
            <w:tcMar>
              <w:top w:w="0" w:type="dxa"/>
              <w:left w:w="57" w:type="dxa"/>
              <w:bottom w:w="0" w:type="dxa"/>
              <w:right w:w="57" w:type="dxa"/>
            </w:tcMar>
            <w:vAlign w:val="center"/>
          </w:tcPr>
          <w:p w14:paraId="52D61B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15" w:type="pct"/>
            <w:vMerge w:val="restart"/>
            <w:shd w:val="clear" w:color="auto" w:fill="auto"/>
            <w:tcMar>
              <w:top w:w="0" w:type="dxa"/>
              <w:left w:w="57" w:type="dxa"/>
              <w:bottom w:w="0" w:type="dxa"/>
              <w:right w:w="57" w:type="dxa"/>
            </w:tcMar>
            <w:vAlign w:val="center"/>
          </w:tcPr>
          <w:p w14:paraId="072B89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565" w:type="pct"/>
            <w:vMerge w:val="restart"/>
            <w:shd w:val="clear" w:color="auto" w:fill="auto"/>
            <w:tcMar>
              <w:top w:w="0" w:type="dxa"/>
              <w:left w:w="57" w:type="dxa"/>
              <w:bottom w:w="0" w:type="dxa"/>
              <w:right w:w="57" w:type="dxa"/>
            </w:tcMar>
            <w:vAlign w:val="center"/>
          </w:tcPr>
          <w:p w14:paraId="605D199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877" w:type="pct"/>
            <w:shd w:val="clear" w:color="auto" w:fill="auto"/>
            <w:tcMar>
              <w:top w:w="0" w:type="dxa"/>
              <w:left w:w="57" w:type="dxa"/>
              <w:bottom w:w="0" w:type="dxa"/>
              <w:right w:w="57" w:type="dxa"/>
            </w:tcMar>
            <w:vAlign w:val="center"/>
          </w:tcPr>
          <w:p w14:paraId="09BA03D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环氧云铁中间漆</w:t>
            </w:r>
          </w:p>
        </w:tc>
        <w:tc>
          <w:tcPr>
            <w:tcW w:w="546" w:type="pct"/>
            <w:vMerge w:val="restart"/>
            <w:shd w:val="clear" w:color="auto" w:fill="auto"/>
            <w:tcMar>
              <w:top w:w="0" w:type="dxa"/>
              <w:left w:w="57" w:type="dxa"/>
              <w:bottom w:w="0" w:type="dxa"/>
              <w:right w:w="57" w:type="dxa"/>
            </w:tcMar>
            <w:vAlign w:val="center"/>
          </w:tcPr>
          <w:p w14:paraId="0F98159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54618F7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tcMar>
              <w:top w:w="0" w:type="dxa"/>
              <w:left w:w="57" w:type="dxa"/>
              <w:bottom w:w="0" w:type="dxa"/>
              <w:right w:w="57" w:type="dxa"/>
            </w:tcMar>
            <w:vAlign w:val="center"/>
          </w:tcPr>
          <w:p w14:paraId="707703F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1E5C03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56C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4ADF549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390156B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651C689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680E0AB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tcMar>
              <w:top w:w="0" w:type="dxa"/>
              <w:left w:w="57" w:type="dxa"/>
              <w:bottom w:w="0" w:type="dxa"/>
              <w:right w:w="57" w:type="dxa"/>
            </w:tcMar>
            <w:vAlign w:val="center"/>
          </w:tcPr>
          <w:p w14:paraId="0D93F6E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环氧固化剂</w:t>
            </w:r>
          </w:p>
        </w:tc>
        <w:tc>
          <w:tcPr>
            <w:tcW w:w="546" w:type="pct"/>
            <w:vMerge w:val="continue"/>
            <w:shd w:val="clear" w:color="auto" w:fill="auto"/>
            <w:tcMar>
              <w:top w:w="0" w:type="dxa"/>
              <w:left w:w="57" w:type="dxa"/>
              <w:bottom w:w="0" w:type="dxa"/>
              <w:right w:w="57" w:type="dxa"/>
            </w:tcMar>
            <w:vAlign w:val="center"/>
          </w:tcPr>
          <w:p w14:paraId="1B032C2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2E85B84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tcMar>
              <w:top w:w="0" w:type="dxa"/>
              <w:left w:w="57" w:type="dxa"/>
              <w:bottom w:w="0" w:type="dxa"/>
              <w:right w:w="57" w:type="dxa"/>
            </w:tcMar>
            <w:vAlign w:val="center"/>
          </w:tcPr>
          <w:p w14:paraId="1F758EC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5BD4B7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DECB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358D311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0D40512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235FE29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4E3EDF8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noWrap/>
            <w:tcMar>
              <w:top w:w="0" w:type="dxa"/>
              <w:left w:w="57" w:type="dxa"/>
              <w:bottom w:w="0" w:type="dxa"/>
              <w:right w:w="57" w:type="dxa"/>
            </w:tcMar>
            <w:vAlign w:val="center"/>
          </w:tcPr>
          <w:p w14:paraId="539207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546" w:type="pct"/>
            <w:vMerge w:val="continue"/>
            <w:shd w:val="clear" w:color="auto" w:fill="auto"/>
            <w:tcMar>
              <w:top w:w="0" w:type="dxa"/>
              <w:left w:w="57" w:type="dxa"/>
              <w:bottom w:w="0" w:type="dxa"/>
              <w:right w:w="57" w:type="dxa"/>
            </w:tcMar>
            <w:vAlign w:val="center"/>
          </w:tcPr>
          <w:p w14:paraId="5C4FC23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noWrap/>
            <w:tcMar>
              <w:top w:w="0" w:type="dxa"/>
              <w:left w:w="57" w:type="dxa"/>
              <w:bottom w:w="0" w:type="dxa"/>
              <w:right w:w="57" w:type="dxa"/>
            </w:tcMar>
            <w:vAlign w:val="center"/>
          </w:tcPr>
          <w:p w14:paraId="34E91FD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noWrap/>
            <w:tcMar>
              <w:top w:w="0" w:type="dxa"/>
              <w:left w:w="57" w:type="dxa"/>
              <w:bottom w:w="0" w:type="dxa"/>
              <w:right w:w="57" w:type="dxa"/>
            </w:tcMar>
            <w:vAlign w:val="center"/>
          </w:tcPr>
          <w:p w14:paraId="4CF773A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3E6EC72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92E2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shd w:val="clear" w:color="auto" w:fill="auto"/>
            <w:tcMar>
              <w:top w:w="0" w:type="dxa"/>
              <w:left w:w="57" w:type="dxa"/>
              <w:bottom w:w="0" w:type="dxa"/>
              <w:right w:w="57" w:type="dxa"/>
            </w:tcMar>
            <w:vAlign w:val="center"/>
          </w:tcPr>
          <w:p w14:paraId="6B1A720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面漆</w:t>
            </w:r>
          </w:p>
        </w:tc>
        <w:tc>
          <w:tcPr>
            <w:tcW w:w="487" w:type="pct"/>
            <w:vMerge w:val="restart"/>
            <w:shd w:val="clear" w:color="auto" w:fill="auto"/>
            <w:tcMar>
              <w:top w:w="0" w:type="dxa"/>
              <w:left w:w="57" w:type="dxa"/>
              <w:bottom w:w="0" w:type="dxa"/>
              <w:right w:w="57" w:type="dxa"/>
            </w:tcMar>
            <w:vAlign w:val="center"/>
          </w:tcPr>
          <w:p w14:paraId="7C3362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15" w:type="pct"/>
            <w:vMerge w:val="restart"/>
            <w:shd w:val="clear" w:color="auto" w:fill="auto"/>
            <w:tcMar>
              <w:top w:w="0" w:type="dxa"/>
              <w:left w:w="57" w:type="dxa"/>
              <w:bottom w:w="0" w:type="dxa"/>
              <w:right w:w="57" w:type="dxa"/>
            </w:tcMar>
            <w:vAlign w:val="center"/>
          </w:tcPr>
          <w:p w14:paraId="2F1871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565" w:type="pct"/>
            <w:vMerge w:val="restart"/>
            <w:shd w:val="clear" w:color="auto" w:fill="auto"/>
            <w:tcMar>
              <w:top w:w="0" w:type="dxa"/>
              <w:left w:w="57" w:type="dxa"/>
              <w:bottom w:w="0" w:type="dxa"/>
              <w:right w:w="57" w:type="dxa"/>
            </w:tcMar>
            <w:vAlign w:val="center"/>
          </w:tcPr>
          <w:p w14:paraId="7CBFCA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877" w:type="pct"/>
            <w:shd w:val="clear" w:color="auto" w:fill="auto"/>
            <w:noWrap/>
            <w:tcMar>
              <w:top w:w="0" w:type="dxa"/>
              <w:left w:w="57" w:type="dxa"/>
              <w:bottom w:w="0" w:type="dxa"/>
              <w:right w:w="57" w:type="dxa"/>
            </w:tcMar>
            <w:vAlign w:val="center"/>
          </w:tcPr>
          <w:p w14:paraId="3DB882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聚氨酯面漆</w:t>
            </w:r>
          </w:p>
        </w:tc>
        <w:tc>
          <w:tcPr>
            <w:tcW w:w="546" w:type="pct"/>
            <w:vMerge w:val="restart"/>
            <w:shd w:val="clear" w:color="auto" w:fill="auto"/>
            <w:noWrap/>
            <w:tcMar>
              <w:top w:w="0" w:type="dxa"/>
              <w:left w:w="57" w:type="dxa"/>
              <w:bottom w:w="0" w:type="dxa"/>
              <w:right w:w="57" w:type="dxa"/>
            </w:tcMar>
            <w:vAlign w:val="center"/>
          </w:tcPr>
          <w:p w14:paraId="23D4BC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072EA22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noWrap/>
            <w:tcMar>
              <w:top w:w="0" w:type="dxa"/>
              <w:left w:w="57" w:type="dxa"/>
              <w:bottom w:w="0" w:type="dxa"/>
              <w:right w:w="57" w:type="dxa"/>
            </w:tcMar>
            <w:vAlign w:val="center"/>
          </w:tcPr>
          <w:p w14:paraId="7F341D2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0DF24F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4F3D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5B17CEA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28F1AC3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09DF983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439C789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noWrap/>
            <w:tcMar>
              <w:top w:w="0" w:type="dxa"/>
              <w:left w:w="57" w:type="dxa"/>
              <w:bottom w:w="0" w:type="dxa"/>
              <w:right w:w="57" w:type="dxa"/>
            </w:tcMar>
            <w:vAlign w:val="center"/>
          </w:tcPr>
          <w:p w14:paraId="1D6C4EB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固化剂</w:t>
            </w:r>
          </w:p>
        </w:tc>
        <w:tc>
          <w:tcPr>
            <w:tcW w:w="546" w:type="pct"/>
            <w:vMerge w:val="continue"/>
            <w:shd w:val="clear" w:color="auto" w:fill="auto"/>
            <w:noWrap/>
            <w:tcMar>
              <w:top w:w="0" w:type="dxa"/>
              <w:left w:w="57" w:type="dxa"/>
              <w:bottom w:w="0" w:type="dxa"/>
              <w:right w:w="57" w:type="dxa"/>
            </w:tcMar>
            <w:vAlign w:val="center"/>
          </w:tcPr>
          <w:p w14:paraId="3FA301A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tcMar>
              <w:top w:w="0" w:type="dxa"/>
              <w:left w:w="57" w:type="dxa"/>
              <w:bottom w:w="0" w:type="dxa"/>
              <w:right w:w="57" w:type="dxa"/>
            </w:tcMar>
            <w:vAlign w:val="center"/>
          </w:tcPr>
          <w:p w14:paraId="3B58CF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noWrap/>
            <w:tcMar>
              <w:top w:w="0" w:type="dxa"/>
              <w:left w:w="57" w:type="dxa"/>
              <w:bottom w:w="0" w:type="dxa"/>
              <w:right w:w="57" w:type="dxa"/>
            </w:tcMar>
            <w:vAlign w:val="center"/>
          </w:tcPr>
          <w:p w14:paraId="7F3EA14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6AF6295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2664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shd w:val="clear" w:color="auto" w:fill="auto"/>
            <w:tcMar>
              <w:top w:w="0" w:type="dxa"/>
              <w:left w:w="57" w:type="dxa"/>
              <w:bottom w:w="0" w:type="dxa"/>
              <w:right w:w="57" w:type="dxa"/>
            </w:tcMar>
            <w:vAlign w:val="center"/>
          </w:tcPr>
          <w:p w14:paraId="3F9497C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487" w:type="pct"/>
            <w:vMerge w:val="continue"/>
            <w:shd w:val="clear" w:color="auto" w:fill="auto"/>
            <w:tcMar>
              <w:top w:w="0" w:type="dxa"/>
              <w:left w:w="57" w:type="dxa"/>
              <w:bottom w:w="0" w:type="dxa"/>
              <w:right w:w="57" w:type="dxa"/>
            </w:tcMar>
            <w:vAlign w:val="center"/>
          </w:tcPr>
          <w:p w14:paraId="7A7D2C0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615" w:type="pct"/>
            <w:vMerge w:val="continue"/>
            <w:shd w:val="clear" w:color="auto" w:fill="auto"/>
            <w:tcMar>
              <w:top w:w="0" w:type="dxa"/>
              <w:left w:w="57" w:type="dxa"/>
              <w:bottom w:w="0" w:type="dxa"/>
              <w:right w:w="57" w:type="dxa"/>
            </w:tcMar>
            <w:vAlign w:val="center"/>
          </w:tcPr>
          <w:p w14:paraId="1ECCE6C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65" w:type="pct"/>
            <w:vMerge w:val="continue"/>
            <w:shd w:val="clear" w:color="auto" w:fill="auto"/>
            <w:tcMar>
              <w:top w:w="0" w:type="dxa"/>
              <w:left w:w="57" w:type="dxa"/>
              <w:bottom w:w="0" w:type="dxa"/>
              <w:right w:w="57" w:type="dxa"/>
            </w:tcMar>
            <w:vAlign w:val="center"/>
          </w:tcPr>
          <w:p w14:paraId="1E29D37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77" w:type="pct"/>
            <w:shd w:val="clear" w:color="auto" w:fill="auto"/>
            <w:noWrap/>
            <w:tcMar>
              <w:top w:w="0" w:type="dxa"/>
              <w:left w:w="57" w:type="dxa"/>
              <w:bottom w:w="0" w:type="dxa"/>
              <w:right w:w="57" w:type="dxa"/>
            </w:tcMar>
            <w:vAlign w:val="center"/>
          </w:tcPr>
          <w:p w14:paraId="0D8CE77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546" w:type="pct"/>
            <w:vMerge w:val="continue"/>
            <w:shd w:val="clear" w:color="auto" w:fill="auto"/>
            <w:noWrap/>
            <w:tcMar>
              <w:top w:w="0" w:type="dxa"/>
              <w:left w:w="57" w:type="dxa"/>
              <w:bottom w:w="0" w:type="dxa"/>
              <w:right w:w="57" w:type="dxa"/>
            </w:tcMar>
            <w:vAlign w:val="center"/>
          </w:tcPr>
          <w:p w14:paraId="5383CED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952" w:type="dxa"/>
            <w:shd w:val="clear" w:color="auto" w:fill="auto"/>
            <w:noWrap/>
            <w:tcMar>
              <w:top w:w="0" w:type="dxa"/>
              <w:left w:w="57" w:type="dxa"/>
              <w:bottom w:w="0" w:type="dxa"/>
              <w:right w:w="57" w:type="dxa"/>
            </w:tcMar>
            <w:vAlign w:val="center"/>
          </w:tcPr>
          <w:p w14:paraId="4012075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noWrap/>
            <w:tcMar>
              <w:top w:w="0" w:type="dxa"/>
              <w:left w:w="57" w:type="dxa"/>
              <w:bottom w:w="0" w:type="dxa"/>
              <w:right w:w="57" w:type="dxa"/>
            </w:tcMar>
            <w:vAlign w:val="center"/>
          </w:tcPr>
          <w:p w14:paraId="3C84C76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822" w:type="dxa"/>
            <w:shd w:val="clear" w:color="auto" w:fill="auto"/>
            <w:tcMar>
              <w:top w:w="0" w:type="dxa"/>
              <w:left w:w="57" w:type="dxa"/>
              <w:bottom w:w="0" w:type="dxa"/>
              <w:right w:w="57" w:type="dxa"/>
            </w:tcMar>
            <w:vAlign w:val="center"/>
          </w:tcPr>
          <w:p w14:paraId="7916E0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661F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05" w:type="pct"/>
            <w:gridSpan w:val="4"/>
            <w:shd w:val="clear" w:color="auto" w:fill="auto"/>
            <w:tcMar>
              <w:top w:w="0" w:type="dxa"/>
              <w:left w:w="57" w:type="dxa"/>
              <w:bottom w:w="0" w:type="dxa"/>
              <w:right w:w="57" w:type="dxa"/>
            </w:tcMar>
            <w:vAlign w:val="center"/>
          </w:tcPr>
          <w:p w14:paraId="3ADC501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用于清洗喷枪稀释剂</w:t>
            </w:r>
          </w:p>
        </w:tc>
        <w:tc>
          <w:tcPr>
            <w:tcW w:w="877" w:type="pct"/>
            <w:shd w:val="clear" w:color="auto" w:fill="auto"/>
            <w:noWrap/>
            <w:tcMar>
              <w:top w:w="0" w:type="dxa"/>
              <w:left w:w="57" w:type="dxa"/>
              <w:bottom w:w="0" w:type="dxa"/>
              <w:right w:w="57" w:type="dxa"/>
            </w:tcMar>
            <w:vAlign w:val="center"/>
          </w:tcPr>
          <w:p w14:paraId="7956152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546" w:type="pct"/>
            <w:shd w:val="clear" w:color="auto" w:fill="auto"/>
            <w:noWrap/>
            <w:tcMar>
              <w:top w:w="0" w:type="dxa"/>
              <w:left w:w="57" w:type="dxa"/>
              <w:bottom w:w="0" w:type="dxa"/>
              <w:right w:w="57" w:type="dxa"/>
            </w:tcMar>
            <w:vAlign w:val="center"/>
          </w:tcPr>
          <w:p w14:paraId="087B047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w:t>
            </w:r>
          </w:p>
        </w:tc>
        <w:tc>
          <w:tcPr>
            <w:tcW w:w="565" w:type="pct"/>
            <w:shd w:val="clear" w:color="auto" w:fill="auto"/>
            <w:noWrap/>
            <w:tcMar>
              <w:top w:w="0" w:type="dxa"/>
              <w:left w:w="57" w:type="dxa"/>
              <w:bottom w:w="0" w:type="dxa"/>
              <w:right w:w="57" w:type="dxa"/>
            </w:tcMar>
            <w:vAlign w:val="center"/>
          </w:tcPr>
          <w:p w14:paraId="62399F7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p>
        </w:tc>
        <w:tc>
          <w:tcPr>
            <w:tcW w:w="616" w:type="pct"/>
            <w:shd w:val="clear" w:color="auto" w:fill="auto"/>
            <w:noWrap/>
            <w:tcMar>
              <w:top w:w="0" w:type="dxa"/>
              <w:left w:w="57" w:type="dxa"/>
              <w:bottom w:w="0" w:type="dxa"/>
              <w:right w:w="57" w:type="dxa"/>
            </w:tcMar>
            <w:vAlign w:val="center"/>
          </w:tcPr>
          <w:p w14:paraId="7AAEC7F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p>
        </w:tc>
        <w:tc>
          <w:tcPr>
            <w:tcW w:w="488" w:type="pct"/>
            <w:shd w:val="clear" w:color="auto" w:fill="auto"/>
            <w:tcMar>
              <w:top w:w="0" w:type="dxa"/>
              <w:left w:w="57" w:type="dxa"/>
              <w:bottom w:w="0" w:type="dxa"/>
              <w:right w:w="57" w:type="dxa"/>
            </w:tcMar>
            <w:vAlign w:val="center"/>
          </w:tcPr>
          <w:p w14:paraId="1D3F80B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p>
        </w:tc>
      </w:tr>
      <w:tr w14:paraId="13E3B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05" w:type="pct"/>
            <w:gridSpan w:val="4"/>
            <w:shd w:val="clear" w:color="auto" w:fill="auto"/>
            <w:tcMar>
              <w:top w:w="0" w:type="dxa"/>
              <w:left w:w="57" w:type="dxa"/>
              <w:bottom w:w="0" w:type="dxa"/>
              <w:right w:w="57" w:type="dxa"/>
            </w:tcMar>
            <w:vAlign w:val="center"/>
          </w:tcPr>
          <w:p w14:paraId="149095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合计</w:t>
            </w:r>
          </w:p>
        </w:tc>
        <w:tc>
          <w:tcPr>
            <w:tcW w:w="877" w:type="pct"/>
            <w:shd w:val="clear" w:color="auto" w:fill="auto"/>
            <w:noWrap/>
            <w:tcMar>
              <w:top w:w="0" w:type="dxa"/>
              <w:left w:w="57" w:type="dxa"/>
              <w:bottom w:w="0" w:type="dxa"/>
              <w:right w:w="57" w:type="dxa"/>
            </w:tcMar>
            <w:vAlign w:val="center"/>
          </w:tcPr>
          <w:p w14:paraId="695EEC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w:t>
            </w:r>
          </w:p>
        </w:tc>
        <w:tc>
          <w:tcPr>
            <w:tcW w:w="546" w:type="pct"/>
            <w:shd w:val="clear" w:color="auto" w:fill="auto"/>
            <w:noWrap/>
            <w:tcMar>
              <w:top w:w="0" w:type="dxa"/>
              <w:left w:w="57" w:type="dxa"/>
              <w:bottom w:w="0" w:type="dxa"/>
              <w:right w:w="57" w:type="dxa"/>
            </w:tcMar>
            <w:vAlign w:val="center"/>
          </w:tcPr>
          <w:p w14:paraId="61F23B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w:t>
            </w:r>
          </w:p>
        </w:tc>
        <w:tc>
          <w:tcPr>
            <w:tcW w:w="565" w:type="pct"/>
            <w:shd w:val="clear" w:color="auto" w:fill="auto"/>
            <w:tcMar>
              <w:top w:w="0" w:type="dxa"/>
              <w:left w:w="57" w:type="dxa"/>
              <w:bottom w:w="0" w:type="dxa"/>
              <w:right w:w="57" w:type="dxa"/>
            </w:tcMar>
            <w:vAlign w:val="center"/>
          </w:tcPr>
          <w:p w14:paraId="5FC97F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16" w:type="pct"/>
            <w:shd w:val="clear" w:color="auto" w:fill="auto"/>
            <w:noWrap/>
            <w:tcMar>
              <w:top w:w="0" w:type="dxa"/>
              <w:left w:w="57" w:type="dxa"/>
              <w:bottom w:w="0" w:type="dxa"/>
              <w:right w:w="57" w:type="dxa"/>
            </w:tcMar>
            <w:vAlign w:val="center"/>
          </w:tcPr>
          <w:p w14:paraId="7165FC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488" w:type="pct"/>
            <w:shd w:val="clear" w:color="auto" w:fill="auto"/>
            <w:tcMar>
              <w:top w:w="0" w:type="dxa"/>
              <w:left w:w="57" w:type="dxa"/>
              <w:bottom w:w="0" w:type="dxa"/>
              <w:right w:w="57" w:type="dxa"/>
            </w:tcMar>
            <w:vAlign w:val="center"/>
          </w:tcPr>
          <w:p w14:paraId="242EF5C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r>
    </w:tbl>
    <w:p w14:paraId="1A2923FA">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6</w:t>
      </w:r>
      <w:r>
        <w:rPr>
          <w:rFonts w:hint="eastAsia" w:ascii="Times New Roman" w:hAnsi="Times New Roman" w:eastAsia="宋体" w:cs="Times New Roman"/>
          <w:b/>
          <w:bCs/>
          <w:color w:val="auto"/>
          <w:sz w:val="24"/>
          <w:szCs w:val="24"/>
          <w:u w:val="none" w:color="auto"/>
        </w:rPr>
        <w:t>油漆固化成分表</w:t>
      </w:r>
    </w:p>
    <w:tbl>
      <w:tblPr>
        <w:tblStyle w:val="3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1488"/>
        <w:gridCol w:w="1911"/>
        <w:gridCol w:w="1490"/>
        <w:gridCol w:w="1101"/>
        <w:gridCol w:w="1877"/>
      </w:tblGrid>
      <w:tr w14:paraId="317E2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Align w:val="center"/>
          </w:tcPr>
          <w:p w14:paraId="2946C6D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488" w:type="dxa"/>
            <w:vAlign w:val="center"/>
          </w:tcPr>
          <w:p w14:paraId="4000F72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名称</w:t>
            </w:r>
          </w:p>
        </w:tc>
        <w:tc>
          <w:tcPr>
            <w:tcW w:w="1911" w:type="dxa"/>
            <w:vAlign w:val="center"/>
          </w:tcPr>
          <w:p w14:paraId="2684319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物料名称</w:t>
            </w:r>
          </w:p>
        </w:tc>
        <w:tc>
          <w:tcPr>
            <w:tcW w:w="1490" w:type="dxa"/>
            <w:vAlign w:val="center"/>
          </w:tcPr>
          <w:p w14:paraId="73AEB76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固含量（%）</w:t>
            </w:r>
          </w:p>
        </w:tc>
        <w:tc>
          <w:tcPr>
            <w:tcW w:w="1101" w:type="dxa"/>
            <w:vAlign w:val="center"/>
          </w:tcPr>
          <w:p w14:paraId="12CE0C06">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质量</w:t>
            </w:r>
            <w:r>
              <w:rPr>
                <w:rFonts w:ascii="Times New Roman" w:hAnsi="Times New Roman" w:eastAsia="宋体" w:cs="Times New Roman"/>
                <w:color w:val="auto"/>
                <w:szCs w:val="21"/>
                <w:u w:val="single" w:color="auto"/>
              </w:rPr>
              <w:t>比例</w:t>
            </w:r>
          </w:p>
        </w:tc>
        <w:tc>
          <w:tcPr>
            <w:tcW w:w="1877" w:type="dxa"/>
            <w:vAlign w:val="center"/>
          </w:tcPr>
          <w:p w14:paraId="7519480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混合后固含量（%）</w:t>
            </w:r>
          </w:p>
        </w:tc>
      </w:tr>
      <w:tr w14:paraId="50FB7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restart"/>
            <w:vAlign w:val="center"/>
          </w:tcPr>
          <w:p w14:paraId="3F46939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1488" w:type="dxa"/>
            <w:vMerge w:val="restart"/>
            <w:vAlign w:val="center"/>
          </w:tcPr>
          <w:p w14:paraId="16DA9D4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底漆</w:t>
            </w:r>
          </w:p>
        </w:tc>
        <w:tc>
          <w:tcPr>
            <w:tcW w:w="1911" w:type="dxa"/>
            <w:vAlign w:val="center"/>
          </w:tcPr>
          <w:p w14:paraId="637EE560">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环氧富锌底漆</w:t>
            </w:r>
          </w:p>
        </w:tc>
        <w:tc>
          <w:tcPr>
            <w:tcW w:w="1490" w:type="dxa"/>
            <w:vAlign w:val="center"/>
          </w:tcPr>
          <w:p w14:paraId="515AABF1">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0080EF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Cs w:val="21"/>
                <w:u w:val="single" w:color="auto"/>
                <w:lang w:val="en-US" w:eastAsia="zh-CN"/>
              </w:rPr>
            </w:pPr>
          </w:p>
        </w:tc>
        <w:tc>
          <w:tcPr>
            <w:tcW w:w="1877" w:type="dxa"/>
            <w:vMerge w:val="restart"/>
            <w:vAlign w:val="center"/>
          </w:tcPr>
          <w:p w14:paraId="494D5381">
            <w:pPr>
              <w:jc w:val="center"/>
              <w:rPr>
                <w:rFonts w:hint="default" w:ascii="Times New Roman" w:hAnsi="Times New Roman" w:eastAsia="宋体" w:cs="Times New Roman"/>
                <w:color w:val="auto"/>
                <w:szCs w:val="21"/>
                <w:u w:val="single" w:color="auto"/>
                <w:lang w:val="en-US" w:eastAsia="zh-CN"/>
              </w:rPr>
            </w:pPr>
          </w:p>
        </w:tc>
      </w:tr>
      <w:tr w14:paraId="2D123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29585042">
            <w:pPr>
              <w:jc w:val="center"/>
              <w:rPr>
                <w:rFonts w:ascii="Times New Roman" w:hAnsi="Times New Roman" w:eastAsia="宋体" w:cs="Times New Roman"/>
                <w:color w:val="auto"/>
                <w:szCs w:val="21"/>
                <w:u w:val="single" w:color="auto"/>
              </w:rPr>
            </w:pPr>
          </w:p>
        </w:tc>
        <w:tc>
          <w:tcPr>
            <w:tcW w:w="1488" w:type="dxa"/>
            <w:vMerge w:val="continue"/>
            <w:vAlign w:val="center"/>
          </w:tcPr>
          <w:p w14:paraId="2D886C35">
            <w:pPr>
              <w:jc w:val="center"/>
              <w:rPr>
                <w:rFonts w:ascii="Times New Roman" w:hAnsi="Times New Roman" w:eastAsia="宋体" w:cs="Times New Roman"/>
                <w:color w:val="auto"/>
                <w:szCs w:val="21"/>
                <w:u w:val="single" w:color="auto"/>
              </w:rPr>
            </w:pPr>
          </w:p>
        </w:tc>
        <w:tc>
          <w:tcPr>
            <w:tcW w:w="1911" w:type="dxa"/>
            <w:vAlign w:val="center"/>
          </w:tcPr>
          <w:p w14:paraId="6F129A5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环氧固化剂</w:t>
            </w:r>
          </w:p>
        </w:tc>
        <w:tc>
          <w:tcPr>
            <w:tcW w:w="1490" w:type="dxa"/>
            <w:vAlign w:val="center"/>
          </w:tcPr>
          <w:p w14:paraId="307B7E8C">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4939D93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auto"/>
                <w:szCs w:val="21"/>
                <w:u w:val="single" w:color="auto"/>
                <w:lang w:eastAsia="zh-CN"/>
              </w:rPr>
            </w:pPr>
          </w:p>
        </w:tc>
        <w:tc>
          <w:tcPr>
            <w:tcW w:w="1877" w:type="dxa"/>
            <w:vMerge w:val="continue"/>
            <w:vAlign w:val="center"/>
          </w:tcPr>
          <w:p w14:paraId="4E6C0B2A">
            <w:pPr>
              <w:jc w:val="center"/>
              <w:rPr>
                <w:rFonts w:ascii="Times New Roman" w:hAnsi="Times New Roman" w:eastAsia="宋体" w:cs="Times New Roman"/>
                <w:color w:val="auto"/>
                <w:szCs w:val="21"/>
                <w:u w:val="single" w:color="auto"/>
              </w:rPr>
            </w:pPr>
          </w:p>
        </w:tc>
      </w:tr>
      <w:tr w14:paraId="648DE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2CAF2C77">
            <w:pPr>
              <w:jc w:val="center"/>
              <w:rPr>
                <w:rFonts w:ascii="Times New Roman" w:hAnsi="Times New Roman" w:eastAsia="宋体" w:cs="Times New Roman"/>
                <w:color w:val="auto"/>
                <w:szCs w:val="21"/>
                <w:u w:val="single" w:color="auto"/>
              </w:rPr>
            </w:pPr>
          </w:p>
        </w:tc>
        <w:tc>
          <w:tcPr>
            <w:tcW w:w="1488" w:type="dxa"/>
            <w:vMerge w:val="continue"/>
            <w:vAlign w:val="center"/>
          </w:tcPr>
          <w:p w14:paraId="1A99B333">
            <w:pPr>
              <w:jc w:val="center"/>
              <w:rPr>
                <w:rFonts w:ascii="Times New Roman" w:hAnsi="Times New Roman" w:eastAsia="宋体" w:cs="Times New Roman"/>
                <w:color w:val="auto"/>
                <w:szCs w:val="21"/>
                <w:u w:val="single" w:color="auto"/>
              </w:rPr>
            </w:pPr>
          </w:p>
        </w:tc>
        <w:tc>
          <w:tcPr>
            <w:tcW w:w="1911" w:type="dxa"/>
            <w:vAlign w:val="center"/>
          </w:tcPr>
          <w:p w14:paraId="38E31EFC">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1490" w:type="dxa"/>
            <w:vAlign w:val="center"/>
          </w:tcPr>
          <w:p w14:paraId="5650BFFB">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4B1D9EF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p>
        </w:tc>
        <w:tc>
          <w:tcPr>
            <w:tcW w:w="1877" w:type="dxa"/>
            <w:vMerge w:val="continue"/>
            <w:vAlign w:val="center"/>
          </w:tcPr>
          <w:p w14:paraId="7CF30AB4">
            <w:pPr>
              <w:jc w:val="center"/>
              <w:rPr>
                <w:rFonts w:ascii="Times New Roman" w:hAnsi="Times New Roman" w:eastAsia="宋体" w:cs="Times New Roman"/>
                <w:color w:val="auto"/>
                <w:szCs w:val="21"/>
                <w:u w:val="single" w:color="auto"/>
              </w:rPr>
            </w:pPr>
          </w:p>
        </w:tc>
      </w:tr>
      <w:tr w14:paraId="6EB9B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restart"/>
            <w:vAlign w:val="center"/>
          </w:tcPr>
          <w:p w14:paraId="74A61FF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w:t>
            </w:r>
          </w:p>
        </w:tc>
        <w:tc>
          <w:tcPr>
            <w:tcW w:w="1488" w:type="dxa"/>
            <w:vMerge w:val="restart"/>
            <w:vAlign w:val="center"/>
          </w:tcPr>
          <w:p w14:paraId="1196828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中漆</w:t>
            </w:r>
          </w:p>
        </w:tc>
        <w:tc>
          <w:tcPr>
            <w:tcW w:w="1911" w:type="dxa"/>
            <w:vAlign w:val="center"/>
          </w:tcPr>
          <w:p w14:paraId="08783286">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环氧云铁中间漆</w:t>
            </w:r>
          </w:p>
        </w:tc>
        <w:tc>
          <w:tcPr>
            <w:tcW w:w="1490" w:type="dxa"/>
            <w:vAlign w:val="center"/>
          </w:tcPr>
          <w:p w14:paraId="462A1836">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1C8FB4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auto"/>
                <w:szCs w:val="21"/>
                <w:u w:val="single" w:color="auto"/>
                <w:lang w:eastAsia="zh-CN"/>
              </w:rPr>
            </w:pPr>
          </w:p>
        </w:tc>
        <w:tc>
          <w:tcPr>
            <w:tcW w:w="1877" w:type="dxa"/>
            <w:vMerge w:val="restart"/>
            <w:vAlign w:val="center"/>
          </w:tcPr>
          <w:p w14:paraId="67A8C40D">
            <w:pPr>
              <w:jc w:val="center"/>
              <w:rPr>
                <w:rFonts w:hint="default" w:ascii="Times New Roman" w:hAnsi="Times New Roman" w:eastAsia="宋体" w:cs="Times New Roman"/>
                <w:color w:val="auto"/>
                <w:szCs w:val="21"/>
                <w:u w:val="single" w:color="auto"/>
                <w:lang w:val="en-US" w:eastAsia="zh-CN"/>
              </w:rPr>
            </w:pPr>
          </w:p>
        </w:tc>
      </w:tr>
      <w:tr w14:paraId="76A51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518AF0CD">
            <w:pPr>
              <w:jc w:val="center"/>
              <w:rPr>
                <w:rFonts w:ascii="Times New Roman" w:hAnsi="Times New Roman" w:eastAsia="宋体" w:cs="Times New Roman"/>
                <w:color w:val="auto"/>
                <w:szCs w:val="21"/>
                <w:u w:val="single" w:color="auto"/>
              </w:rPr>
            </w:pPr>
          </w:p>
        </w:tc>
        <w:tc>
          <w:tcPr>
            <w:tcW w:w="1488" w:type="dxa"/>
            <w:vMerge w:val="continue"/>
            <w:vAlign w:val="center"/>
          </w:tcPr>
          <w:p w14:paraId="3155DCAF">
            <w:pPr>
              <w:jc w:val="center"/>
              <w:rPr>
                <w:rFonts w:ascii="Times New Roman" w:hAnsi="Times New Roman" w:eastAsia="宋体" w:cs="Times New Roman"/>
                <w:color w:val="auto"/>
                <w:szCs w:val="21"/>
                <w:u w:val="single" w:color="auto"/>
              </w:rPr>
            </w:pPr>
          </w:p>
        </w:tc>
        <w:tc>
          <w:tcPr>
            <w:tcW w:w="1911" w:type="dxa"/>
            <w:vAlign w:val="center"/>
          </w:tcPr>
          <w:p w14:paraId="07CB056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环氧固化剂</w:t>
            </w:r>
          </w:p>
        </w:tc>
        <w:tc>
          <w:tcPr>
            <w:tcW w:w="1490" w:type="dxa"/>
            <w:vAlign w:val="center"/>
          </w:tcPr>
          <w:p w14:paraId="679A5A80">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11DEBD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auto"/>
                <w:szCs w:val="21"/>
                <w:u w:val="single" w:color="auto"/>
                <w:lang w:eastAsia="zh-CN"/>
              </w:rPr>
            </w:pPr>
          </w:p>
        </w:tc>
        <w:tc>
          <w:tcPr>
            <w:tcW w:w="1877" w:type="dxa"/>
            <w:vMerge w:val="continue"/>
            <w:vAlign w:val="center"/>
          </w:tcPr>
          <w:p w14:paraId="4709BADC">
            <w:pPr>
              <w:jc w:val="center"/>
              <w:rPr>
                <w:rFonts w:ascii="Times New Roman" w:hAnsi="Times New Roman" w:eastAsia="宋体" w:cs="Times New Roman"/>
                <w:color w:val="auto"/>
                <w:szCs w:val="21"/>
                <w:u w:val="single" w:color="auto"/>
              </w:rPr>
            </w:pPr>
          </w:p>
        </w:tc>
      </w:tr>
      <w:tr w14:paraId="3E017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6742AC53">
            <w:pPr>
              <w:jc w:val="center"/>
              <w:rPr>
                <w:rFonts w:ascii="Times New Roman" w:hAnsi="Times New Roman" w:eastAsia="宋体" w:cs="Times New Roman"/>
                <w:color w:val="auto"/>
                <w:szCs w:val="21"/>
                <w:u w:val="single" w:color="auto"/>
              </w:rPr>
            </w:pPr>
          </w:p>
        </w:tc>
        <w:tc>
          <w:tcPr>
            <w:tcW w:w="1488" w:type="dxa"/>
            <w:vMerge w:val="continue"/>
            <w:vAlign w:val="center"/>
          </w:tcPr>
          <w:p w14:paraId="7C7FA4E1">
            <w:pPr>
              <w:jc w:val="center"/>
              <w:rPr>
                <w:rFonts w:ascii="Times New Roman" w:hAnsi="Times New Roman" w:eastAsia="宋体" w:cs="Times New Roman"/>
                <w:color w:val="auto"/>
                <w:szCs w:val="21"/>
                <w:u w:val="single" w:color="auto"/>
              </w:rPr>
            </w:pPr>
          </w:p>
        </w:tc>
        <w:tc>
          <w:tcPr>
            <w:tcW w:w="1911" w:type="dxa"/>
            <w:vAlign w:val="center"/>
          </w:tcPr>
          <w:p w14:paraId="7B5E373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1490" w:type="dxa"/>
            <w:vAlign w:val="center"/>
          </w:tcPr>
          <w:p w14:paraId="13A46551">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5DDDAEE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p>
        </w:tc>
        <w:tc>
          <w:tcPr>
            <w:tcW w:w="1877" w:type="dxa"/>
            <w:vMerge w:val="continue"/>
            <w:vAlign w:val="center"/>
          </w:tcPr>
          <w:p w14:paraId="3B9CA8B4">
            <w:pPr>
              <w:jc w:val="center"/>
              <w:rPr>
                <w:rFonts w:ascii="Times New Roman" w:hAnsi="Times New Roman" w:eastAsia="宋体" w:cs="Times New Roman"/>
                <w:color w:val="auto"/>
                <w:szCs w:val="21"/>
                <w:u w:val="single" w:color="auto"/>
              </w:rPr>
            </w:pPr>
          </w:p>
        </w:tc>
      </w:tr>
      <w:tr w14:paraId="31355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restart"/>
            <w:vAlign w:val="center"/>
          </w:tcPr>
          <w:p w14:paraId="6682DA1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1488" w:type="dxa"/>
            <w:vMerge w:val="restart"/>
            <w:vAlign w:val="center"/>
          </w:tcPr>
          <w:p w14:paraId="50B6E54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面漆</w:t>
            </w:r>
          </w:p>
        </w:tc>
        <w:tc>
          <w:tcPr>
            <w:tcW w:w="1911" w:type="dxa"/>
            <w:vAlign w:val="center"/>
          </w:tcPr>
          <w:p w14:paraId="34156EEF">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u w:val="single" w:color="auto"/>
                <w:lang w:val="en-US" w:eastAsia="zh-CN"/>
              </w:rPr>
              <w:t>聚氨酯面漆</w:t>
            </w:r>
          </w:p>
        </w:tc>
        <w:tc>
          <w:tcPr>
            <w:tcW w:w="1490" w:type="dxa"/>
            <w:vAlign w:val="center"/>
          </w:tcPr>
          <w:p w14:paraId="3DAA24F3">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5A5F24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p>
        </w:tc>
        <w:tc>
          <w:tcPr>
            <w:tcW w:w="1877" w:type="dxa"/>
            <w:vMerge w:val="restart"/>
            <w:vAlign w:val="center"/>
          </w:tcPr>
          <w:p w14:paraId="00949BF6">
            <w:pPr>
              <w:jc w:val="center"/>
              <w:rPr>
                <w:rFonts w:hint="default" w:ascii="Times New Roman" w:hAnsi="Times New Roman" w:eastAsia="宋体" w:cs="Times New Roman"/>
                <w:color w:val="auto"/>
                <w:szCs w:val="21"/>
                <w:u w:val="single" w:color="auto"/>
                <w:lang w:val="en-US" w:eastAsia="zh-CN"/>
              </w:rPr>
            </w:pPr>
          </w:p>
        </w:tc>
      </w:tr>
      <w:tr w14:paraId="2998D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01DC1B72">
            <w:pPr>
              <w:jc w:val="center"/>
              <w:rPr>
                <w:rFonts w:ascii="Times New Roman" w:hAnsi="Times New Roman" w:eastAsia="宋体" w:cs="Times New Roman"/>
                <w:color w:val="auto"/>
                <w:szCs w:val="21"/>
                <w:u w:val="single" w:color="auto"/>
              </w:rPr>
            </w:pPr>
          </w:p>
        </w:tc>
        <w:tc>
          <w:tcPr>
            <w:tcW w:w="1488" w:type="dxa"/>
            <w:vMerge w:val="continue"/>
            <w:vAlign w:val="center"/>
          </w:tcPr>
          <w:p w14:paraId="470302C2">
            <w:pPr>
              <w:jc w:val="center"/>
              <w:rPr>
                <w:rFonts w:ascii="Times New Roman" w:hAnsi="Times New Roman" w:eastAsia="宋体" w:cs="Times New Roman"/>
                <w:color w:val="auto"/>
                <w:szCs w:val="21"/>
                <w:u w:val="single" w:color="auto"/>
              </w:rPr>
            </w:pPr>
          </w:p>
        </w:tc>
        <w:tc>
          <w:tcPr>
            <w:tcW w:w="1911" w:type="dxa"/>
            <w:vAlign w:val="center"/>
          </w:tcPr>
          <w:p w14:paraId="22D82E66">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u w:val="single" w:color="auto"/>
              </w:rPr>
              <w:t>固化剂</w:t>
            </w:r>
          </w:p>
        </w:tc>
        <w:tc>
          <w:tcPr>
            <w:tcW w:w="1490" w:type="dxa"/>
            <w:vAlign w:val="center"/>
          </w:tcPr>
          <w:p w14:paraId="736F4F22">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1F1027D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p>
        </w:tc>
        <w:tc>
          <w:tcPr>
            <w:tcW w:w="1877" w:type="dxa"/>
            <w:vMerge w:val="continue"/>
            <w:vAlign w:val="center"/>
          </w:tcPr>
          <w:p w14:paraId="2C9CE94C">
            <w:pPr>
              <w:jc w:val="center"/>
              <w:rPr>
                <w:rFonts w:ascii="Times New Roman" w:hAnsi="Times New Roman" w:eastAsia="宋体" w:cs="Times New Roman"/>
                <w:color w:val="auto"/>
                <w:szCs w:val="21"/>
                <w:u w:val="none" w:color="auto"/>
              </w:rPr>
            </w:pPr>
          </w:p>
        </w:tc>
      </w:tr>
      <w:tr w14:paraId="1CDBF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55" w:type="dxa"/>
            <w:vMerge w:val="continue"/>
            <w:vAlign w:val="center"/>
          </w:tcPr>
          <w:p w14:paraId="0AF013BA">
            <w:pPr>
              <w:jc w:val="center"/>
              <w:rPr>
                <w:rFonts w:ascii="Times New Roman" w:hAnsi="Times New Roman" w:eastAsia="宋体" w:cs="Times New Roman"/>
                <w:color w:val="auto"/>
                <w:szCs w:val="21"/>
                <w:u w:val="single" w:color="auto"/>
              </w:rPr>
            </w:pPr>
          </w:p>
        </w:tc>
        <w:tc>
          <w:tcPr>
            <w:tcW w:w="1488" w:type="dxa"/>
            <w:vMerge w:val="continue"/>
            <w:vAlign w:val="center"/>
          </w:tcPr>
          <w:p w14:paraId="33A4B1AA">
            <w:pPr>
              <w:jc w:val="center"/>
              <w:rPr>
                <w:rFonts w:ascii="Times New Roman" w:hAnsi="Times New Roman" w:eastAsia="宋体" w:cs="Times New Roman"/>
                <w:color w:val="auto"/>
                <w:szCs w:val="21"/>
                <w:u w:val="single" w:color="auto"/>
              </w:rPr>
            </w:pPr>
          </w:p>
        </w:tc>
        <w:tc>
          <w:tcPr>
            <w:tcW w:w="1911" w:type="dxa"/>
            <w:vAlign w:val="center"/>
          </w:tcPr>
          <w:p w14:paraId="18E52798">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稀释剂</w:t>
            </w:r>
          </w:p>
        </w:tc>
        <w:tc>
          <w:tcPr>
            <w:tcW w:w="1490" w:type="dxa"/>
            <w:vAlign w:val="center"/>
          </w:tcPr>
          <w:p w14:paraId="7848FF0E">
            <w:pPr>
              <w:jc w:val="center"/>
              <w:rPr>
                <w:rFonts w:hint="default" w:ascii="Times New Roman" w:hAnsi="Times New Roman" w:eastAsia="宋体" w:cs="Times New Roman"/>
                <w:color w:val="auto"/>
                <w:szCs w:val="21"/>
                <w:u w:val="single" w:color="auto"/>
                <w:lang w:val="en-US" w:eastAsia="zh-CN"/>
              </w:rPr>
            </w:pPr>
          </w:p>
        </w:tc>
        <w:tc>
          <w:tcPr>
            <w:tcW w:w="1101" w:type="dxa"/>
            <w:vAlign w:val="center"/>
          </w:tcPr>
          <w:p w14:paraId="7C20C24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p>
        </w:tc>
        <w:tc>
          <w:tcPr>
            <w:tcW w:w="1877" w:type="dxa"/>
            <w:vMerge w:val="continue"/>
            <w:vAlign w:val="center"/>
          </w:tcPr>
          <w:p w14:paraId="669000B3">
            <w:pPr>
              <w:jc w:val="center"/>
              <w:rPr>
                <w:rFonts w:ascii="Times New Roman" w:hAnsi="Times New Roman" w:eastAsia="宋体" w:cs="Times New Roman"/>
                <w:color w:val="auto"/>
                <w:szCs w:val="21"/>
                <w:u w:val="none" w:color="auto"/>
              </w:rPr>
            </w:pPr>
          </w:p>
        </w:tc>
      </w:tr>
    </w:tbl>
    <w:p w14:paraId="1DE0072C">
      <w:pPr>
        <w:autoSpaceDE w:val="0"/>
        <w:autoSpaceDN w:val="0"/>
        <w:snapToGrid w:val="0"/>
        <w:spacing w:line="360" w:lineRule="auto"/>
        <w:ind w:firstLine="482" w:firstLineChars="200"/>
        <w:rPr>
          <w:rFonts w:ascii="Times New Roman" w:hAnsi="Times New Roman" w:eastAsia="宋体" w:cs="Times New Roman"/>
          <w:b/>
          <w:bCs/>
          <w:color w:val="auto"/>
          <w:kern w:val="0"/>
          <w:sz w:val="24"/>
          <w:szCs w:val="24"/>
          <w:u w:val="none" w:color="auto"/>
        </w:rPr>
      </w:pPr>
      <w:r>
        <w:rPr>
          <w:rFonts w:hint="eastAsia" w:ascii="Times New Roman" w:hAnsi="Times New Roman" w:eastAsia="宋体" w:cs="Times New Roman"/>
          <w:b/>
          <w:bCs/>
          <w:color w:val="auto"/>
          <w:kern w:val="0"/>
          <w:sz w:val="24"/>
          <w:szCs w:val="24"/>
          <w:u w:val="none" w:color="auto"/>
          <w:lang w:val="en-US" w:eastAsia="zh-CN"/>
        </w:rPr>
        <w:t>3</w:t>
      </w:r>
      <w:r>
        <w:rPr>
          <w:rFonts w:hint="eastAsia" w:ascii="Times New Roman" w:hAnsi="Times New Roman" w:eastAsia="宋体" w:cs="Times New Roman"/>
          <w:b/>
          <w:bCs/>
          <w:color w:val="auto"/>
          <w:kern w:val="0"/>
          <w:sz w:val="24"/>
          <w:szCs w:val="24"/>
          <w:u w:val="none" w:color="auto"/>
        </w:rPr>
        <w:t>、</w:t>
      </w:r>
      <w:r>
        <w:rPr>
          <w:rFonts w:hint="eastAsia" w:ascii="Times New Roman" w:hAnsi="Times New Roman" w:eastAsia="宋体" w:cs="Times New Roman"/>
          <w:b/>
          <w:bCs/>
          <w:color w:val="auto"/>
          <w:kern w:val="0"/>
          <w:sz w:val="24"/>
          <w:szCs w:val="24"/>
          <w:u w:val="none" w:color="auto"/>
          <w:lang w:val="en-US" w:eastAsia="zh-CN"/>
        </w:rPr>
        <w:t>涂料质量标准相符性</w:t>
      </w:r>
    </w:p>
    <w:p w14:paraId="5EAB2C6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油漆VOCs含量计算：</w:t>
      </w:r>
    </w:p>
    <w:p w14:paraId="2147C70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（1）底漆</w:t>
      </w:r>
    </w:p>
    <w:p w14:paraId="30EFCF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①底漆VOCs含量计算：根据环氧富锌底漆、环氧固化剂施工配比情况（10:1）的VOCs含量检测报告，VOCs含量为141g/L，根据稀释剂MSDS，稀释剂密度为0.8</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lang w:val="en-US" w:eastAsia="zh-CN"/>
        </w:rPr>
        <w:t>g/cm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，稀释剂挥发100%计算，稀释剂VOCs含量为8</w:t>
      </w:r>
      <w:r>
        <w:rPr>
          <w:rFonts w:hint="eastAsia" w:ascii="Times New Roman" w:hAnsi="Times New Roman" w:eastAsia="宋体" w:cs="Times New Roman"/>
          <w:color w:val="auto"/>
          <w:sz w:val="24"/>
          <w:szCs w:val="24"/>
          <w:u w:val="none" w:color="auto"/>
          <w:lang w:val="en-US" w:eastAsia="zh-CN"/>
        </w:rPr>
        <w:t>0</w:t>
      </w:r>
      <w:r>
        <w:rPr>
          <w:rFonts w:hint="default" w:ascii="Times New Roman" w:hAnsi="Times New Roman" w:eastAsia="宋体" w:cs="Times New Roman"/>
          <w:color w:val="auto"/>
          <w:sz w:val="24"/>
          <w:szCs w:val="24"/>
          <w:u w:val="none" w:color="auto"/>
          <w:lang w:val="en-US" w:eastAsia="zh-CN"/>
        </w:rPr>
        <w:t>0g/L，根据油漆施工配比油漆：固化剂：稀释剂=10：1：2（体积比），油漆和固化剂在施工配比后的VOCs含量为119.3g/L，稀释剂在施工配比后的VOCs含量为</w:t>
      </w:r>
      <w:r>
        <w:rPr>
          <w:rFonts w:hint="eastAsia" w:ascii="Times New Roman" w:hAnsi="Times New Roman" w:eastAsia="宋体" w:cs="Times New Roman"/>
          <w:color w:val="auto"/>
          <w:sz w:val="24"/>
          <w:szCs w:val="24"/>
          <w:u w:val="none" w:color="auto"/>
          <w:lang w:val="en-US" w:eastAsia="zh-CN"/>
        </w:rPr>
        <w:t>123.1</w:t>
      </w:r>
      <w:r>
        <w:rPr>
          <w:rFonts w:hint="default" w:ascii="Times New Roman" w:hAnsi="Times New Roman" w:eastAsia="宋体" w:cs="Times New Roman"/>
          <w:color w:val="auto"/>
          <w:sz w:val="24"/>
          <w:szCs w:val="24"/>
          <w:u w:val="none" w:color="auto"/>
          <w:lang w:val="en-US" w:eastAsia="zh-CN"/>
        </w:rPr>
        <w:t>g/L，则油漆：固化剂：稀释剂在施工配比下的VOCs含量为119.3g/L+</w:t>
      </w:r>
      <w:r>
        <w:rPr>
          <w:rFonts w:hint="eastAsia" w:ascii="Times New Roman" w:hAnsi="Times New Roman" w:eastAsia="宋体" w:cs="Times New Roman"/>
          <w:color w:val="auto"/>
          <w:sz w:val="24"/>
          <w:szCs w:val="24"/>
          <w:u w:val="none" w:color="auto"/>
          <w:lang w:val="en-US" w:eastAsia="zh-CN"/>
        </w:rPr>
        <w:t>123.1</w:t>
      </w:r>
      <w:r>
        <w:rPr>
          <w:rFonts w:hint="default" w:ascii="Times New Roman" w:hAnsi="Times New Roman" w:eastAsia="宋体" w:cs="Times New Roman"/>
          <w:color w:val="auto"/>
          <w:sz w:val="24"/>
          <w:szCs w:val="24"/>
          <w:u w:val="none" w:color="auto"/>
          <w:lang w:val="en-US" w:eastAsia="zh-CN"/>
        </w:rPr>
        <w:t>g/L=</w:t>
      </w:r>
      <w:r>
        <w:rPr>
          <w:rFonts w:hint="eastAsia" w:ascii="Times New Roman" w:hAnsi="Times New Roman" w:eastAsia="宋体" w:cs="Times New Roman"/>
          <w:color w:val="auto"/>
          <w:sz w:val="24"/>
          <w:szCs w:val="24"/>
          <w:u w:val="none" w:color="auto"/>
          <w:lang w:val="en-US" w:eastAsia="zh-CN"/>
        </w:rPr>
        <w:t>242.4</w:t>
      </w:r>
      <w:r>
        <w:rPr>
          <w:rFonts w:hint="default" w:ascii="Times New Roman" w:hAnsi="Times New Roman" w:eastAsia="宋体" w:cs="Times New Roman"/>
          <w:color w:val="auto"/>
          <w:sz w:val="24"/>
          <w:szCs w:val="24"/>
          <w:u w:val="none" w:color="auto"/>
          <w:lang w:val="en-US" w:eastAsia="zh-CN"/>
        </w:rPr>
        <w:t>g/L。</w:t>
      </w:r>
    </w:p>
    <w:p w14:paraId="7A2E76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②底漆VOCs含量标准限值：根据《低挥发性有机化合物含量涂料产品技术要求》（GB/T38597-2020）表2溶剂型涂料中VOCs含量的要求：本项目使用的底漆属于“工业防护涂料”类别的“机械设备涂料”中的“工程机械和农业机械涂料（含零部件涂料）”-底漆VOCs含量限值为≤420g/L。</w:t>
      </w:r>
    </w:p>
    <w:p w14:paraId="359E724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（2）中漆</w:t>
      </w:r>
    </w:p>
    <w:p w14:paraId="2DAC88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①中漆VOCs含量计算：根据附件环氧云铁中间漆、环氧固化剂施工配比情况（6:1）的VOCs含量检测报告，VOCs含量为176g/L，根据稀释剂MSDS，稀释剂密度为0.8</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lang w:val="en-US" w:eastAsia="zh-CN"/>
        </w:rPr>
        <w:t>g/cm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，稀释剂挥发100%计算，稀释剂VOCs含量为8</w:t>
      </w:r>
      <w:r>
        <w:rPr>
          <w:rFonts w:hint="eastAsia" w:ascii="Times New Roman" w:hAnsi="Times New Roman" w:eastAsia="宋体" w:cs="Times New Roman"/>
          <w:color w:val="auto"/>
          <w:sz w:val="24"/>
          <w:szCs w:val="24"/>
          <w:u w:val="none" w:color="auto"/>
          <w:lang w:val="en-US" w:eastAsia="zh-CN"/>
        </w:rPr>
        <w:t>0</w:t>
      </w:r>
      <w:r>
        <w:rPr>
          <w:rFonts w:hint="default" w:ascii="Times New Roman" w:hAnsi="Times New Roman" w:eastAsia="宋体" w:cs="Times New Roman"/>
          <w:color w:val="auto"/>
          <w:sz w:val="24"/>
          <w:szCs w:val="24"/>
          <w:u w:val="none" w:color="auto"/>
          <w:lang w:val="en-US" w:eastAsia="zh-CN"/>
        </w:rPr>
        <w:t>0g/L，根据油漆施工配比油漆：固化剂：稀释剂=6:1:1（体积比），油漆和固化剂在施工配比后的VOCs含量为154g/L，稀释剂在施工配比后的VOCs含量为</w:t>
      </w:r>
      <w:r>
        <w:rPr>
          <w:rFonts w:hint="eastAsia" w:ascii="Times New Roman" w:hAnsi="Times New Roman" w:eastAsia="宋体" w:cs="Times New Roman"/>
          <w:color w:val="auto"/>
          <w:sz w:val="24"/>
          <w:szCs w:val="24"/>
          <w:u w:val="none" w:color="auto"/>
          <w:lang w:val="en-US" w:eastAsia="zh-CN"/>
        </w:rPr>
        <w:t>100</w:t>
      </w:r>
      <w:r>
        <w:rPr>
          <w:rFonts w:hint="default" w:ascii="Times New Roman" w:hAnsi="Times New Roman" w:eastAsia="宋体" w:cs="Times New Roman"/>
          <w:color w:val="auto"/>
          <w:sz w:val="24"/>
          <w:szCs w:val="24"/>
          <w:u w:val="none" w:color="auto"/>
          <w:lang w:val="en-US" w:eastAsia="zh-CN"/>
        </w:rPr>
        <w:t>g/L，则油漆：固化剂：稀释剂在施工配比下的VOCs含量为154g/L+</w:t>
      </w:r>
      <w:r>
        <w:rPr>
          <w:rFonts w:hint="eastAsia" w:ascii="Times New Roman" w:hAnsi="Times New Roman" w:eastAsia="宋体" w:cs="Times New Roman"/>
          <w:color w:val="auto"/>
          <w:sz w:val="24"/>
          <w:szCs w:val="24"/>
          <w:u w:val="none" w:color="auto"/>
          <w:lang w:val="en-US" w:eastAsia="zh-CN"/>
        </w:rPr>
        <w:t>100</w:t>
      </w:r>
      <w:r>
        <w:rPr>
          <w:rFonts w:hint="default" w:ascii="Times New Roman" w:hAnsi="Times New Roman" w:eastAsia="宋体" w:cs="Times New Roman"/>
          <w:color w:val="auto"/>
          <w:sz w:val="24"/>
          <w:szCs w:val="24"/>
          <w:u w:val="none" w:color="auto"/>
          <w:lang w:val="en-US" w:eastAsia="zh-CN"/>
        </w:rPr>
        <w:t>g/L=</w:t>
      </w:r>
      <w:r>
        <w:rPr>
          <w:rFonts w:hint="eastAsia" w:ascii="Times New Roman" w:hAnsi="Times New Roman" w:eastAsia="宋体" w:cs="Times New Roman"/>
          <w:color w:val="auto"/>
          <w:sz w:val="24"/>
          <w:szCs w:val="24"/>
          <w:u w:val="none" w:color="auto"/>
          <w:lang w:val="en-US" w:eastAsia="zh-CN"/>
        </w:rPr>
        <w:t>254</w:t>
      </w:r>
      <w:r>
        <w:rPr>
          <w:rFonts w:hint="default" w:ascii="Times New Roman" w:hAnsi="Times New Roman" w:eastAsia="宋体" w:cs="Times New Roman"/>
          <w:color w:val="auto"/>
          <w:sz w:val="24"/>
          <w:szCs w:val="24"/>
          <w:u w:val="none" w:color="auto"/>
          <w:lang w:val="en-US" w:eastAsia="zh-CN"/>
        </w:rPr>
        <w:t>g/L。</w:t>
      </w:r>
    </w:p>
    <w:p w14:paraId="621873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②中漆VOCs含量标准限值：根据《低挥发性有机化合物含量涂料产品技术要求》（GB/T38597-2020）表2溶剂型涂料中VOCs含量的要求：本项目使用的底漆属于“工业防护涂料”类别的“机械设备涂料”中的“工程机械和农业机械涂料（含零部件涂料）”-中涂VOCs含量限值为≤420g/L。</w:t>
      </w:r>
    </w:p>
    <w:p w14:paraId="7794E98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（3）面漆</w:t>
      </w:r>
    </w:p>
    <w:p w14:paraId="56BD8A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①面漆VOCs含量计算：根据附件丙烯酸聚氨酯面漆、聚氨酯固化剂施工配比情况（6:1）的VOCs含量检测报告，VOCs含量为170g/L，根据稀释剂MSDS，稀释剂密度为0.8g/cm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，稀释剂挥发100%计算，稀释剂VOCs含量为8</w:t>
      </w:r>
      <w:r>
        <w:rPr>
          <w:rFonts w:hint="eastAsia" w:ascii="Times New Roman" w:hAnsi="Times New Roman" w:eastAsia="宋体" w:cs="Times New Roman"/>
          <w:color w:val="auto"/>
          <w:sz w:val="24"/>
          <w:szCs w:val="24"/>
          <w:u w:val="none" w:color="auto"/>
          <w:lang w:val="en-US" w:eastAsia="zh-CN"/>
        </w:rPr>
        <w:t>0</w:t>
      </w:r>
      <w:r>
        <w:rPr>
          <w:rFonts w:hint="default" w:ascii="Times New Roman" w:hAnsi="Times New Roman" w:eastAsia="宋体" w:cs="Times New Roman"/>
          <w:color w:val="auto"/>
          <w:sz w:val="24"/>
          <w:szCs w:val="24"/>
          <w:u w:val="none" w:color="auto"/>
          <w:lang w:val="en-US" w:eastAsia="zh-CN"/>
        </w:rPr>
        <w:t>0g/L，根据油漆施工配比油漆：固化剂：稀释剂=</w:t>
      </w:r>
      <w:r>
        <w:rPr>
          <w:rFonts w:hint="eastAsia" w:ascii="Times New Roman" w:hAnsi="Times New Roman" w:eastAsia="宋体" w:cs="Times New Roman"/>
          <w:color w:val="auto"/>
          <w:sz w:val="24"/>
          <w:szCs w:val="24"/>
          <w:u w:val="none" w:color="auto"/>
          <w:lang w:val="en-US" w:eastAsia="zh-CN"/>
        </w:rPr>
        <w:t>10</w:t>
      </w:r>
      <w:r>
        <w:rPr>
          <w:rFonts w:hint="default" w:ascii="Times New Roman" w:hAnsi="Times New Roman" w:eastAsia="宋体" w:cs="Times New Roman"/>
          <w:color w:val="auto"/>
          <w:sz w:val="24"/>
          <w:szCs w:val="24"/>
          <w:u w:val="none" w:color="auto"/>
          <w:lang w:val="en-US" w:eastAsia="zh-CN"/>
        </w:rPr>
        <w:t>:1:1（体积比），油漆和固化剂在施工配比后的VOCs含量为</w:t>
      </w:r>
      <w:r>
        <w:rPr>
          <w:rFonts w:hint="eastAsia" w:ascii="Times New Roman" w:hAnsi="Times New Roman" w:eastAsia="宋体" w:cs="Times New Roman"/>
          <w:color w:val="auto"/>
          <w:sz w:val="24"/>
          <w:szCs w:val="24"/>
          <w:u w:val="none" w:color="auto"/>
          <w:lang w:val="en-US" w:eastAsia="zh-CN"/>
        </w:rPr>
        <w:t>227</w:t>
      </w:r>
      <w:r>
        <w:rPr>
          <w:rFonts w:hint="default" w:ascii="Times New Roman" w:hAnsi="Times New Roman" w:eastAsia="宋体" w:cs="Times New Roman"/>
          <w:color w:val="auto"/>
          <w:sz w:val="24"/>
          <w:szCs w:val="24"/>
          <w:u w:val="none" w:color="auto"/>
          <w:lang w:val="en-US" w:eastAsia="zh-CN"/>
        </w:rPr>
        <w:t>g/L，稀释剂在施工配比后的VOCs含量为</w:t>
      </w:r>
      <w:r>
        <w:rPr>
          <w:rFonts w:hint="eastAsia" w:ascii="Times New Roman" w:hAnsi="Times New Roman" w:eastAsia="宋体" w:cs="Times New Roman"/>
          <w:color w:val="auto"/>
          <w:sz w:val="24"/>
          <w:szCs w:val="24"/>
          <w:u w:val="none" w:color="auto"/>
          <w:lang w:val="en-US" w:eastAsia="zh-CN"/>
        </w:rPr>
        <w:t>66.7</w:t>
      </w:r>
      <w:r>
        <w:rPr>
          <w:rFonts w:hint="default" w:ascii="Times New Roman" w:hAnsi="Times New Roman" w:eastAsia="宋体" w:cs="Times New Roman"/>
          <w:color w:val="auto"/>
          <w:sz w:val="24"/>
          <w:szCs w:val="24"/>
          <w:u w:val="none" w:color="auto"/>
          <w:lang w:val="en-US" w:eastAsia="zh-CN"/>
        </w:rPr>
        <w:t>g/L，则油漆：固化剂：稀释剂在施工配比下的VOCs含量为</w:t>
      </w:r>
      <w:r>
        <w:rPr>
          <w:rFonts w:hint="eastAsia" w:ascii="Times New Roman" w:hAnsi="Times New Roman" w:eastAsia="宋体" w:cs="Times New Roman"/>
          <w:color w:val="auto"/>
          <w:sz w:val="24"/>
          <w:szCs w:val="24"/>
          <w:u w:val="none" w:color="auto"/>
          <w:lang w:val="en-US" w:eastAsia="zh-CN"/>
        </w:rPr>
        <w:t>227</w:t>
      </w:r>
      <w:r>
        <w:rPr>
          <w:rFonts w:hint="default" w:ascii="Times New Roman" w:hAnsi="Times New Roman" w:eastAsia="宋体" w:cs="Times New Roman"/>
          <w:color w:val="auto"/>
          <w:sz w:val="24"/>
          <w:szCs w:val="24"/>
          <w:u w:val="none" w:color="auto"/>
          <w:lang w:val="en-US" w:eastAsia="zh-CN"/>
        </w:rPr>
        <w:t>g/L+</w:t>
      </w:r>
      <w:r>
        <w:rPr>
          <w:rFonts w:hint="eastAsia" w:ascii="Times New Roman" w:hAnsi="Times New Roman" w:eastAsia="宋体" w:cs="Times New Roman"/>
          <w:color w:val="auto"/>
          <w:sz w:val="24"/>
          <w:szCs w:val="24"/>
          <w:u w:val="none" w:color="auto"/>
          <w:lang w:val="en-US" w:eastAsia="zh-CN"/>
        </w:rPr>
        <w:t>66.7</w:t>
      </w:r>
      <w:r>
        <w:rPr>
          <w:rFonts w:hint="default" w:ascii="Times New Roman" w:hAnsi="Times New Roman" w:eastAsia="宋体" w:cs="Times New Roman"/>
          <w:color w:val="auto"/>
          <w:sz w:val="24"/>
          <w:szCs w:val="24"/>
          <w:u w:val="none" w:color="auto"/>
          <w:lang w:val="en-US" w:eastAsia="zh-CN"/>
        </w:rPr>
        <w:t>g/L=</w:t>
      </w:r>
      <w:r>
        <w:rPr>
          <w:rFonts w:hint="eastAsia" w:ascii="Times New Roman" w:hAnsi="Times New Roman" w:eastAsia="宋体" w:cs="Times New Roman"/>
          <w:color w:val="auto"/>
          <w:sz w:val="24"/>
          <w:szCs w:val="24"/>
          <w:u w:val="none" w:color="auto"/>
          <w:lang w:val="en-US" w:eastAsia="zh-CN"/>
        </w:rPr>
        <w:t>293.7</w:t>
      </w:r>
      <w:r>
        <w:rPr>
          <w:rFonts w:hint="default" w:ascii="Times New Roman" w:hAnsi="Times New Roman" w:eastAsia="宋体" w:cs="Times New Roman"/>
          <w:color w:val="auto"/>
          <w:sz w:val="24"/>
          <w:szCs w:val="24"/>
          <w:u w:val="none" w:color="auto"/>
          <w:lang w:val="en-US" w:eastAsia="zh-CN"/>
        </w:rPr>
        <w:t>g/L。</w:t>
      </w:r>
    </w:p>
    <w:p w14:paraId="7B7105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②面漆VOCs含量标准限值：根据《低挥发性有机化合物含量涂料产品技术要求》（GB/T38597-2020）表2溶剂型涂料中VOCs含量的要求：本项目使用的面漆属于“工业防护涂料”类别的“机械设备涂料”中的“工程机械和农业机械涂料（含零部件涂料）”-面漆（双组份）VOCs含量限值为≤420g/L”。</w:t>
      </w:r>
    </w:p>
    <w:p w14:paraId="13E0E59B">
      <w:pPr>
        <w:autoSpaceDE w:val="0"/>
        <w:autoSpaceDN w:val="0"/>
        <w:snapToGrid w:val="0"/>
        <w:spacing w:line="360" w:lineRule="auto"/>
        <w:ind w:firstLine="482" w:firstLineChars="200"/>
        <w:rPr>
          <w:rFonts w:ascii="Times New Roman" w:hAnsi="Times New Roman" w:eastAsia="宋体" w:cs="Times New Roman"/>
          <w:b/>
          <w:bCs/>
          <w:color w:val="auto"/>
          <w:kern w:val="0"/>
          <w:sz w:val="24"/>
          <w:szCs w:val="24"/>
          <w:u w:val="none" w:color="auto"/>
        </w:rPr>
      </w:pPr>
      <w:r>
        <w:rPr>
          <w:rFonts w:hint="eastAsia" w:ascii="Times New Roman" w:hAnsi="Times New Roman" w:eastAsia="宋体" w:cs="Times New Roman"/>
          <w:b/>
          <w:bCs/>
          <w:color w:val="auto"/>
          <w:kern w:val="0"/>
          <w:sz w:val="24"/>
          <w:szCs w:val="24"/>
          <w:u w:val="none" w:color="auto"/>
          <w:lang w:val="en-US" w:eastAsia="zh-CN"/>
        </w:rPr>
        <w:t>4</w:t>
      </w:r>
      <w:r>
        <w:rPr>
          <w:rFonts w:hint="eastAsia" w:ascii="Times New Roman" w:hAnsi="Times New Roman" w:eastAsia="宋体" w:cs="Times New Roman"/>
          <w:b/>
          <w:bCs/>
          <w:color w:val="auto"/>
          <w:kern w:val="0"/>
          <w:sz w:val="24"/>
          <w:szCs w:val="24"/>
          <w:u w:val="none" w:color="auto"/>
        </w:rPr>
        <w:t>、</w:t>
      </w:r>
      <w:r>
        <w:rPr>
          <w:rFonts w:hint="eastAsia" w:ascii="Times New Roman" w:hAnsi="Times New Roman" w:eastAsia="宋体" w:cs="Times New Roman"/>
          <w:b/>
          <w:bCs/>
          <w:color w:val="auto"/>
          <w:kern w:val="0"/>
          <w:sz w:val="24"/>
          <w:szCs w:val="24"/>
          <w:u w:val="none" w:color="auto"/>
          <w:lang w:val="en-US" w:eastAsia="zh-CN"/>
        </w:rPr>
        <w:t>主要原辅材料理化性质</w:t>
      </w:r>
    </w:p>
    <w:p w14:paraId="73FB3266">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本项目使用的</w:t>
      </w:r>
      <w:r>
        <w:rPr>
          <w:rFonts w:hint="eastAsia" w:ascii="Times New Roman" w:hAnsi="Times New Roman" w:eastAsia="宋体" w:cs="Times New Roman"/>
          <w:color w:val="auto"/>
          <w:sz w:val="24"/>
          <w:szCs w:val="24"/>
          <w:u w:val="none" w:color="auto"/>
          <w:lang w:val="en-US" w:eastAsia="zh-CN"/>
        </w:rPr>
        <w:t>焊条</w:t>
      </w:r>
      <w:r>
        <w:rPr>
          <w:rFonts w:hint="eastAsia" w:ascii="Times New Roman" w:hAnsi="Times New Roman" w:eastAsia="宋体" w:cs="Times New Roman"/>
          <w:color w:val="auto"/>
          <w:sz w:val="24"/>
          <w:szCs w:val="24"/>
          <w:u w:val="none" w:color="auto"/>
        </w:rPr>
        <w:t>主要成分见表2.1-</w:t>
      </w:r>
      <w:r>
        <w:rPr>
          <w:rFonts w:hint="eastAsia" w:ascii="Times New Roman" w:hAnsi="Times New Roman" w:eastAsia="宋体" w:cs="Times New Roman"/>
          <w:color w:val="auto"/>
          <w:sz w:val="24"/>
          <w:szCs w:val="24"/>
          <w:u w:val="none" w:color="auto"/>
          <w:lang w:val="en-US" w:eastAsia="zh-CN"/>
        </w:rPr>
        <w:t>7，</w:t>
      </w:r>
      <w:r>
        <w:rPr>
          <w:rFonts w:hint="eastAsia" w:ascii="Times New Roman" w:hAnsi="Times New Roman" w:eastAsia="宋体" w:cs="Times New Roman"/>
          <w:color w:val="auto"/>
          <w:sz w:val="24"/>
          <w:szCs w:val="24"/>
          <w:u w:val="none" w:color="auto"/>
        </w:rPr>
        <w:t>油漆主要成分见表2.1-</w:t>
      </w:r>
      <w:r>
        <w:rPr>
          <w:rFonts w:hint="eastAsia" w:ascii="Times New Roman" w:hAnsi="Times New Roman" w:eastAsia="宋体" w:cs="Times New Roman"/>
          <w:color w:val="auto"/>
          <w:sz w:val="24"/>
          <w:szCs w:val="24"/>
          <w:u w:val="none" w:color="auto"/>
          <w:lang w:val="en-US" w:eastAsia="zh-CN"/>
        </w:rPr>
        <w:t>8</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主要原辅材料理化性质见表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9</w:t>
      </w:r>
      <w:r>
        <w:rPr>
          <w:rFonts w:hint="eastAsia" w:ascii="Times New Roman" w:hAnsi="Times New Roman" w:eastAsia="宋体" w:cs="Times New Roman"/>
          <w:color w:val="auto"/>
          <w:sz w:val="24"/>
          <w:szCs w:val="24"/>
          <w:u w:val="none" w:color="auto"/>
        </w:rPr>
        <w:t>。</w:t>
      </w:r>
    </w:p>
    <w:p w14:paraId="3FB5E60A">
      <w:pPr>
        <w:snapToGrid w:val="0"/>
        <w:spacing w:before="156" w:beforeLines="50"/>
        <w:jc w:val="center"/>
        <w:rPr>
          <w:rFonts w:ascii="Times New Roman" w:hAnsi="Times New Roman" w:eastAsia="宋体" w:cs="Times New Roman"/>
          <w:b/>
          <w:bCs/>
          <w:color w:val="auto"/>
          <w:sz w:val="24"/>
          <w:szCs w:val="24"/>
          <w:u w:val="single"/>
        </w:rPr>
      </w:pPr>
      <w:r>
        <w:rPr>
          <w:rFonts w:ascii="Times New Roman" w:hAnsi="Times New Roman" w:eastAsia="宋体" w:cs="Times New Roman"/>
          <w:b/>
          <w:bCs/>
          <w:color w:val="auto"/>
          <w:sz w:val="24"/>
          <w:szCs w:val="24"/>
          <w:u w:val="single"/>
        </w:rPr>
        <w:t>表</w:t>
      </w:r>
      <w:r>
        <w:rPr>
          <w:rFonts w:hint="eastAsia" w:ascii="Times New Roman" w:hAnsi="Times New Roman" w:eastAsia="宋体" w:cs="Times New Roman"/>
          <w:b/>
          <w:bCs/>
          <w:color w:val="auto"/>
          <w:sz w:val="24"/>
          <w:szCs w:val="24"/>
          <w:u w:val="single"/>
        </w:rPr>
        <w:t>2</w:t>
      </w:r>
      <w:r>
        <w:rPr>
          <w:rFonts w:ascii="Times New Roman" w:hAnsi="Times New Roman" w:eastAsia="宋体" w:cs="Times New Roman"/>
          <w:b/>
          <w:bCs/>
          <w:color w:val="auto"/>
          <w:sz w:val="24"/>
          <w:szCs w:val="24"/>
          <w:u w:val="single"/>
        </w:rPr>
        <w:t>.</w:t>
      </w:r>
      <w:r>
        <w:rPr>
          <w:rFonts w:hint="eastAsia" w:ascii="Times New Roman" w:hAnsi="Times New Roman" w:eastAsia="宋体" w:cs="Times New Roman"/>
          <w:b/>
          <w:bCs/>
          <w:color w:val="auto"/>
          <w:sz w:val="24"/>
          <w:szCs w:val="24"/>
          <w:u w:val="single"/>
        </w:rPr>
        <w:t>1</w:t>
      </w:r>
      <w:r>
        <w:rPr>
          <w:rFonts w:ascii="Times New Roman" w:hAnsi="Times New Roman" w:eastAsia="宋体" w:cs="Times New Roman"/>
          <w:b/>
          <w:bCs/>
          <w:color w:val="auto"/>
          <w:sz w:val="24"/>
          <w:szCs w:val="24"/>
          <w:u w:val="single"/>
        </w:rPr>
        <w:t>-</w:t>
      </w:r>
      <w:r>
        <w:rPr>
          <w:rFonts w:hint="eastAsia" w:ascii="Times New Roman" w:hAnsi="Times New Roman" w:eastAsia="宋体" w:cs="Times New Roman"/>
          <w:b/>
          <w:bCs/>
          <w:color w:val="auto"/>
          <w:sz w:val="24"/>
          <w:szCs w:val="24"/>
          <w:u w:val="single"/>
          <w:lang w:val="en-US" w:eastAsia="zh-CN"/>
        </w:rPr>
        <w:t>7</w:t>
      </w:r>
      <w:r>
        <w:rPr>
          <w:rFonts w:ascii="Times New Roman" w:hAnsi="Times New Roman" w:eastAsia="宋体" w:cs="Times New Roman"/>
          <w:b/>
          <w:bCs/>
          <w:color w:val="auto"/>
          <w:sz w:val="24"/>
          <w:szCs w:val="24"/>
          <w:u w:val="single"/>
        </w:rPr>
        <w:t>焊条成分表</w:t>
      </w:r>
    </w:p>
    <w:tbl>
      <w:tblPr>
        <w:tblStyle w:val="37"/>
        <w:tblW w:w="8814"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179"/>
        <w:gridCol w:w="1530"/>
        <w:gridCol w:w="735"/>
        <w:gridCol w:w="840"/>
        <w:gridCol w:w="651"/>
        <w:gridCol w:w="864"/>
        <w:gridCol w:w="765"/>
        <w:gridCol w:w="795"/>
        <w:gridCol w:w="720"/>
        <w:gridCol w:w="735"/>
      </w:tblGrid>
      <w:tr w14:paraId="323E7EE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1179" w:type="dxa"/>
            <w:vMerge w:val="restart"/>
            <w:vAlign w:val="center"/>
          </w:tcPr>
          <w:p w14:paraId="6588424E">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牌号</w:t>
            </w:r>
          </w:p>
        </w:tc>
        <w:tc>
          <w:tcPr>
            <w:tcW w:w="1530" w:type="dxa"/>
            <w:vMerge w:val="restart"/>
            <w:vAlign w:val="center"/>
          </w:tcPr>
          <w:p w14:paraId="165E754F">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型号</w:t>
            </w:r>
          </w:p>
        </w:tc>
        <w:tc>
          <w:tcPr>
            <w:tcW w:w="6105" w:type="dxa"/>
            <w:gridSpan w:val="8"/>
            <w:vAlign w:val="center"/>
          </w:tcPr>
          <w:p w14:paraId="4AE2EC99">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成分(质量分数%)</w:t>
            </w:r>
          </w:p>
        </w:tc>
      </w:tr>
      <w:tr w14:paraId="0ED0CE9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1179" w:type="dxa"/>
            <w:vMerge w:val="continue"/>
            <w:vAlign w:val="center"/>
          </w:tcPr>
          <w:p w14:paraId="56E4F113">
            <w:pPr>
              <w:snapToGrid w:val="0"/>
              <w:jc w:val="center"/>
              <w:rPr>
                <w:rFonts w:ascii="Times New Roman" w:hAnsi="Times New Roman" w:eastAsia="宋体" w:cs="Times New Roman"/>
                <w:color w:val="auto"/>
                <w:szCs w:val="21"/>
                <w:u w:val="single"/>
              </w:rPr>
            </w:pPr>
          </w:p>
        </w:tc>
        <w:tc>
          <w:tcPr>
            <w:tcW w:w="1530" w:type="dxa"/>
            <w:vMerge w:val="continue"/>
            <w:vAlign w:val="center"/>
          </w:tcPr>
          <w:p w14:paraId="3633BA2A">
            <w:pPr>
              <w:snapToGrid w:val="0"/>
              <w:jc w:val="center"/>
              <w:rPr>
                <w:rFonts w:ascii="Times New Roman" w:hAnsi="Times New Roman" w:eastAsia="宋体" w:cs="Times New Roman"/>
                <w:color w:val="auto"/>
                <w:szCs w:val="21"/>
                <w:u w:val="single"/>
              </w:rPr>
            </w:pPr>
          </w:p>
        </w:tc>
        <w:tc>
          <w:tcPr>
            <w:tcW w:w="735" w:type="dxa"/>
            <w:vAlign w:val="center"/>
          </w:tcPr>
          <w:p w14:paraId="1A47A017">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C</w:t>
            </w:r>
          </w:p>
        </w:tc>
        <w:tc>
          <w:tcPr>
            <w:tcW w:w="840" w:type="dxa"/>
            <w:vAlign w:val="center"/>
          </w:tcPr>
          <w:p w14:paraId="7A768579">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S</w:t>
            </w:r>
          </w:p>
        </w:tc>
        <w:tc>
          <w:tcPr>
            <w:tcW w:w="651" w:type="dxa"/>
            <w:vAlign w:val="center"/>
          </w:tcPr>
          <w:p w14:paraId="3244D085">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Mn</w:t>
            </w:r>
          </w:p>
        </w:tc>
        <w:tc>
          <w:tcPr>
            <w:tcW w:w="864" w:type="dxa"/>
            <w:vAlign w:val="center"/>
          </w:tcPr>
          <w:p w14:paraId="5F849D85">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P</w:t>
            </w:r>
          </w:p>
        </w:tc>
        <w:tc>
          <w:tcPr>
            <w:tcW w:w="765" w:type="dxa"/>
            <w:vAlign w:val="center"/>
          </w:tcPr>
          <w:p w14:paraId="149DEA2B">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Si</w:t>
            </w:r>
          </w:p>
        </w:tc>
        <w:tc>
          <w:tcPr>
            <w:tcW w:w="795" w:type="dxa"/>
            <w:vAlign w:val="center"/>
          </w:tcPr>
          <w:p w14:paraId="5D08EB2C">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Cr</w:t>
            </w:r>
          </w:p>
        </w:tc>
        <w:tc>
          <w:tcPr>
            <w:tcW w:w="720" w:type="dxa"/>
            <w:vAlign w:val="center"/>
          </w:tcPr>
          <w:p w14:paraId="103A45DE">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Ni</w:t>
            </w:r>
          </w:p>
        </w:tc>
        <w:tc>
          <w:tcPr>
            <w:tcW w:w="735" w:type="dxa"/>
            <w:vAlign w:val="center"/>
          </w:tcPr>
          <w:p w14:paraId="6FCB84C3">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Cu</w:t>
            </w:r>
          </w:p>
        </w:tc>
      </w:tr>
      <w:tr w14:paraId="6F72C55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1179" w:type="dxa"/>
            <w:vAlign w:val="center"/>
          </w:tcPr>
          <w:p w14:paraId="37569837">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THY-51A</w:t>
            </w:r>
          </w:p>
        </w:tc>
        <w:tc>
          <w:tcPr>
            <w:tcW w:w="1530" w:type="dxa"/>
            <w:vAlign w:val="center"/>
          </w:tcPr>
          <w:p w14:paraId="5332E8E5">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T494T1-1CTA</w:t>
            </w:r>
          </w:p>
        </w:tc>
        <w:tc>
          <w:tcPr>
            <w:tcW w:w="735" w:type="dxa"/>
            <w:vAlign w:val="center"/>
          </w:tcPr>
          <w:p w14:paraId="7550E424">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0.029</w:t>
            </w:r>
          </w:p>
        </w:tc>
        <w:tc>
          <w:tcPr>
            <w:tcW w:w="840" w:type="dxa"/>
            <w:vAlign w:val="center"/>
          </w:tcPr>
          <w:p w14:paraId="4CBAC81A">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0.010</w:t>
            </w:r>
          </w:p>
        </w:tc>
        <w:tc>
          <w:tcPr>
            <w:tcW w:w="651" w:type="dxa"/>
            <w:vAlign w:val="center"/>
          </w:tcPr>
          <w:p w14:paraId="142D9041">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1.30</w:t>
            </w:r>
          </w:p>
        </w:tc>
        <w:tc>
          <w:tcPr>
            <w:tcW w:w="864" w:type="dxa"/>
            <w:vAlign w:val="center"/>
          </w:tcPr>
          <w:p w14:paraId="621D482C">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0.010</w:t>
            </w:r>
          </w:p>
        </w:tc>
        <w:tc>
          <w:tcPr>
            <w:tcW w:w="765" w:type="dxa"/>
            <w:vAlign w:val="center"/>
          </w:tcPr>
          <w:p w14:paraId="33E55254">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0.27</w:t>
            </w:r>
          </w:p>
        </w:tc>
        <w:tc>
          <w:tcPr>
            <w:tcW w:w="795" w:type="dxa"/>
            <w:vAlign w:val="center"/>
          </w:tcPr>
          <w:p w14:paraId="7A8FAC6E">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0.024</w:t>
            </w:r>
          </w:p>
        </w:tc>
        <w:tc>
          <w:tcPr>
            <w:tcW w:w="720" w:type="dxa"/>
            <w:vAlign w:val="center"/>
          </w:tcPr>
          <w:p w14:paraId="257B313E">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0.44</w:t>
            </w:r>
          </w:p>
        </w:tc>
        <w:tc>
          <w:tcPr>
            <w:tcW w:w="735" w:type="dxa"/>
            <w:vAlign w:val="center"/>
          </w:tcPr>
          <w:p w14:paraId="1E9DD460">
            <w:pPr>
              <w:snapToGrid w:val="0"/>
              <w:jc w:val="center"/>
              <w:rPr>
                <w:rFonts w:ascii="Times New Roman" w:hAnsi="Times New Roman" w:eastAsia="宋体" w:cs="Times New Roman"/>
                <w:color w:val="auto"/>
                <w:szCs w:val="21"/>
                <w:u w:val="single"/>
              </w:rPr>
            </w:pPr>
          </w:p>
        </w:tc>
      </w:tr>
      <w:tr w14:paraId="70C4A95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1179" w:type="dxa"/>
            <w:vAlign w:val="center"/>
          </w:tcPr>
          <w:p w14:paraId="24DC88AA">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THM-43B</w:t>
            </w:r>
          </w:p>
        </w:tc>
        <w:tc>
          <w:tcPr>
            <w:tcW w:w="1530" w:type="dxa"/>
            <w:vAlign w:val="center"/>
          </w:tcPr>
          <w:p w14:paraId="130B1BAD">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SU34</w:t>
            </w:r>
          </w:p>
        </w:tc>
        <w:tc>
          <w:tcPr>
            <w:tcW w:w="735" w:type="dxa"/>
            <w:vAlign w:val="center"/>
          </w:tcPr>
          <w:p w14:paraId="5B5F62D9">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0.083</w:t>
            </w:r>
          </w:p>
        </w:tc>
        <w:tc>
          <w:tcPr>
            <w:tcW w:w="840" w:type="dxa"/>
            <w:vAlign w:val="center"/>
          </w:tcPr>
          <w:p w14:paraId="7722EECC">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0.0030</w:t>
            </w:r>
          </w:p>
        </w:tc>
        <w:tc>
          <w:tcPr>
            <w:tcW w:w="651" w:type="dxa"/>
            <w:vAlign w:val="center"/>
          </w:tcPr>
          <w:p w14:paraId="09E3D799">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1.73</w:t>
            </w:r>
          </w:p>
        </w:tc>
        <w:tc>
          <w:tcPr>
            <w:tcW w:w="864" w:type="dxa"/>
            <w:vAlign w:val="center"/>
          </w:tcPr>
          <w:p w14:paraId="60D5A04F">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0.0066</w:t>
            </w:r>
          </w:p>
        </w:tc>
        <w:tc>
          <w:tcPr>
            <w:tcW w:w="765" w:type="dxa"/>
            <w:vAlign w:val="center"/>
          </w:tcPr>
          <w:p w14:paraId="430E812B">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0.051</w:t>
            </w:r>
          </w:p>
        </w:tc>
        <w:tc>
          <w:tcPr>
            <w:tcW w:w="795" w:type="dxa"/>
            <w:vAlign w:val="center"/>
          </w:tcPr>
          <w:p w14:paraId="29D5A974">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0.023</w:t>
            </w:r>
          </w:p>
        </w:tc>
        <w:tc>
          <w:tcPr>
            <w:tcW w:w="720" w:type="dxa"/>
            <w:vAlign w:val="center"/>
          </w:tcPr>
          <w:p w14:paraId="74122246">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0.021</w:t>
            </w:r>
          </w:p>
        </w:tc>
        <w:tc>
          <w:tcPr>
            <w:tcW w:w="735" w:type="dxa"/>
            <w:vAlign w:val="center"/>
          </w:tcPr>
          <w:p w14:paraId="7D7DF58B">
            <w:pPr>
              <w:snapToGrid w:val="0"/>
              <w:jc w:val="center"/>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0.053</w:t>
            </w:r>
          </w:p>
        </w:tc>
      </w:tr>
    </w:tbl>
    <w:p w14:paraId="580AFEF0">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8</w:t>
      </w:r>
      <w:r>
        <w:rPr>
          <w:rFonts w:hint="eastAsia" w:ascii="Times New Roman" w:hAnsi="Times New Roman" w:eastAsia="宋体" w:cs="Times New Roman"/>
          <w:b/>
          <w:bCs/>
          <w:color w:val="auto"/>
          <w:sz w:val="24"/>
          <w:szCs w:val="24"/>
          <w:u w:val="none" w:color="auto"/>
        </w:rPr>
        <w:t>原辅材料的主要成分表</w:t>
      </w:r>
    </w:p>
    <w:tbl>
      <w:tblPr>
        <w:tblStyle w:val="37"/>
        <w:tblW w:w="8519"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674"/>
        <w:gridCol w:w="1425"/>
        <w:gridCol w:w="911"/>
        <w:gridCol w:w="5509"/>
      </w:tblGrid>
      <w:tr w14:paraId="5FBD0EA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5008BF79">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序号</w:t>
            </w:r>
          </w:p>
        </w:tc>
        <w:tc>
          <w:tcPr>
            <w:tcW w:w="2336" w:type="dxa"/>
            <w:gridSpan w:val="2"/>
            <w:vAlign w:val="center"/>
          </w:tcPr>
          <w:p w14:paraId="33BE57D9">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名称</w:t>
            </w:r>
          </w:p>
        </w:tc>
        <w:tc>
          <w:tcPr>
            <w:tcW w:w="5509" w:type="dxa"/>
            <w:vAlign w:val="center"/>
          </w:tcPr>
          <w:p w14:paraId="2B0D0190">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主要成分</w:t>
            </w:r>
          </w:p>
        </w:tc>
      </w:tr>
      <w:tr w14:paraId="7CD12A3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6DFF119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w:t>
            </w:r>
          </w:p>
        </w:tc>
        <w:tc>
          <w:tcPr>
            <w:tcW w:w="1425" w:type="dxa"/>
            <w:vAlign w:val="center"/>
          </w:tcPr>
          <w:p w14:paraId="495D8EF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环氧富锌底漆</w:t>
            </w:r>
          </w:p>
        </w:tc>
        <w:tc>
          <w:tcPr>
            <w:tcW w:w="911" w:type="dxa"/>
            <w:vAlign w:val="center"/>
          </w:tcPr>
          <w:p w14:paraId="7289146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油漆</w:t>
            </w:r>
          </w:p>
        </w:tc>
        <w:tc>
          <w:tcPr>
            <w:tcW w:w="5509" w:type="dxa"/>
            <w:vAlign w:val="center"/>
          </w:tcPr>
          <w:p w14:paraId="08DEF105">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lang w:val="en-US" w:eastAsia="zh-CN"/>
              </w:rPr>
              <w:t>环氧树脂3</w:t>
            </w:r>
            <w:r>
              <w:rPr>
                <w:rFonts w:ascii="Times New Roman" w:hAnsi="Times New Roman" w:eastAsia="TimesNewRomanPSMT" w:cs="Times New Roman"/>
                <w:color w:val="auto"/>
                <w:szCs w:val="21"/>
                <w:u w:val="none" w:color="auto"/>
              </w:rPr>
              <w:t>0%</w:t>
            </w:r>
            <w:r>
              <w:rPr>
                <w:rFonts w:ascii="Times New Roman" w:hAnsi="Times New Roman" w:eastAsia="宋体" w:cs="Times New Roman"/>
                <w:color w:val="auto"/>
                <w:szCs w:val="21"/>
                <w:u w:val="none" w:color="auto"/>
              </w:rPr>
              <w:t>、二甲苯</w:t>
            </w:r>
            <w:r>
              <w:rPr>
                <w:rFonts w:hint="eastAsia" w:ascii="Times New Roman" w:hAnsi="Times New Roman" w:eastAsia="宋体" w:cs="Times New Roman"/>
                <w:color w:val="auto"/>
                <w:szCs w:val="21"/>
                <w:u w:val="none" w:color="auto"/>
                <w:lang w:val="en-US" w:eastAsia="zh-CN"/>
              </w:rPr>
              <w:t>7</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、正丁醇</w:t>
            </w:r>
            <w:r>
              <w:rPr>
                <w:rFonts w:hint="eastAsia" w:ascii="Times New Roman" w:hAnsi="Times New Roman" w:eastAsia="宋体" w:cs="Times New Roman"/>
                <w:color w:val="auto"/>
                <w:szCs w:val="21"/>
                <w:u w:val="none" w:color="auto"/>
                <w:lang w:val="en-US" w:eastAsia="zh-CN"/>
              </w:rPr>
              <w:t>3</w:t>
            </w:r>
            <w:r>
              <w:rPr>
                <w:rFonts w:ascii="Times New Roman" w:hAnsi="Times New Roman" w:eastAsia="TimesNewRomanPSMT" w:cs="Times New Roman"/>
                <w:color w:val="auto"/>
                <w:szCs w:val="21"/>
                <w:u w:val="none" w:color="auto"/>
              </w:rPr>
              <w:t>%</w:t>
            </w:r>
            <w:r>
              <w:rPr>
                <w:rFonts w:hint="eastAsia" w:ascii="Times New Roman" w:hAnsi="Times New Roman" w:eastAsia="宋体" w:cs="Times New Roman"/>
                <w:color w:val="auto"/>
                <w:szCs w:val="21"/>
                <w:u w:val="none" w:color="auto"/>
                <w:lang w:eastAsia="zh-CN"/>
              </w:rPr>
              <w:t>、</w:t>
            </w:r>
            <w:r>
              <w:rPr>
                <w:rFonts w:hint="eastAsia" w:ascii="Times New Roman" w:hAnsi="Times New Roman" w:eastAsia="宋体" w:cs="Times New Roman"/>
                <w:color w:val="auto"/>
                <w:szCs w:val="21"/>
                <w:u w:val="none" w:color="auto"/>
                <w:lang w:val="en-US" w:eastAsia="zh-CN"/>
              </w:rPr>
              <w:t>锌粉60%</w:t>
            </w:r>
          </w:p>
        </w:tc>
      </w:tr>
      <w:tr w14:paraId="1F10880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0535B3F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w:t>
            </w:r>
          </w:p>
        </w:tc>
        <w:tc>
          <w:tcPr>
            <w:tcW w:w="1425" w:type="dxa"/>
            <w:vAlign w:val="center"/>
          </w:tcPr>
          <w:p w14:paraId="43478059">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环氧云铁中间漆</w:t>
            </w:r>
          </w:p>
        </w:tc>
        <w:tc>
          <w:tcPr>
            <w:tcW w:w="911" w:type="dxa"/>
            <w:vAlign w:val="center"/>
          </w:tcPr>
          <w:p w14:paraId="30543F8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油漆</w:t>
            </w:r>
          </w:p>
        </w:tc>
        <w:tc>
          <w:tcPr>
            <w:tcW w:w="5509" w:type="dxa"/>
            <w:vAlign w:val="center"/>
          </w:tcPr>
          <w:p w14:paraId="66BAED8B">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lang w:val="en-US" w:eastAsia="zh-CN"/>
              </w:rPr>
              <w:t>环氧树脂40</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、二甲苯</w:t>
            </w:r>
            <w:r>
              <w:rPr>
                <w:rFonts w:hint="eastAsia" w:ascii="Times New Roman" w:hAnsi="Times New Roman" w:eastAsia="宋体" w:cs="Times New Roman"/>
                <w:color w:val="auto"/>
                <w:szCs w:val="21"/>
                <w:u w:val="none" w:color="auto"/>
                <w:lang w:val="en-US" w:eastAsia="zh-CN"/>
              </w:rPr>
              <w:t>10</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、正丁醇</w:t>
            </w:r>
            <w:r>
              <w:rPr>
                <w:rFonts w:hint="eastAsia" w:ascii="Times New Roman" w:hAnsi="Times New Roman" w:eastAsia="宋体" w:cs="Times New Roman"/>
                <w:color w:val="auto"/>
                <w:szCs w:val="21"/>
                <w:u w:val="none" w:color="auto"/>
                <w:lang w:val="en-US" w:eastAsia="zh-CN"/>
              </w:rPr>
              <w:t>5</w:t>
            </w:r>
            <w:r>
              <w:rPr>
                <w:rFonts w:ascii="Times New Roman" w:hAnsi="Times New Roman" w:eastAsia="TimesNewRomanPSMT" w:cs="Times New Roman"/>
                <w:color w:val="auto"/>
                <w:szCs w:val="21"/>
                <w:u w:val="none" w:color="auto"/>
              </w:rPr>
              <w:t>%</w:t>
            </w:r>
            <w:r>
              <w:rPr>
                <w:rFonts w:hint="eastAsia" w:ascii="Times New Roman" w:hAnsi="Times New Roman" w:eastAsia="宋体" w:cs="Times New Roman"/>
                <w:color w:val="auto"/>
                <w:szCs w:val="21"/>
                <w:u w:val="none" w:color="auto"/>
                <w:lang w:eastAsia="zh-CN"/>
              </w:rPr>
              <w:t>、</w:t>
            </w:r>
            <w:r>
              <w:rPr>
                <w:rFonts w:hint="eastAsia" w:ascii="Times New Roman" w:hAnsi="Times New Roman" w:eastAsia="宋体" w:cs="Times New Roman"/>
                <w:color w:val="auto"/>
                <w:szCs w:val="21"/>
                <w:u w:val="none" w:color="auto"/>
                <w:lang w:val="en-US" w:eastAsia="zh-CN"/>
              </w:rPr>
              <w:t>云铁粉45%</w:t>
            </w:r>
          </w:p>
        </w:tc>
      </w:tr>
      <w:tr w14:paraId="7B9F123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524816AD">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w:t>
            </w:r>
          </w:p>
        </w:tc>
        <w:tc>
          <w:tcPr>
            <w:tcW w:w="1425" w:type="dxa"/>
            <w:vAlign w:val="center"/>
          </w:tcPr>
          <w:p w14:paraId="45480F2F">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聚氨酯面漆</w:t>
            </w:r>
          </w:p>
        </w:tc>
        <w:tc>
          <w:tcPr>
            <w:tcW w:w="911" w:type="dxa"/>
            <w:vAlign w:val="center"/>
          </w:tcPr>
          <w:p w14:paraId="2CB08884">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油漆</w:t>
            </w:r>
          </w:p>
        </w:tc>
        <w:tc>
          <w:tcPr>
            <w:tcW w:w="5509" w:type="dxa"/>
            <w:vAlign w:val="center"/>
          </w:tcPr>
          <w:p w14:paraId="08CBF88C">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二甲苯</w:t>
            </w:r>
            <w:r>
              <w:rPr>
                <w:rFonts w:hint="eastAsia" w:ascii="Times New Roman" w:hAnsi="Times New Roman" w:eastAsia="宋体" w:cs="Times New Roman"/>
                <w:color w:val="auto"/>
                <w:szCs w:val="21"/>
                <w:u w:val="none" w:color="auto"/>
                <w:lang w:val="en-US" w:eastAsia="zh-CN"/>
              </w:rPr>
              <w:t>7.4</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w:t>
            </w:r>
            <w:r>
              <w:rPr>
                <w:rFonts w:hint="eastAsia" w:ascii="Times New Roman" w:hAnsi="Times New Roman" w:eastAsia="宋体" w:cs="Times New Roman"/>
                <w:color w:val="auto"/>
                <w:szCs w:val="21"/>
                <w:u w:val="none" w:color="auto"/>
                <w:lang w:val="en-US" w:eastAsia="zh-CN"/>
              </w:rPr>
              <w:t>乙苯3%、甲苯0.3%、</w:t>
            </w:r>
            <w:r>
              <w:rPr>
                <w:rFonts w:hint="eastAsia" w:ascii="Times New Roman" w:hAnsi="Times New Roman" w:eastAsia="宋体" w:cs="Times New Roman"/>
                <w:color w:val="auto"/>
                <w:u w:val="none" w:color="auto"/>
                <w:lang w:val="en-US" w:eastAsia="zh-CN"/>
              </w:rPr>
              <w:t>1,2,4-三甲苯2.5%、双（1,2,2,6,6-五甲基-4，哌啶基）葵二酸脂0.3%、石脑油16%、</w:t>
            </w:r>
            <w:r>
              <w:rPr>
                <w:rFonts w:hint="eastAsia" w:ascii="Times New Roman" w:hAnsi="Times New Roman" w:eastAsia="宋体" w:cs="Times New Roman"/>
                <w:color w:val="auto"/>
                <w:u w:val="single" w:color="auto"/>
                <w:lang w:val="en-US" w:eastAsia="zh-CN"/>
              </w:rPr>
              <w:t>其他70.5%</w:t>
            </w:r>
          </w:p>
        </w:tc>
      </w:tr>
      <w:tr w14:paraId="1084682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7CB6840B">
            <w:pPr>
              <w:snapToGrid w:val="0"/>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w:t>
            </w:r>
          </w:p>
        </w:tc>
        <w:tc>
          <w:tcPr>
            <w:tcW w:w="1425" w:type="dxa"/>
            <w:vAlign w:val="center"/>
          </w:tcPr>
          <w:p w14:paraId="19586DD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u w:val="none" w:color="auto"/>
              </w:rPr>
              <w:t>环氧固化剂</w:t>
            </w:r>
          </w:p>
        </w:tc>
        <w:tc>
          <w:tcPr>
            <w:tcW w:w="911" w:type="dxa"/>
            <w:vAlign w:val="center"/>
          </w:tcPr>
          <w:p w14:paraId="551C8850">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固化剂</w:t>
            </w:r>
          </w:p>
        </w:tc>
        <w:tc>
          <w:tcPr>
            <w:tcW w:w="5509" w:type="dxa"/>
            <w:vAlign w:val="center"/>
          </w:tcPr>
          <w:p w14:paraId="77DC222D">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二甲苯</w:t>
            </w:r>
            <w:r>
              <w:rPr>
                <w:rFonts w:hint="eastAsia" w:ascii="Times New Roman" w:hAnsi="Times New Roman" w:eastAsia="宋体" w:cs="Times New Roman"/>
                <w:color w:val="auto"/>
                <w:szCs w:val="21"/>
                <w:u w:val="none" w:color="auto"/>
                <w:lang w:val="en-US" w:eastAsia="zh-CN"/>
              </w:rPr>
              <w:t>25</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、正丁醇</w:t>
            </w:r>
            <w:r>
              <w:rPr>
                <w:rFonts w:hint="eastAsia" w:ascii="Times New Roman" w:hAnsi="Times New Roman" w:eastAsia="宋体" w:cs="Times New Roman"/>
                <w:color w:val="auto"/>
                <w:szCs w:val="21"/>
                <w:u w:val="none" w:color="auto"/>
                <w:lang w:val="en-US" w:eastAsia="zh-CN"/>
              </w:rPr>
              <w:t>25</w:t>
            </w:r>
            <w:r>
              <w:rPr>
                <w:rFonts w:ascii="Times New Roman" w:hAnsi="Times New Roman" w:eastAsia="TimesNewRomanPSMT" w:cs="Times New Roman"/>
                <w:color w:val="auto"/>
                <w:szCs w:val="21"/>
                <w:u w:val="none" w:color="auto"/>
              </w:rPr>
              <w:t>%</w:t>
            </w:r>
            <w:r>
              <w:rPr>
                <w:rFonts w:hint="eastAsia" w:ascii="Times New Roman" w:hAnsi="Times New Roman" w:eastAsia="宋体" w:cs="Times New Roman"/>
                <w:color w:val="auto"/>
                <w:szCs w:val="21"/>
                <w:u w:val="none" w:color="auto"/>
                <w:lang w:eastAsia="zh-CN"/>
              </w:rPr>
              <w:t>、</w:t>
            </w:r>
            <w:r>
              <w:rPr>
                <w:rFonts w:hint="eastAsia" w:ascii="Times New Roman" w:hAnsi="Times New Roman" w:eastAsia="宋体" w:cs="Times New Roman"/>
                <w:color w:val="auto"/>
                <w:u w:val="none" w:color="auto"/>
                <w:lang w:val="en-US" w:eastAsia="zh-CN"/>
              </w:rPr>
              <w:t>聚酰胺</w:t>
            </w:r>
            <w:r>
              <w:rPr>
                <w:rFonts w:hint="eastAsia" w:ascii="Times New Roman" w:hAnsi="Times New Roman" w:eastAsia="宋体" w:cs="Times New Roman"/>
                <w:color w:val="auto"/>
                <w:szCs w:val="21"/>
                <w:u w:val="none" w:color="auto"/>
                <w:lang w:val="en-US" w:eastAsia="zh-CN"/>
              </w:rPr>
              <w:t>50%</w:t>
            </w:r>
          </w:p>
        </w:tc>
      </w:tr>
      <w:tr w14:paraId="7B4D37F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50F6B68F">
            <w:pPr>
              <w:snapToGrid w:val="0"/>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5</w:t>
            </w:r>
          </w:p>
        </w:tc>
        <w:tc>
          <w:tcPr>
            <w:tcW w:w="1425" w:type="dxa"/>
            <w:vAlign w:val="center"/>
          </w:tcPr>
          <w:p w14:paraId="133B535A">
            <w:pPr>
              <w:snapToGrid w:val="0"/>
              <w:jc w:val="center"/>
              <w:rPr>
                <w:rFonts w:ascii="Times New Roman" w:hAnsi="Times New Roman" w:eastAsia="宋体" w:cs="Times New Roman"/>
                <w:color w:val="auto"/>
                <w:u w:val="none" w:color="auto"/>
              </w:rPr>
            </w:pPr>
            <w:r>
              <w:rPr>
                <w:rFonts w:hint="eastAsia" w:ascii="Times New Roman" w:hAnsi="Times New Roman" w:eastAsia="宋体" w:cs="Times New Roman"/>
                <w:color w:val="auto"/>
                <w:u w:val="none" w:color="auto"/>
                <w:lang w:val="en-US" w:eastAsia="zh-CN"/>
              </w:rPr>
              <w:t>聚氨酯</w:t>
            </w:r>
            <w:r>
              <w:rPr>
                <w:rFonts w:ascii="Times New Roman" w:hAnsi="Times New Roman" w:eastAsia="宋体" w:cs="Times New Roman"/>
                <w:color w:val="auto"/>
                <w:u w:val="none" w:color="auto"/>
              </w:rPr>
              <w:t>固化剂</w:t>
            </w:r>
          </w:p>
        </w:tc>
        <w:tc>
          <w:tcPr>
            <w:tcW w:w="911" w:type="dxa"/>
            <w:vAlign w:val="center"/>
          </w:tcPr>
          <w:p w14:paraId="3030C0F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固化剂</w:t>
            </w:r>
          </w:p>
        </w:tc>
        <w:tc>
          <w:tcPr>
            <w:tcW w:w="5509" w:type="dxa"/>
            <w:vAlign w:val="center"/>
          </w:tcPr>
          <w:p w14:paraId="3DE42570">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lang w:val="en-US" w:eastAsia="zh-CN"/>
              </w:rPr>
              <w:t>已撑-1,6-二异氰酸均聚物84.7</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w:t>
            </w:r>
            <w:r>
              <w:rPr>
                <w:rFonts w:hint="eastAsia" w:ascii="Times New Roman" w:hAnsi="Times New Roman" w:eastAsia="宋体" w:cs="Times New Roman"/>
                <w:color w:val="auto"/>
                <w:szCs w:val="21"/>
                <w:u w:val="none" w:color="auto"/>
                <w:lang w:eastAsia="zh-CN"/>
              </w:rPr>
              <w:t>乙酸正丁酯</w:t>
            </w:r>
            <w:r>
              <w:rPr>
                <w:rFonts w:hint="eastAsia" w:ascii="Times New Roman" w:hAnsi="Times New Roman" w:eastAsia="宋体" w:cs="Times New Roman"/>
                <w:color w:val="auto"/>
                <w:u w:val="none" w:color="auto"/>
                <w:lang w:val="en-US" w:eastAsia="zh-CN"/>
              </w:rPr>
              <w:t>1</w:t>
            </w:r>
            <w:r>
              <w:rPr>
                <w:rFonts w:hint="eastAsia" w:ascii="Times New Roman" w:hAnsi="Times New Roman" w:eastAsia="宋体" w:cs="Times New Roman"/>
                <w:color w:val="auto"/>
                <w:szCs w:val="21"/>
                <w:u w:val="none" w:color="auto"/>
                <w:lang w:val="en-US" w:eastAsia="zh-CN"/>
              </w:rPr>
              <w:t>0</w:t>
            </w:r>
            <w:r>
              <w:rPr>
                <w:rFonts w:ascii="Times New Roman" w:hAnsi="Times New Roman" w:eastAsia="TimesNewRomanPSMT" w:cs="Times New Roman"/>
                <w:color w:val="auto"/>
                <w:szCs w:val="21"/>
                <w:u w:val="none" w:color="auto"/>
              </w:rPr>
              <w:t>%</w:t>
            </w:r>
            <w:r>
              <w:rPr>
                <w:rFonts w:hint="eastAsia" w:ascii="Times New Roman" w:hAnsi="Times New Roman" w:eastAsia="宋体" w:cs="Times New Roman"/>
                <w:color w:val="auto"/>
                <w:szCs w:val="21"/>
                <w:u w:val="none" w:color="auto"/>
                <w:lang w:eastAsia="zh-CN"/>
              </w:rPr>
              <w:t>、</w:t>
            </w:r>
            <w:r>
              <w:rPr>
                <w:rFonts w:hint="eastAsia" w:ascii="Times New Roman" w:hAnsi="Times New Roman" w:eastAsia="宋体" w:cs="Times New Roman"/>
                <w:color w:val="auto"/>
                <w:u w:val="none" w:color="auto"/>
                <w:lang w:val="en-US" w:eastAsia="zh-CN"/>
              </w:rPr>
              <w:t>六亚甲基二异氰酸酯</w:t>
            </w:r>
            <w:r>
              <w:rPr>
                <w:rFonts w:hint="eastAsia" w:ascii="Times New Roman" w:hAnsi="Times New Roman" w:eastAsia="宋体" w:cs="Times New Roman"/>
                <w:color w:val="auto"/>
                <w:szCs w:val="21"/>
                <w:u w:val="none" w:color="auto"/>
                <w:lang w:val="en-US" w:eastAsia="zh-CN"/>
              </w:rPr>
              <w:t>0.3%</w:t>
            </w:r>
            <w:r>
              <w:rPr>
                <w:rFonts w:hint="eastAsia" w:ascii="Times New Roman" w:hAnsi="Times New Roman" w:eastAsia="宋体" w:cs="Times New Roman"/>
                <w:color w:val="auto"/>
                <w:u w:val="none" w:color="auto"/>
                <w:lang w:val="en-US" w:eastAsia="zh-CN"/>
              </w:rPr>
              <w:t>、石脑油5%</w:t>
            </w:r>
          </w:p>
        </w:tc>
      </w:tr>
      <w:tr w14:paraId="2E60B1F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jc w:val="center"/>
        </w:trPr>
        <w:tc>
          <w:tcPr>
            <w:tcW w:w="674" w:type="dxa"/>
            <w:vAlign w:val="center"/>
          </w:tcPr>
          <w:p w14:paraId="3C3F6FD7">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6</w:t>
            </w:r>
          </w:p>
        </w:tc>
        <w:tc>
          <w:tcPr>
            <w:tcW w:w="1425" w:type="dxa"/>
            <w:vAlign w:val="center"/>
          </w:tcPr>
          <w:p w14:paraId="2DEDF36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稀释剂</w:t>
            </w:r>
          </w:p>
        </w:tc>
        <w:tc>
          <w:tcPr>
            <w:tcW w:w="911" w:type="dxa"/>
            <w:vAlign w:val="center"/>
          </w:tcPr>
          <w:p w14:paraId="344359A9">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稀释剂</w:t>
            </w:r>
          </w:p>
        </w:tc>
        <w:tc>
          <w:tcPr>
            <w:tcW w:w="5509" w:type="dxa"/>
            <w:vAlign w:val="center"/>
          </w:tcPr>
          <w:p w14:paraId="7DC82B7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二甲苯</w:t>
            </w:r>
            <w:r>
              <w:rPr>
                <w:rFonts w:hint="eastAsia" w:ascii="Times New Roman" w:hAnsi="Times New Roman" w:eastAsia="宋体" w:cs="Times New Roman"/>
                <w:color w:val="auto"/>
                <w:szCs w:val="21"/>
                <w:u w:val="none" w:color="auto"/>
                <w:lang w:val="en-US" w:eastAsia="zh-CN"/>
              </w:rPr>
              <w:t>55</w:t>
            </w:r>
            <w:r>
              <w:rPr>
                <w:rFonts w:ascii="Times New Roman" w:hAnsi="Times New Roman" w:eastAsia="TimesNewRomanPSMT" w:cs="Times New Roman"/>
                <w:color w:val="auto"/>
                <w:szCs w:val="21"/>
                <w:u w:val="none" w:color="auto"/>
              </w:rPr>
              <w:t>%</w:t>
            </w:r>
            <w:r>
              <w:rPr>
                <w:rFonts w:ascii="Times New Roman" w:hAnsi="Times New Roman" w:eastAsia="宋体" w:cs="Times New Roman"/>
                <w:color w:val="auto"/>
                <w:szCs w:val="21"/>
                <w:u w:val="none" w:color="auto"/>
              </w:rPr>
              <w:t>、正丁醇</w:t>
            </w:r>
            <w:r>
              <w:rPr>
                <w:rFonts w:hint="eastAsia" w:ascii="Times New Roman" w:hAnsi="Times New Roman" w:eastAsia="宋体" w:cs="Times New Roman"/>
                <w:color w:val="auto"/>
                <w:szCs w:val="21"/>
                <w:u w:val="none" w:color="auto"/>
                <w:lang w:val="en-US" w:eastAsia="zh-CN"/>
              </w:rPr>
              <w:t>45</w:t>
            </w:r>
            <w:r>
              <w:rPr>
                <w:rFonts w:ascii="Times New Roman" w:hAnsi="Times New Roman" w:eastAsia="TimesNewRomanPSMT" w:cs="Times New Roman"/>
                <w:color w:val="auto"/>
                <w:szCs w:val="21"/>
                <w:u w:val="none" w:color="auto"/>
              </w:rPr>
              <w:t>%</w:t>
            </w:r>
          </w:p>
        </w:tc>
      </w:tr>
    </w:tbl>
    <w:p w14:paraId="7E4ACEC4">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9</w:t>
      </w:r>
      <w:r>
        <w:rPr>
          <w:rFonts w:hint="eastAsia" w:ascii="Times New Roman" w:hAnsi="Times New Roman" w:eastAsia="宋体" w:cs="Times New Roman"/>
          <w:b/>
          <w:bCs/>
          <w:color w:val="auto"/>
          <w:sz w:val="24"/>
          <w:szCs w:val="24"/>
          <w:u w:val="none" w:color="auto"/>
        </w:rPr>
        <w:t xml:space="preserve"> 主要原辅材料理化性质</w:t>
      </w:r>
    </w:p>
    <w:tbl>
      <w:tblPr>
        <w:tblStyle w:val="37"/>
        <w:tblW w:w="8519"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665"/>
        <w:gridCol w:w="1158"/>
        <w:gridCol w:w="1196"/>
        <w:gridCol w:w="5500"/>
      </w:tblGrid>
      <w:tr w14:paraId="066B000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560139EB">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序号</w:t>
            </w:r>
          </w:p>
        </w:tc>
        <w:tc>
          <w:tcPr>
            <w:tcW w:w="1158" w:type="dxa"/>
            <w:vAlign w:val="center"/>
          </w:tcPr>
          <w:p w14:paraId="66CAF727">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名称</w:t>
            </w:r>
          </w:p>
        </w:tc>
        <w:tc>
          <w:tcPr>
            <w:tcW w:w="1196" w:type="dxa"/>
            <w:vAlign w:val="center"/>
          </w:tcPr>
          <w:p w14:paraId="5CF02FC7">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CAS号</w:t>
            </w:r>
          </w:p>
        </w:tc>
        <w:tc>
          <w:tcPr>
            <w:tcW w:w="5500" w:type="dxa"/>
            <w:vAlign w:val="center"/>
          </w:tcPr>
          <w:p w14:paraId="2026B16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理化性质</w:t>
            </w:r>
          </w:p>
        </w:tc>
      </w:tr>
      <w:tr w14:paraId="68459A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36CEF100">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w:t>
            </w:r>
          </w:p>
        </w:tc>
        <w:tc>
          <w:tcPr>
            <w:tcW w:w="1158" w:type="dxa"/>
            <w:vAlign w:val="center"/>
          </w:tcPr>
          <w:p w14:paraId="3CE16FEA">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二甲苯</w:t>
            </w:r>
          </w:p>
        </w:tc>
        <w:tc>
          <w:tcPr>
            <w:tcW w:w="1196" w:type="dxa"/>
            <w:vAlign w:val="center"/>
          </w:tcPr>
          <w:p w14:paraId="3E790F36">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1330-20-7</w:t>
            </w:r>
          </w:p>
        </w:tc>
        <w:tc>
          <w:tcPr>
            <w:tcW w:w="5500" w:type="dxa"/>
            <w:vAlign w:val="center"/>
          </w:tcPr>
          <w:p w14:paraId="0DC949E5">
            <w:pPr>
              <w:snapToGrid w:val="0"/>
              <w:jc w:val="left"/>
              <w:rPr>
                <w:rFonts w:ascii="Times New Roman" w:hAnsi="Times New Roman" w:eastAsia="宋体" w:cs="Times New Roman"/>
                <w:color w:val="auto"/>
                <w:szCs w:val="21"/>
                <w:u w:val="none" w:color="auto"/>
              </w:rPr>
            </w:pPr>
            <w:r>
              <w:rPr>
                <w:rFonts w:hint="eastAsia" w:ascii="宋体" w:hAnsi="宋体" w:eastAsia="宋体"/>
                <w:color w:val="auto"/>
                <w:szCs w:val="21"/>
                <w:u w:val="none" w:color="auto"/>
              </w:rPr>
              <w:t>沸点：</w:t>
            </w:r>
            <w:r>
              <w:rPr>
                <w:rFonts w:hint="eastAsia" w:ascii="TimesNewRomanPSMT" w:hAnsi="TimesNewRomanPSMT" w:eastAsia="TimesNewRomanPSMT"/>
                <w:color w:val="auto"/>
                <w:szCs w:val="21"/>
                <w:u w:val="none" w:color="auto"/>
              </w:rPr>
              <w:t>137~140</w:t>
            </w:r>
            <w:r>
              <w:rPr>
                <w:rFonts w:hint="eastAsia" w:ascii="宋体" w:hAnsi="宋体" w:eastAsia="宋体"/>
                <w:color w:val="auto"/>
                <w:szCs w:val="21"/>
                <w:u w:val="none" w:color="auto"/>
              </w:rPr>
              <w:t>℃，二甲苯具刺激性气味、易燃，与乙醇、氯仿或乙醚能任意混合，在水中不溶。沸点为</w:t>
            </w:r>
            <w:r>
              <w:rPr>
                <w:rFonts w:hint="eastAsia" w:ascii="TimesNewRomanPSMT" w:hAnsi="TimesNewRomanPSMT" w:eastAsia="TimesNewRomanPSMT"/>
                <w:color w:val="auto"/>
                <w:szCs w:val="21"/>
                <w:u w:val="none" w:color="auto"/>
              </w:rPr>
              <w:t>137</w:t>
            </w:r>
            <w:r>
              <w:rPr>
                <w:rFonts w:hint="eastAsia" w:ascii="宋体" w:hAnsi="宋体" w:eastAsia="宋体"/>
                <w:color w:val="auto"/>
                <w:szCs w:val="21"/>
                <w:u w:val="none" w:color="auto"/>
              </w:rPr>
              <w:t>～</w:t>
            </w:r>
            <w:r>
              <w:rPr>
                <w:rFonts w:hint="eastAsia" w:ascii="TimesNewRomanPSMT" w:hAnsi="TimesNewRomanPSMT" w:eastAsia="TimesNewRomanPSMT"/>
                <w:color w:val="auto"/>
                <w:szCs w:val="21"/>
                <w:u w:val="none" w:color="auto"/>
              </w:rPr>
              <w:t>140</w:t>
            </w:r>
            <w:r>
              <w:rPr>
                <w:rFonts w:hint="eastAsia" w:ascii="宋体" w:hAnsi="宋体" w:eastAsia="宋体"/>
                <w:color w:val="auto"/>
                <w:szCs w:val="21"/>
                <w:u w:val="none" w:color="auto"/>
              </w:rPr>
              <w:t>℃。二甲苯属于低毒类化学物质，美国政府工业卫生学家会议（</w:t>
            </w:r>
            <w:r>
              <w:rPr>
                <w:rFonts w:hint="eastAsia" w:ascii="TimesNewRomanPSMT" w:hAnsi="TimesNewRomanPSMT" w:eastAsia="TimesNewRomanPSMT"/>
                <w:color w:val="auto"/>
                <w:szCs w:val="21"/>
                <w:u w:val="none" w:color="auto"/>
              </w:rPr>
              <w:t>ACGIH</w:t>
            </w:r>
            <w:r>
              <w:rPr>
                <w:rFonts w:hint="eastAsia" w:ascii="宋体" w:hAnsi="宋体" w:eastAsia="宋体"/>
                <w:color w:val="auto"/>
                <w:szCs w:val="21"/>
                <w:u w:val="none" w:color="auto"/>
              </w:rPr>
              <w:t>）将其归类为</w:t>
            </w:r>
            <w:r>
              <w:rPr>
                <w:rFonts w:hint="eastAsia" w:ascii="TimesNewRomanPSMT" w:hAnsi="TimesNewRomanPSMT" w:eastAsia="TimesNewRomanPSMT"/>
                <w:color w:val="auto"/>
                <w:szCs w:val="21"/>
                <w:u w:val="none" w:color="auto"/>
              </w:rPr>
              <w:t xml:space="preserve">A4 </w:t>
            </w:r>
            <w:r>
              <w:rPr>
                <w:rFonts w:hint="eastAsia" w:ascii="宋体" w:hAnsi="宋体" w:eastAsia="宋体"/>
                <w:color w:val="auto"/>
                <w:szCs w:val="21"/>
                <w:u w:val="none" w:color="auto"/>
              </w:rPr>
              <w:t>级，即缺乏对人体、动物致癌性证据的物质。塑料、燃料、橡胶，各种涂料的添加剂以及各种胶粘剂、防水材料中，还可来自燃料和烟叶的燃烧气体。</w:t>
            </w:r>
          </w:p>
        </w:tc>
      </w:tr>
      <w:tr w14:paraId="5E1F602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39CB0B8D">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2</w:t>
            </w:r>
          </w:p>
        </w:tc>
        <w:tc>
          <w:tcPr>
            <w:tcW w:w="1158" w:type="dxa"/>
            <w:vAlign w:val="center"/>
          </w:tcPr>
          <w:p w14:paraId="0FDB5485">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正丁醇</w:t>
            </w:r>
          </w:p>
        </w:tc>
        <w:tc>
          <w:tcPr>
            <w:tcW w:w="1196" w:type="dxa"/>
            <w:vAlign w:val="center"/>
          </w:tcPr>
          <w:p w14:paraId="72042F5F">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71-36-3</w:t>
            </w:r>
          </w:p>
        </w:tc>
        <w:tc>
          <w:tcPr>
            <w:tcW w:w="5500" w:type="dxa"/>
            <w:vAlign w:val="center"/>
          </w:tcPr>
          <w:p w14:paraId="216B2140">
            <w:pPr>
              <w:snapToGrid w:val="0"/>
              <w:jc w:val="left"/>
              <w:rPr>
                <w:rFonts w:ascii="Times New Roman" w:hAnsi="Times New Roman" w:eastAsia="宋体" w:cs="Times New Roman"/>
                <w:color w:val="auto"/>
                <w:szCs w:val="21"/>
                <w:u w:val="none" w:color="auto"/>
              </w:rPr>
            </w:pPr>
            <w:r>
              <w:rPr>
                <w:rFonts w:hint="eastAsia" w:ascii="宋体" w:hAnsi="宋体" w:eastAsia="宋体"/>
                <w:color w:val="auto"/>
                <w:szCs w:val="21"/>
                <w:u w:val="none" w:color="auto"/>
              </w:rPr>
              <w:t>无色透明、有酒气味的液体，性质稳定，是多种涂料的溶剂和制增塑剂邻苯二甲酸二丁酯的原料，也用于制造丙烯酸丁酯、醋酸丁酯、乙二醇丁醚以及作为有机合成中间体和生物化学药的萃取剂，还用于制造表面活性剂</w:t>
            </w:r>
          </w:p>
        </w:tc>
      </w:tr>
      <w:tr w14:paraId="7791CEA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19A08AC6">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3</w:t>
            </w:r>
          </w:p>
        </w:tc>
        <w:tc>
          <w:tcPr>
            <w:tcW w:w="1158" w:type="dxa"/>
            <w:vAlign w:val="center"/>
          </w:tcPr>
          <w:p w14:paraId="0C2DF368">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w:t>
            </w:r>
          </w:p>
        </w:tc>
        <w:tc>
          <w:tcPr>
            <w:tcW w:w="1196" w:type="dxa"/>
            <w:vAlign w:val="center"/>
          </w:tcPr>
          <w:p w14:paraId="16FA2746">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108-88-3</w:t>
            </w:r>
          </w:p>
        </w:tc>
        <w:tc>
          <w:tcPr>
            <w:tcW w:w="5500" w:type="dxa"/>
            <w:vAlign w:val="center"/>
          </w:tcPr>
          <w:p w14:paraId="07CEEB54">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无色澄清液体。有苯样气味。有强折光性。能与乙醇、乙醚、丙酮、氯仿、二硫化碳和冰乙酸混溶，极微溶于水。相对密度</w:t>
            </w:r>
            <w:r>
              <w:rPr>
                <w:rFonts w:hint="eastAsia" w:ascii="TimesNewRomanPSMT" w:hAnsi="TimesNewRomanPSMT" w:eastAsia="TimesNewRomanPSMT"/>
                <w:color w:val="auto"/>
                <w:szCs w:val="21"/>
                <w:u w:val="none" w:color="auto"/>
              </w:rPr>
              <w:t>0.866</w:t>
            </w:r>
            <w:r>
              <w:rPr>
                <w:rFonts w:hint="eastAsia" w:ascii="宋体" w:hAnsi="宋体" w:eastAsia="宋体"/>
                <w:color w:val="auto"/>
                <w:szCs w:val="21"/>
                <w:u w:val="none" w:color="auto"/>
              </w:rPr>
              <w:t>。凝固点</w:t>
            </w:r>
            <w:r>
              <w:rPr>
                <w:rFonts w:hint="eastAsia" w:ascii="TimesNewRomanPSMT" w:hAnsi="TimesNewRomanPSMT" w:eastAsia="TimesNewRomanPSMT"/>
                <w:color w:val="auto"/>
                <w:szCs w:val="21"/>
                <w:u w:val="none" w:color="auto"/>
              </w:rPr>
              <w:t>-95</w:t>
            </w:r>
            <w:r>
              <w:rPr>
                <w:rFonts w:hint="eastAsia" w:ascii="宋体" w:hAnsi="宋体" w:eastAsia="宋体"/>
                <w:color w:val="auto"/>
                <w:szCs w:val="21"/>
                <w:u w:val="none" w:color="auto"/>
              </w:rPr>
              <w:t>℃。沸点</w:t>
            </w:r>
            <w:r>
              <w:rPr>
                <w:rFonts w:hint="eastAsia" w:ascii="TimesNewRomanPSMT" w:hAnsi="TimesNewRomanPSMT" w:eastAsia="TimesNewRomanPSMT"/>
                <w:color w:val="auto"/>
                <w:szCs w:val="21"/>
                <w:u w:val="none" w:color="auto"/>
              </w:rPr>
              <w:t>110.6</w:t>
            </w:r>
            <w:r>
              <w:rPr>
                <w:rFonts w:hint="eastAsia" w:ascii="宋体" w:hAnsi="宋体" w:eastAsia="宋体"/>
                <w:color w:val="auto"/>
                <w:szCs w:val="21"/>
                <w:u w:val="none" w:color="auto"/>
              </w:rPr>
              <w:t>℃。折光率</w:t>
            </w:r>
            <w:r>
              <w:rPr>
                <w:rFonts w:hint="eastAsia" w:ascii="TimesNewRomanPSMT" w:hAnsi="TimesNewRomanPSMT" w:eastAsia="TimesNewRomanPSMT"/>
                <w:color w:val="auto"/>
                <w:szCs w:val="21"/>
                <w:u w:val="none" w:color="auto"/>
              </w:rPr>
              <w:t>1.4967</w:t>
            </w:r>
            <w:r>
              <w:rPr>
                <w:rFonts w:hint="eastAsia" w:ascii="宋体" w:hAnsi="宋体" w:eastAsia="宋体"/>
                <w:color w:val="auto"/>
                <w:szCs w:val="21"/>
                <w:u w:val="none" w:color="auto"/>
              </w:rPr>
              <w:t xml:space="preserve">。闪点（闭杯） </w:t>
            </w:r>
            <w:r>
              <w:rPr>
                <w:rFonts w:hint="eastAsia" w:ascii="TimesNewRomanPSMT" w:hAnsi="TimesNewRomanPSMT" w:eastAsia="TimesNewRomanPSMT"/>
                <w:color w:val="auto"/>
                <w:szCs w:val="21"/>
                <w:u w:val="none" w:color="auto"/>
              </w:rPr>
              <w:t>4.4</w:t>
            </w:r>
            <w:r>
              <w:rPr>
                <w:rFonts w:hint="eastAsia" w:ascii="宋体" w:hAnsi="宋体" w:eastAsia="宋体"/>
                <w:color w:val="auto"/>
                <w:szCs w:val="21"/>
                <w:u w:val="none" w:color="auto"/>
              </w:rPr>
              <w:t>℃。易燃。蒸气能与空气形成爆炸性混合物，爆炸极限</w:t>
            </w:r>
            <w:r>
              <w:rPr>
                <w:rFonts w:hint="eastAsia" w:ascii="TimesNewRomanPSMT" w:hAnsi="TimesNewRomanPSMT" w:eastAsia="TimesNewRomanPSMT"/>
                <w:color w:val="auto"/>
                <w:szCs w:val="21"/>
                <w:u w:val="none" w:color="auto"/>
              </w:rPr>
              <w:t>1.2%</w:t>
            </w:r>
            <w:r>
              <w:rPr>
                <w:rFonts w:hint="eastAsia" w:ascii="宋体" w:hAnsi="宋体" w:eastAsia="宋体"/>
                <w:color w:val="auto"/>
                <w:szCs w:val="21"/>
                <w:u w:val="none" w:color="auto"/>
              </w:rPr>
              <w:t>～</w:t>
            </w:r>
            <w:r>
              <w:rPr>
                <w:rFonts w:hint="eastAsia" w:ascii="TimesNewRomanPSMT" w:hAnsi="TimesNewRomanPSMT" w:eastAsia="TimesNewRomanPSMT"/>
                <w:color w:val="auto"/>
                <w:szCs w:val="21"/>
                <w:u w:val="none" w:color="auto"/>
              </w:rPr>
              <w:t>7.0%</w:t>
            </w:r>
            <w:r>
              <w:rPr>
                <w:rFonts w:hint="eastAsia" w:ascii="宋体" w:hAnsi="宋体" w:eastAsia="宋体"/>
                <w:color w:val="auto"/>
                <w:szCs w:val="21"/>
                <w:u w:val="none" w:color="auto"/>
              </w:rPr>
              <w:t>（体积）。低毒，半数致死量（大鼠，经口）</w:t>
            </w:r>
            <w:r>
              <w:rPr>
                <w:rFonts w:hint="eastAsia" w:ascii="TimesNewRomanPSMT" w:hAnsi="TimesNewRomanPSMT" w:eastAsia="TimesNewRomanPSMT"/>
                <w:color w:val="auto"/>
                <w:szCs w:val="21"/>
                <w:u w:val="none" w:color="auto"/>
              </w:rPr>
              <w:t>5000mg/kg</w:t>
            </w:r>
            <w:r>
              <w:rPr>
                <w:rFonts w:hint="eastAsia" w:ascii="宋体" w:hAnsi="宋体" w:eastAsia="宋体"/>
                <w:color w:val="auto"/>
                <w:szCs w:val="21"/>
                <w:u w:val="none" w:color="auto"/>
              </w:rPr>
              <w:t>。高浓度气体有麻醉性。有刺激性。</w:t>
            </w:r>
          </w:p>
        </w:tc>
      </w:tr>
      <w:tr w14:paraId="1764924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0270382F">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4</w:t>
            </w:r>
          </w:p>
        </w:tc>
        <w:tc>
          <w:tcPr>
            <w:tcW w:w="1158" w:type="dxa"/>
            <w:vAlign w:val="center"/>
          </w:tcPr>
          <w:p w14:paraId="60E70A27">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乙苯</w:t>
            </w:r>
          </w:p>
        </w:tc>
        <w:tc>
          <w:tcPr>
            <w:tcW w:w="1196" w:type="dxa"/>
            <w:vAlign w:val="center"/>
          </w:tcPr>
          <w:p w14:paraId="3D1277CE">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100-41-4</w:t>
            </w:r>
          </w:p>
        </w:tc>
        <w:tc>
          <w:tcPr>
            <w:tcW w:w="5500" w:type="dxa"/>
            <w:vAlign w:val="center"/>
          </w:tcPr>
          <w:p w14:paraId="2DA2F3AD">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纯品为无色液体，有芳香气味，沸点</w:t>
            </w:r>
            <w:r>
              <w:rPr>
                <w:rFonts w:hint="eastAsia" w:ascii="TimesNewRomanPSMT" w:hAnsi="TimesNewRomanPSMT" w:eastAsia="TimesNewRomanPSMT"/>
                <w:color w:val="auto"/>
                <w:szCs w:val="21"/>
                <w:u w:val="none" w:color="auto"/>
              </w:rPr>
              <w:t>136.2</w:t>
            </w:r>
            <w:r>
              <w:rPr>
                <w:rFonts w:hint="eastAsia" w:ascii="宋体" w:hAnsi="宋体" w:eastAsia="宋体"/>
                <w:color w:val="auto"/>
                <w:szCs w:val="21"/>
                <w:u w:val="none" w:color="auto"/>
              </w:rPr>
              <w:t>℃，熔点</w:t>
            </w:r>
            <w:r>
              <w:rPr>
                <w:rFonts w:hint="eastAsia" w:ascii="TimesNewRomanPSMT" w:hAnsi="TimesNewRomanPSMT" w:eastAsia="TimesNewRomanPSMT"/>
                <w:color w:val="auto"/>
                <w:szCs w:val="21"/>
                <w:u w:val="none" w:color="auto"/>
              </w:rPr>
              <w:t>-94.9</w:t>
            </w:r>
            <w:r>
              <w:rPr>
                <w:rFonts w:hint="eastAsia" w:ascii="宋体" w:hAnsi="宋体" w:eastAsia="宋体"/>
                <w:color w:val="auto"/>
                <w:szCs w:val="21"/>
                <w:u w:val="none" w:color="auto"/>
              </w:rPr>
              <w:t>℃，相对密度（水</w:t>
            </w:r>
            <w:r>
              <w:rPr>
                <w:rFonts w:hint="eastAsia" w:ascii="TimesNewRomanPSMT" w:hAnsi="TimesNewRomanPSMT" w:eastAsia="TimesNewRomanPSMT"/>
                <w:color w:val="auto"/>
                <w:szCs w:val="21"/>
                <w:u w:val="none" w:color="auto"/>
              </w:rPr>
              <w:t>=1</w:t>
            </w:r>
            <w:r>
              <w:rPr>
                <w:rFonts w:hint="eastAsia" w:ascii="宋体" w:hAnsi="宋体" w:eastAsia="宋体"/>
                <w:color w:val="auto"/>
                <w:szCs w:val="21"/>
                <w:u w:val="none" w:color="auto"/>
              </w:rPr>
              <w:t>）</w:t>
            </w:r>
            <w:r>
              <w:rPr>
                <w:rFonts w:hint="eastAsia" w:ascii="TimesNewRomanPSMT" w:hAnsi="TimesNewRomanPSMT" w:eastAsia="TimesNewRomanPSMT"/>
                <w:color w:val="auto"/>
                <w:szCs w:val="21"/>
                <w:u w:val="none" w:color="auto"/>
              </w:rPr>
              <w:t>0.87</w:t>
            </w:r>
            <w:r>
              <w:rPr>
                <w:rFonts w:hint="eastAsia" w:ascii="宋体" w:hAnsi="宋体" w:eastAsia="宋体"/>
                <w:color w:val="auto"/>
                <w:szCs w:val="21"/>
                <w:u w:val="none" w:color="auto"/>
              </w:rPr>
              <w:t>，相对蒸汽密度（空气</w:t>
            </w:r>
            <w:r>
              <w:rPr>
                <w:rFonts w:hint="eastAsia" w:ascii="TimesNewRomanPSMT" w:hAnsi="TimesNewRomanPSMT" w:eastAsia="TimesNewRomanPSMT"/>
                <w:color w:val="auto"/>
                <w:szCs w:val="21"/>
                <w:u w:val="none" w:color="auto"/>
              </w:rPr>
              <w:t>=1</w:t>
            </w:r>
            <w:r>
              <w:rPr>
                <w:rFonts w:hint="eastAsia" w:ascii="宋体" w:hAnsi="宋体" w:eastAsia="宋体"/>
                <w:color w:val="auto"/>
                <w:szCs w:val="21"/>
                <w:u w:val="none" w:color="auto"/>
              </w:rPr>
              <w:t>）</w:t>
            </w:r>
            <w:r>
              <w:rPr>
                <w:rFonts w:hint="eastAsia" w:ascii="TimesNewRomanPSMT" w:hAnsi="TimesNewRomanPSMT" w:eastAsia="TimesNewRomanPSMT"/>
                <w:color w:val="auto"/>
                <w:szCs w:val="21"/>
                <w:u w:val="none" w:color="auto"/>
              </w:rPr>
              <w:t>3.66</w:t>
            </w:r>
            <w:r>
              <w:rPr>
                <w:rFonts w:hint="eastAsia" w:ascii="宋体" w:hAnsi="宋体" w:eastAsia="宋体"/>
                <w:color w:val="auto"/>
                <w:szCs w:val="21"/>
                <w:u w:val="none" w:color="auto"/>
              </w:rPr>
              <w:t>，溶解性：不溶于水，可混溶于乙醇、醚等多数有机溶剂</w:t>
            </w:r>
          </w:p>
        </w:tc>
      </w:tr>
      <w:tr w14:paraId="13BED78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4A9378DD">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5</w:t>
            </w:r>
          </w:p>
        </w:tc>
        <w:tc>
          <w:tcPr>
            <w:tcW w:w="1158" w:type="dxa"/>
            <w:vAlign w:val="center"/>
          </w:tcPr>
          <w:p w14:paraId="12F327FD">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乙酸丁酯</w:t>
            </w:r>
          </w:p>
        </w:tc>
        <w:tc>
          <w:tcPr>
            <w:tcW w:w="1196" w:type="dxa"/>
            <w:vAlign w:val="center"/>
          </w:tcPr>
          <w:p w14:paraId="3C16F925">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123-86-4</w:t>
            </w:r>
          </w:p>
        </w:tc>
        <w:tc>
          <w:tcPr>
            <w:tcW w:w="5500" w:type="dxa"/>
            <w:vAlign w:val="center"/>
          </w:tcPr>
          <w:p w14:paraId="7222D860">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无色透明有愉快果香气味的液体，沸点</w:t>
            </w:r>
            <w:r>
              <w:rPr>
                <w:rFonts w:hint="eastAsia" w:ascii="TimesNewRomanPSMT" w:hAnsi="TimesNewRomanPSMT" w:eastAsia="TimesNewRomanPSMT"/>
                <w:color w:val="auto"/>
                <w:szCs w:val="21"/>
                <w:u w:val="none" w:color="auto"/>
              </w:rPr>
              <w:t>126.5</w:t>
            </w:r>
            <w:r>
              <w:rPr>
                <w:rFonts w:hint="eastAsia" w:ascii="宋体" w:hAnsi="宋体" w:eastAsia="宋体"/>
                <w:color w:val="auto"/>
                <w:szCs w:val="21"/>
                <w:u w:val="none" w:color="auto"/>
              </w:rPr>
              <w:t>℃，凝固点</w:t>
            </w:r>
            <w:r>
              <w:rPr>
                <w:rFonts w:hint="eastAsia" w:ascii="TimesNewRomanPSMT" w:hAnsi="TimesNewRomanPSMT" w:eastAsia="TimesNewRomanPSMT"/>
                <w:color w:val="auto"/>
                <w:szCs w:val="21"/>
                <w:u w:val="none" w:color="auto"/>
              </w:rPr>
              <w:t>-77.9</w:t>
            </w:r>
            <w:r>
              <w:rPr>
                <w:rFonts w:hint="eastAsia" w:ascii="宋体" w:hAnsi="宋体" w:eastAsia="宋体"/>
                <w:color w:val="auto"/>
                <w:szCs w:val="21"/>
                <w:u w:val="none" w:color="auto"/>
              </w:rPr>
              <w:t>℃，相对密度</w:t>
            </w:r>
            <w:r>
              <w:rPr>
                <w:rFonts w:hint="eastAsia" w:ascii="TimesNewRomanPSMT" w:hAnsi="TimesNewRomanPSMT" w:eastAsia="TimesNewRomanPSMT"/>
                <w:color w:val="auto"/>
                <w:szCs w:val="21"/>
                <w:u w:val="none" w:color="auto"/>
              </w:rPr>
              <w:t>0.8825</w:t>
            </w:r>
            <w:r>
              <w:rPr>
                <w:rFonts w:hint="eastAsia" w:ascii="宋体" w:hAnsi="宋体" w:eastAsia="宋体"/>
                <w:color w:val="auto"/>
                <w:szCs w:val="21"/>
                <w:u w:val="none" w:color="auto"/>
              </w:rPr>
              <w:t>，闪点</w:t>
            </w:r>
            <w:r>
              <w:rPr>
                <w:rFonts w:hint="eastAsia" w:ascii="TimesNewRomanPSMT" w:hAnsi="TimesNewRomanPSMT" w:eastAsia="TimesNewRomanPSMT"/>
                <w:color w:val="auto"/>
                <w:szCs w:val="21"/>
                <w:u w:val="none" w:color="auto"/>
              </w:rPr>
              <w:t>22</w:t>
            </w:r>
            <w:r>
              <w:rPr>
                <w:rFonts w:hint="eastAsia" w:ascii="宋体" w:hAnsi="宋体" w:eastAsia="宋体"/>
                <w:color w:val="auto"/>
                <w:szCs w:val="21"/>
                <w:u w:val="none" w:color="auto"/>
              </w:rPr>
              <w:t>℃，难溶于水；与醇、醚、酮等有机溶剂混溶。乙酸正丁酯是一种优良的有机溶剂，对乙基纤维素、醋酸丁酸纤维素、聚苯乙烯、甲基丙烯酸树脂、氯化橡胶以及多种天然树胶均有较好的溶解性能</w:t>
            </w:r>
          </w:p>
        </w:tc>
      </w:tr>
      <w:tr w14:paraId="3684B3D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36539ACC">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6</w:t>
            </w:r>
          </w:p>
        </w:tc>
        <w:tc>
          <w:tcPr>
            <w:tcW w:w="1158" w:type="dxa"/>
            <w:vAlign w:val="center"/>
          </w:tcPr>
          <w:p w14:paraId="7EE145C0">
            <w:pPr>
              <w:snapToGrid w:val="0"/>
              <w:jc w:val="center"/>
              <w:rPr>
                <w:rFonts w:ascii="宋体" w:hAnsi="宋体" w:eastAsia="宋体"/>
                <w:color w:val="auto"/>
                <w:szCs w:val="21"/>
                <w:u w:val="none" w:color="auto"/>
              </w:rPr>
            </w:pPr>
            <w:r>
              <w:rPr>
                <w:rFonts w:hint="eastAsia" w:ascii="宋体" w:hAnsi="宋体" w:eastAsia="宋体"/>
                <w:color w:val="auto"/>
                <w:szCs w:val="21"/>
                <w:u w:val="none" w:color="auto"/>
              </w:rPr>
              <w:t>丙烷</w:t>
            </w:r>
          </w:p>
        </w:tc>
        <w:tc>
          <w:tcPr>
            <w:tcW w:w="1196" w:type="dxa"/>
            <w:vAlign w:val="center"/>
          </w:tcPr>
          <w:p w14:paraId="57D633BA">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74-98-6</w:t>
            </w:r>
          </w:p>
        </w:tc>
        <w:tc>
          <w:tcPr>
            <w:tcW w:w="5500" w:type="dxa"/>
            <w:vAlign w:val="center"/>
          </w:tcPr>
          <w:p w14:paraId="0C63D2EA">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化学式为</w:t>
            </w:r>
            <w:r>
              <w:rPr>
                <w:rFonts w:hint="eastAsia" w:ascii="TimesNewRomanPSMT" w:hAnsi="TimesNewRomanPSMT" w:eastAsia="TimesNewRomanPSMT"/>
                <w:color w:val="auto"/>
                <w:szCs w:val="21"/>
                <w:u w:val="none" w:color="auto"/>
              </w:rPr>
              <w:t>C3H8</w:t>
            </w:r>
            <w:r>
              <w:rPr>
                <w:rFonts w:hint="eastAsia" w:ascii="宋体" w:hAnsi="宋体" w:eastAsia="宋体"/>
                <w:color w:val="auto"/>
                <w:szCs w:val="21"/>
                <w:u w:val="none" w:color="auto"/>
              </w:rPr>
              <w:t>，结构简式为</w:t>
            </w:r>
            <w:r>
              <w:rPr>
                <w:rFonts w:hint="eastAsia" w:ascii="TimesNewRomanPSMT" w:hAnsi="TimesNewRomanPSMT" w:eastAsia="TimesNewRomanPSMT"/>
                <w:color w:val="auto"/>
                <w:szCs w:val="21"/>
                <w:u w:val="none" w:color="auto"/>
              </w:rPr>
              <w:t>CH3CH2CH3</w:t>
            </w:r>
            <w:r>
              <w:rPr>
                <w:rFonts w:hint="eastAsia" w:ascii="宋体" w:hAnsi="宋体" w:eastAsia="宋体"/>
                <w:color w:val="auto"/>
                <w:szCs w:val="21"/>
                <w:u w:val="none" w:color="auto"/>
              </w:rPr>
              <w:t>。无色无味，通常为气体，但一般经过压缩成液态后运输。相对不溶于水，在低温下容易与水生成固态水合物，引起天然气管道的堵塞。丙烷、丁烷（</w:t>
            </w:r>
            <w:r>
              <w:rPr>
                <w:rFonts w:hint="eastAsia" w:ascii="TimesNewRomanPSMT" w:hAnsi="TimesNewRomanPSMT" w:eastAsia="TimesNewRomanPSMT"/>
                <w:color w:val="auto"/>
                <w:szCs w:val="21"/>
                <w:u w:val="none" w:color="auto"/>
              </w:rPr>
              <w:t>C4H10</w:t>
            </w:r>
            <w:r>
              <w:rPr>
                <w:rFonts w:hint="eastAsia" w:ascii="宋体" w:hAnsi="宋体" w:eastAsia="宋体"/>
                <w:color w:val="auto"/>
                <w:szCs w:val="21"/>
                <w:u w:val="none" w:color="auto"/>
              </w:rPr>
              <w:t>）和少量乙烷的混杂物液化后可用作民用燃料，即液化石油气（</w:t>
            </w:r>
            <w:r>
              <w:rPr>
                <w:rFonts w:hint="eastAsia" w:ascii="TimesNewRomanPSMT" w:hAnsi="TimesNewRomanPSMT" w:eastAsia="TimesNewRomanPSMT"/>
                <w:color w:val="auto"/>
                <w:szCs w:val="21"/>
                <w:u w:val="none" w:color="auto"/>
              </w:rPr>
              <w:t>LPG</w:t>
            </w:r>
            <w:r>
              <w:rPr>
                <w:rFonts w:hint="eastAsia" w:ascii="宋体" w:hAnsi="宋体" w:eastAsia="宋体"/>
                <w:color w:val="auto"/>
                <w:szCs w:val="21"/>
                <w:u w:val="none" w:color="auto"/>
              </w:rPr>
              <w:t>）。本品有单纯性窒息及麻醉作用。本品易燃，属微毒类，为纯真麻醉剂，对眼和皮肤无刺激，直接接触可致冻伤。</w:t>
            </w:r>
          </w:p>
        </w:tc>
      </w:tr>
      <w:tr w14:paraId="48E8B08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022B34A1">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7</w:t>
            </w:r>
          </w:p>
        </w:tc>
        <w:tc>
          <w:tcPr>
            <w:tcW w:w="1158" w:type="dxa"/>
            <w:vAlign w:val="center"/>
          </w:tcPr>
          <w:p w14:paraId="4EEC0D6B">
            <w:pPr>
              <w:snapToGrid w:val="0"/>
              <w:jc w:val="center"/>
              <w:rPr>
                <w:rFonts w:ascii="宋体" w:hAnsi="宋体" w:eastAsia="宋体"/>
                <w:color w:val="auto"/>
                <w:szCs w:val="21"/>
                <w:u w:val="none" w:color="auto"/>
              </w:rPr>
            </w:pPr>
            <w:r>
              <w:rPr>
                <w:rFonts w:hint="eastAsia" w:ascii="宋体" w:hAnsi="宋体" w:eastAsia="宋体"/>
                <w:color w:val="auto"/>
                <w:szCs w:val="21"/>
                <w:u w:val="none" w:color="auto"/>
              </w:rPr>
              <w:t>氧气</w:t>
            </w:r>
          </w:p>
        </w:tc>
        <w:tc>
          <w:tcPr>
            <w:tcW w:w="1196" w:type="dxa"/>
            <w:vAlign w:val="center"/>
          </w:tcPr>
          <w:p w14:paraId="30ED38EC">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7782-44-7</w:t>
            </w:r>
          </w:p>
        </w:tc>
        <w:tc>
          <w:tcPr>
            <w:tcW w:w="5500" w:type="dxa"/>
            <w:vAlign w:val="center"/>
          </w:tcPr>
          <w:p w14:paraId="622D3110">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分子式：</w:t>
            </w:r>
            <w:r>
              <w:rPr>
                <w:rFonts w:hint="eastAsia" w:ascii="TimesNewRomanPSMT" w:hAnsi="TimesNewRomanPSMT" w:eastAsia="TimesNewRomanPSMT"/>
                <w:color w:val="auto"/>
                <w:szCs w:val="21"/>
                <w:u w:val="none" w:color="auto"/>
              </w:rPr>
              <w:t>O2</w:t>
            </w:r>
            <w:r>
              <w:rPr>
                <w:rFonts w:hint="eastAsia" w:ascii="宋体" w:hAnsi="宋体" w:eastAsia="宋体"/>
                <w:color w:val="auto"/>
                <w:szCs w:val="21"/>
                <w:u w:val="none" w:color="auto"/>
              </w:rPr>
              <w:t>，分子量：</w:t>
            </w:r>
            <w:r>
              <w:rPr>
                <w:rFonts w:hint="eastAsia" w:ascii="TimesNewRomanPSMT" w:hAnsi="TimesNewRomanPSMT" w:eastAsia="TimesNewRomanPSMT"/>
                <w:color w:val="auto"/>
                <w:szCs w:val="21"/>
                <w:u w:val="none" w:color="auto"/>
              </w:rPr>
              <w:t>32</w:t>
            </w:r>
            <w:r>
              <w:rPr>
                <w:rFonts w:hint="eastAsia" w:ascii="宋体" w:hAnsi="宋体" w:eastAsia="宋体"/>
                <w:color w:val="auto"/>
                <w:szCs w:val="21"/>
                <w:u w:val="none" w:color="auto"/>
              </w:rPr>
              <w:t>，沸点：</w:t>
            </w:r>
            <w:r>
              <w:rPr>
                <w:rFonts w:hint="eastAsia" w:ascii="TimesNewRomanPSMT" w:hAnsi="TimesNewRomanPSMT" w:eastAsia="TimesNewRomanPSMT"/>
                <w:color w:val="auto"/>
                <w:szCs w:val="21"/>
                <w:u w:val="none" w:color="auto"/>
              </w:rPr>
              <w:t>-183</w:t>
            </w:r>
            <w:r>
              <w:rPr>
                <w:rFonts w:hint="eastAsia" w:ascii="宋体" w:hAnsi="宋体" w:eastAsia="宋体"/>
                <w:color w:val="auto"/>
                <w:szCs w:val="21"/>
                <w:u w:val="none" w:color="auto"/>
              </w:rPr>
              <w:t>，熔点：</w:t>
            </w:r>
            <w:r>
              <w:rPr>
                <w:rFonts w:hint="eastAsia" w:ascii="TimesNewRomanPSMT" w:hAnsi="TimesNewRomanPSMT" w:eastAsia="TimesNewRomanPSMT"/>
                <w:color w:val="auto"/>
                <w:szCs w:val="21"/>
                <w:u w:val="none" w:color="auto"/>
              </w:rPr>
              <w:t>-218.4</w:t>
            </w:r>
            <w:r>
              <w:rPr>
                <w:rFonts w:hint="eastAsia" w:ascii="宋体" w:hAnsi="宋体" w:eastAsia="宋体"/>
                <w:color w:val="auto"/>
                <w:szCs w:val="21"/>
                <w:u w:val="none" w:color="auto"/>
              </w:rPr>
              <w:t>，相对密度</w:t>
            </w:r>
            <w:r>
              <w:rPr>
                <w:rFonts w:hint="eastAsia" w:ascii="TimesNewRomanPSMT" w:hAnsi="TimesNewRomanPSMT" w:eastAsia="TimesNewRomanPSMT"/>
                <w:color w:val="auto"/>
                <w:szCs w:val="21"/>
                <w:u w:val="none" w:color="auto"/>
              </w:rPr>
              <w:t>(</w:t>
            </w:r>
            <w:r>
              <w:rPr>
                <w:rFonts w:hint="eastAsia" w:ascii="宋体" w:hAnsi="宋体" w:eastAsia="宋体"/>
                <w:color w:val="auto"/>
                <w:szCs w:val="21"/>
                <w:u w:val="none" w:color="auto"/>
              </w:rPr>
              <w:t>水</w:t>
            </w:r>
            <w:r>
              <w:rPr>
                <w:rFonts w:hint="eastAsia" w:ascii="TimesNewRomanPSMT" w:hAnsi="TimesNewRomanPSMT" w:eastAsia="TimesNewRomanPSMT"/>
                <w:color w:val="auto"/>
                <w:szCs w:val="21"/>
                <w:u w:val="none" w:color="auto"/>
              </w:rPr>
              <w:t>=1)</w:t>
            </w:r>
            <w:r>
              <w:rPr>
                <w:rFonts w:hint="eastAsia" w:ascii="宋体" w:hAnsi="宋体" w:eastAsia="宋体"/>
                <w:color w:val="auto"/>
                <w:szCs w:val="21"/>
                <w:u w:val="none" w:color="auto"/>
              </w:rPr>
              <w:t>：</w:t>
            </w:r>
            <w:r>
              <w:rPr>
                <w:rFonts w:hint="eastAsia" w:ascii="TimesNewRomanPSMT" w:hAnsi="TimesNewRomanPSMT" w:eastAsia="TimesNewRomanPSMT"/>
                <w:color w:val="auto"/>
                <w:szCs w:val="21"/>
                <w:u w:val="none" w:color="auto"/>
              </w:rPr>
              <w:t>1.14</w:t>
            </w:r>
            <w:r>
              <w:rPr>
                <w:rFonts w:hint="eastAsia" w:ascii="宋体" w:hAnsi="宋体" w:eastAsia="宋体"/>
                <w:color w:val="auto"/>
                <w:szCs w:val="21"/>
                <w:u w:val="none" w:color="auto"/>
              </w:rPr>
              <w:t>。无色无味气体，氧元素最常见的单质形态。熔点</w:t>
            </w:r>
            <w:r>
              <w:rPr>
                <w:rFonts w:hint="eastAsia" w:ascii="TimesNewRomanPSMT" w:hAnsi="TimesNewRomanPSMT" w:eastAsia="TimesNewRomanPSMT"/>
                <w:color w:val="auto"/>
                <w:szCs w:val="21"/>
                <w:u w:val="none" w:color="auto"/>
              </w:rPr>
              <w:t>-218.4</w:t>
            </w:r>
            <w:r>
              <w:rPr>
                <w:rFonts w:hint="eastAsia" w:ascii="宋体" w:hAnsi="宋体" w:eastAsia="宋体"/>
                <w:color w:val="auto"/>
                <w:szCs w:val="21"/>
                <w:u w:val="none" w:color="auto"/>
              </w:rPr>
              <w:t>℃，沸点</w:t>
            </w:r>
            <w:r>
              <w:rPr>
                <w:rFonts w:hint="eastAsia" w:ascii="TimesNewRomanPSMT" w:hAnsi="TimesNewRomanPSMT" w:eastAsia="TimesNewRomanPSMT"/>
                <w:color w:val="auto"/>
                <w:szCs w:val="21"/>
                <w:u w:val="none" w:color="auto"/>
              </w:rPr>
              <w:t>-183</w:t>
            </w:r>
            <w:r>
              <w:rPr>
                <w:rFonts w:hint="eastAsia" w:ascii="宋体" w:hAnsi="宋体" w:eastAsia="宋体"/>
                <w:color w:val="auto"/>
                <w:szCs w:val="21"/>
                <w:u w:val="none" w:color="auto"/>
              </w:rPr>
              <w:t>℃。不易溶于水，</w:t>
            </w:r>
            <w:r>
              <w:rPr>
                <w:rFonts w:hint="eastAsia" w:ascii="TimesNewRomanPSMT" w:hAnsi="TimesNewRomanPSMT" w:eastAsia="TimesNewRomanPSMT"/>
                <w:color w:val="auto"/>
                <w:szCs w:val="21"/>
                <w:u w:val="none" w:color="auto"/>
              </w:rPr>
              <w:t xml:space="preserve">1L </w:t>
            </w:r>
            <w:r>
              <w:rPr>
                <w:rFonts w:hint="eastAsia" w:ascii="宋体" w:hAnsi="宋体" w:eastAsia="宋体"/>
                <w:color w:val="auto"/>
                <w:szCs w:val="21"/>
                <w:u w:val="none" w:color="auto"/>
              </w:rPr>
              <w:t>水中溶解约</w:t>
            </w:r>
            <w:r>
              <w:rPr>
                <w:rFonts w:hint="eastAsia" w:ascii="TimesNewRomanPSMT" w:hAnsi="TimesNewRomanPSMT" w:eastAsia="TimesNewRomanPSMT"/>
                <w:color w:val="auto"/>
                <w:szCs w:val="21"/>
                <w:u w:val="none" w:color="auto"/>
              </w:rPr>
              <w:t xml:space="preserve">30mL </w:t>
            </w:r>
            <w:r>
              <w:rPr>
                <w:rFonts w:hint="eastAsia" w:ascii="宋体" w:hAnsi="宋体" w:eastAsia="宋体"/>
                <w:color w:val="auto"/>
                <w:szCs w:val="21"/>
                <w:u w:val="none" w:color="auto"/>
              </w:rPr>
              <w:t>氧气。在空气中氧气约占</w:t>
            </w:r>
            <w:r>
              <w:rPr>
                <w:rFonts w:hint="eastAsia" w:ascii="TimesNewRomanPSMT" w:hAnsi="TimesNewRomanPSMT" w:eastAsia="TimesNewRomanPSMT"/>
                <w:color w:val="auto"/>
                <w:szCs w:val="21"/>
                <w:u w:val="none" w:color="auto"/>
              </w:rPr>
              <w:t xml:space="preserve">21% </w:t>
            </w:r>
            <w:r>
              <w:rPr>
                <w:rFonts w:hint="eastAsia" w:ascii="宋体" w:hAnsi="宋体" w:eastAsia="宋体"/>
                <w:color w:val="auto"/>
                <w:szCs w:val="21"/>
                <w:u w:val="none" w:color="auto"/>
              </w:rPr>
              <w:t>。液氧为天蓝色。固氧为蓝色晶体。常温下不很活泼，与许多物质都不易作用。但在高温下则很活泼，能与多种元素直接化合，这与氧原子的电负性仅次于氟有关</w:t>
            </w:r>
          </w:p>
        </w:tc>
      </w:tr>
      <w:tr w14:paraId="37C09F9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3" w:hRule="atLeast"/>
        </w:trPr>
        <w:tc>
          <w:tcPr>
            <w:tcW w:w="665" w:type="dxa"/>
            <w:vAlign w:val="center"/>
          </w:tcPr>
          <w:p w14:paraId="208D9966">
            <w:pPr>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val="en-US" w:eastAsia="zh-CN"/>
              </w:rPr>
              <w:t>8</w:t>
            </w:r>
          </w:p>
        </w:tc>
        <w:tc>
          <w:tcPr>
            <w:tcW w:w="1158" w:type="dxa"/>
            <w:vAlign w:val="center"/>
          </w:tcPr>
          <w:p w14:paraId="646DE848">
            <w:pPr>
              <w:snapToGrid w:val="0"/>
              <w:jc w:val="center"/>
              <w:rPr>
                <w:rFonts w:ascii="宋体" w:hAnsi="宋体" w:eastAsia="宋体"/>
                <w:color w:val="auto"/>
                <w:szCs w:val="21"/>
                <w:u w:val="none" w:color="auto"/>
              </w:rPr>
            </w:pPr>
            <w:r>
              <w:rPr>
                <w:rFonts w:hint="eastAsia" w:ascii="宋体" w:hAnsi="宋体" w:eastAsia="宋体"/>
                <w:color w:val="auto"/>
                <w:szCs w:val="21"/>
                <w:u w:val="none" w:color="auto"/>
              </w:rPr>
              <w:t>二氧化碳</w:t>
            </w:r>
          </w:p>
        </w:tc>
        <w:tc>
          <w:tcPr>
            <w:tcW w:w="1196" w:type="dxa"/>
            <w:vAlign w:val="center"/>
          </w:tcPr>
          <w:p w14:paraId="4E1D6CB1">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124-38-9</w:t>
            </w:r>
          </w:p>
        </w:tc>
        <w:tc>
          <w:tcPr>
            <w:tcW w:w="5500" w:type="dxa"/>
            <w:vAlign w:val="center"/>
          </w:tcPr>
          <w:p w14:paraId="58BF47EA">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化学式为</w:t>
            </w:r>
            <w:r>
              <w:rPr>
                <w:rFonts w:hint="eastAsia" w:ascii="TimesNewRomanPSMT" w:hAnsi="TimesNewRomanPSMT" w:eastAsia="TimesNewRomanPSMT"/>
                <w:color w:val="auto"/>
                <w:szCs w:val="21"/>
                <w:u w:val="none" w:color="auto"/>
              </w:rPr>
              <w:t>CO2</w:t>
            </w:r>
            <w:r>
              <w:rPr>
                <w:rFonts w:hint="eastAsia" w:ascii="宋体" w:hAnsi="宋体" w:eastAsia="宋体"/>
                <w:color w:val="auto"/>
                <w:szCs w:val="21"/>
                <w:u w:val="none" w:color="auto"/>
              </w:rPr>
              <w:t>，化学式量为</w:t>
            </w:r>
            <w:r>
              <w:rPr>
                <w:rFonts w:hint="eastAsia" w:ascii="TimesNewRomanPSMT" w:hAnsi="TimesNewRomanPSMT" w:eastAsia="TimesNewRomanPSMT"/>
                <w:color w:val="auto"/>
                <w:szCs w:val="21"/>
                <w:u w:val="none" w:color="auto"/>
              </w:rPr>
              <w:t xml:space="preserve">44.0095 </w:t>
            </w:r>
            <w:r>
              <w:rPr>
                <w:rFonts w:hint="eastAsia" w:ascii="宋体" w:hAnsi="宋体" w:eastAsia="宋体"/>
                <w:color w:val="auto"/>
                <w:szCs w:val="21"/>
                <w:u w:val="none" w:color="auto"/>
              </w:rPr>
              <w:t>，常温常压下是一种无色无味或无色</w:t>
            </w:r>
          </w:p>
          <w:p w14:paraId="183482CF">
            <w:pPr>
              <w:snapToGrid w:val="0"/>
              <w:jc w:val="left"/>
              <w:rPr>
                <w:rFonts w:ascii="宋体" w:hAnsi="宋体" w:eastAsia="宋体"/>
                <w:color w:val="auto"/>
                <w:szCs w:val="21"/>
                <w:u w:val="none" w:color="auto"/>
              </w:rPr>
            </w:pPr>
            <w:r>
              <w:rPr>
                <w:rFonts w:hint="eastAsia" w:ascii="宋体" w:hAnsi="宋体" w:eastAsia="宋体"/>
                <w:color w:val="auto"/>
                <w:szCs w:val="21"/>
                <w:u w:val="none" w:color="auto"/>
              </w:rPr>
              <w:t>无嗅（嗅不出味道）而略有酸味的气体，也是一种常见的温室气体，还是空气的组分之一（占大气总体积的</w:t>
            </w:r>
            <w:r>
              <w:rPr>
                <w:rFonts w:hint="eastAsia" w:ascii="TimesNewRomanPSMT" w:hAnsi="TimesNewRomanPSMT" w:eastAsia="TimesNewRomanPSMT"/>
                <w:color w:val="auto"/>
                <w:szCs w:val="21"/>
                <w:u w:val="none" w:color="auto"/>
              </w:rPr>
              <w:t>0.03%-0.04%</w:t>
            </w:r>
            <w:r>
              <w:rPr>
                <w:rFonts w:hint="eastAsia" w:ascii="宋体" w:hAnsi="宋体" w:eastAsia="宋体"/>
                <w:color w:val="auto"/>
                <w:szCs w:val="21"/>
                <w:u w:val="none" w:color="auto"/>
              </w:rPr>
              <w:t>）。在物理性质方面，二氧化碳的熔点为</w:t>
            </w:r>
            <w:r>
              <w:rPr>
                <w:rFonts w:hint="eastAsia" w:ascii="TimesNewRomanPSMT" w:hAnsi="TimesNewRomanPSMT" w:eastAsia="TimesNewRomanPSMT"/>
                <w:color w:val="auto"/>
                <w:szCs w:val="21"/>
                <w:u w:val="none" w:color="auto"/>
              </w:rPr>
              <w:t>-78.5</w:t>
            </w:r>
            <w:r>
              <w:rPr>
                <w:rFonts w:hint="eastAsia" w:ascii="宋体" w:hAnsi="宋体" w:eastAsia="宋体"/>
                <w:color w:val="auto"/>
                <w:szCs w:val="21"/>
                <w:u w:val="none" w:color="auto"/>
              </w:rPr>
              <w:t>℃，沸点为</w:t>
            </w:r>
            <w:r>
              <w:rPr>
                <w:rFonts w:hint="eastAsia" w:ascii="TimesNewRomanPSMT" w:hAnsi="TimesNewRomanPSMT" w:eastAsia="TimesNewRomanPSMT"/>
                <w:color w:val="auto"/>
                <w:szCs w:val="21"/>
                <w:u w:val="none" w:color="auto"/>
              </w:rPr>
              <w:t>-56.6</w:t>
            </w:r>
            <w:r>
              <w:rPr>
                <w:rFonts w:hint="eastAsia" w:ascii="宋体" w:hAnsi="宋体" w:eastAsia="宋体"/>
                <w:color w:val="auto"/>
                <w:szCs w:val="21"/>
                <w:u w:val="none" w:color="auto"/>
              </w:rPr>
              <w:t>℃，密度比空气密度大（标准条件下），溶于水。在化学性质方面，二氧化碳化学性质不活泼，热稳定性很高（</w:t>
            </w:r>
            <w:r>
              <w:rPr>
                <w:rFonts w:hint="eastAsia" w:ascii="TimesNewRomanPSMT" w:hAnsi="TimesNewRomanPSMT" w:eastAsia="TimesNewRomanPSMT"/>
                <w:color w:val="auto"/>
                <w:szCs w:val="21"/>
                <w:u w:val="none" w:color="auto"/>
              </w:rPr>
              <w:t>2000</w:t>
            </w:r>
            <w:r>
              <w:rPr>
                <w:rFonts w:hint="eastAsia" w:ascii="宋体" w:hAnsi="宋体" w:eastAsia="宋体"/>
                <w:color w:val="auto"/>
                <w:szCs w:val="21"/>
                <w:u w:val="none" w:color="auto"/>
              </w:rPr>
              <w:t>℃时仅有</w:t>
            </w:r>
            <w:r>
              <w:rPr>
                <w:rFonts w:hint="eastAsia" w:ascii="TimesNewRomanPSMT" w:hAnsi="TimesNewRomanPSMT" w:eastAsia="TimesNewRomanPSMT"/>
                <w:color w:val="auto"/>
                <w:szCs w:val="21"/>
                <w:u w:val="none" w:color="auto"/>
              </w:rPr>
              <w:t>1.8%</w:t>
            </w:r>
            <w:r>
              <w:rPr>
                <w:rFonts w:hint="eastAsia" w:ascii="宋体" w:hAnsi="宋体" w:eastAsia="宋体"/>
                <w:color w:val="auto"/>
                <w:szCs w:val="21"/>
                <w:u w:val="none" w:color="auto"/>
              </w:rPr>
              <w:t>分解），不能燃烧，通常也不支持燃烧，属于酸性氧化物，具有酸性氧化物通性，因与水反应生成碳酸，所以是碳酸的酸酐</w:t>
            </w:r>
          </w:p>
        </w:tc>
      </w:tr>
    </w:tbl>
    <w:p w14:paraId="49ECC45B">
      <w:pPr>
        <w:autoSpaceDE w:val="0"/>
        <w:autoSpaceDN w:val="0"/>
        <w:snapToGrid w:val="0"/>
        <w:spacing w:line="360" w:lineRule="auto"/>
        <w:ind w:firstLine="482" w:firstLineChars="200"/>
        <w:rPr>
          <w:rFonts w:ascii="Times New Roman" w:hAnsi="Times New Roman" w:eastAsia="宋体" w:cs="Times New Roman"/>
          <w:b/>
          <w:bCs/>
          <w:color w:val="auto"/>
          <w:kern w:val="0"/>
          <w:sz w:val="24"/>
          <w:szCs w:val="24"/>
          <w:u w:val="none" w:color="auto"/>
        </w:rPr>
      </w:pPr>
      <w:r>
        <w:rPr>
          <w:rFonts w:hint="eastAsia" w:ascii="Times New Roman" w:hAnsi="Times New Roman" w:eastAsia="宋体" w:cs="Times New Roman"/>
          <w:b/>
          <w:bCs/>
          <w:color w:val="auto"/>
          <w:kern w:val="0"/>
          <w:sz w:val="24"/>
          <w:szCs w:val="24"/>
          <w:u w:val="none" w:color="auto"/>
          <w:lang w:val="en-US" w:eastAsia="zh-CN"/>
        </w:rPr>
        <w:t>5</w:t>
      </w:r>
      <w:r>
        <w:rPr>
          <w:rFonts w:hint="eastAsia" w:ascii="Times New Roman" w:hAnsi="Times New Roman" w:eastAsia="宋体" w:cs="Times New Roman"/>
          <w:b/>
          <w:bCs/>
          <w:color w:val="auto"/>
          <w:kern w:val="0"/>
          <w:sz w:val="24"/>
          <w:szCs w:val="24"/>
          <w:u w:val="none" w:color="auto"/>
        </w:rPr>
        <w:t>、能源消耗情况</w:t>
      </w:r>
    </w:p>
    <w:p w14:paraId="31EA050C">
      <w:pPr>
        <w:snapToGrid w:val="0"/>
        <w:spacing w:line="360" w:lineRule="auto"/>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w:t>
      </w:r>
      <w:r>
        <w:rPr>
          <w:rFonts w:hint="eastAsia" w:ascii="Times New Roman" w:hAnsi="Times New Roman" w:eastAsia="宋体" w:cs="Times New Roman"/>
          <w:color w:val="auto"/>
          <w:sz w:val="24"/>
          <w:szCs w:val="24"/>
          <w:u w:val="single" w:color="auto"/>
          <w:lang w:val="en-US" w:eastAsia="zh-CN"/>
        </w:rPr>
        <w:t>生产设备使用电源，催化燃烧设备使用电源，</w:t>
      </w:r>
      <w:r>
        <w:rPr>
          <w:rFonts w:ascii="Times New Roman" w:hAnsi="Times New Roman" w:eastAsia="宋体" w:cs="Times New Roman"/>
          <w:color w:val="auto"/>
          <w:sz w:val="24"/>
          <w:szCs w:val="24"/>
          <w:u w:val="single" w:color="auto"/>
        </w:rPr>
        <w:t>能源消耗见表</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1</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10</w:t>
      </w:r>
      <w:r>
        <w:rPr>
          <w:rFonts w:ascii="Times New Roman" w:hAnsi="Times New Roman" w:eastAsia="宋体" w:cs="Times New Roman"/>
          <w:color w:val="auto"/>
          <w:sz w:val="24"/>
          <w:szCs w:val="24"/>
          <w:u w:val="single" w:color="auto"/>
        </w:rPr>
        <w:t>。</w:t>
      </w:r>
    </w:p>
    <w:p w14:paraId="7850D793">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10</w:t>
      </w:r>
      <w:r>
        <w:rPr>
          <w:rFonts w:hint="eastAsia" w:ascii="Times New Roman" w:hAnsi="Times New Roman" w:eastAsia="宋体" w:cs="Times New Roman"/>
          <w:b/>
          <w:bCs/>
          <w:color w:val="auto"/>
          <w:sz w:val="24"/>
          <w:szCs w:val="24"/>
          <w:u w:val="none" w:color="auto"/>
        </w:rPr>
        <w:t>能源消耗一览表</w:t>
      </w:r>
    </w:p>
    <w:tbl>
      <w:tblPr>
        <w:tblStyle w:val="37"/>
        <w:tblW w:w="8522"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042"/>
        <w:gridCol w:w="3096"/>
        <w:gridCol w:w="4384"/>
      </w:tblGrid>
      <w:tr w14:paraId="53483C9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0" w:hRule="atLeast"/>
        </w:trPr>
        <w:tc>
          <w:tcPr>
            <w:tcW w:w="1042" w:type="dxa"/>
            <w:vAlign w:val="center"/>
          </w:tcPr>
          <w:p w14:paraId="29BF453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名称</w:t>
            </w:r>
          </w:p>
        </w:tc>
        <w:tc>
          <w:tcPr>
            <w:tcW w:w="3096" w:type="dxa"/>
            <w:vAlign w:val="center"/>
          </w:tcPr>
          <w:p w14:paraId="438C770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消耗量</w:t>
            </w:r>
          </w:p>
        </w:tc>
        <w:tc>
          <w:tcPr>
            <w:tcW w:w="4384" w:type="dxa"/>
            <w:vAlign w:val="center"/>
          </w:tcPr>
          <w:p w14:paraId="37EF1B0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来源</w:t>
            </w:r>
          </w:p>
        </w:tc>
      </w:tr>
      <w:tr w14:paraId="6D398B0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0" w:hRule="atLeast"/>
        </w:trPr>
        <w:tc>
          <w:tcPr>
            <w:tcW w:w="1042" w:type="dxa"/>
            <w:vAlign w:val="center"/>
          </w:tcPr>
          <w:p w14:paraId="59ABAA1C">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水</w:t>
            </w:r>
          </w:p>
        </w:tc>
        <w:tc>
          <w:tcPr>
            <w:tcW w:w="3096" w:type="dxa"/>
            <w:vAlign w:val="center"/>
          </w:tcPr>
          <w:p w14:paraId="6812308B">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10890</w:t>
            </w:r>
            <w:r>
              <w:rPr>
                <w:rFonts w:ascii="Times New Roman" w:hAnsi="Times New Roman" w:eastAsia="宋体" w:cs="Times New Roman"/>
                <w:color w:val="auto"/>
                <w:szCs w:val="21"/>
                <w:u w:val="none" w:color="auto"/>
              </w:rPr>
              <w:t>m</w:t>
            </w:r>
            <w:r>
              <w:rPr>
                <w:rFonts w:ascii="Times New Roman" w:hAnsi="Times New Roman" w:eastAsia="宋体" w:cs="Times New Roman"/>
                <w:color w:val="auto"/>
                <w:szCs w:val="21"/>
                <w:u w:val="none" w:color="auto"/>
                <w:vertAlign w:val="superscript"/>
              </w:rPr>
              <w:t>3</w:t>
            </w:r>
            <w:r>
              <w:rPr>
                <w:rFonts w:ascii="Times New Roman" w:hAnsi="Times New Roman" w:eastAsia="宋体" w:cs="Times New Roman"/>
                <w:color w:val="auto"/>
                <w:szCs w:val="21"/>
                <w:u w:val="none" w:color="auto"/>
              </w:rPr>
              <w:t>/a</w:t>
            </w:r>
          </w:p>
        </w:tc>
        <w:tc>
          <w:tcPr>
            <w:tcW w:w="4384" w:type="dxa"/>
            <w:vAlign w:val="center"/>
          </w:tcPr>
          <w:p w14:paraId="31B1186D">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园区供水管网</w:t>
            </w:r>
          </w:p>
        </w:tc>
      </w:tr>
      <w:tr w14:paraId="6CFEFB5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0" w:hRule="atLeast"/>
        </w:trPr>
        <w:tc>
          <w:tcPr>
            <w:tcW w:w="1042" w:type="dxa"/>
            <w:vAlign w:val="center"/>
          </w:tcPr>
          <w:p w14:paraId="2B9620E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电</w:t>
            </w:r>
          </w:p>
        </w:tc>
        <w:tc>
          <w:tcPr>
            <w:tcW w:w="3096" w:type="dxa"/>
            <w:vAlign w:val="center"/>
          </w:tcPr>
          <w:p w14:paraId="4658C29F">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35</w:t>
            </w:r>
            <w:r>
              <w:rPr>
                <w:rFonts w:ascii="Times New Roman" w:hAnsi="Times New Roman" w:eastAsia="宋体" w:cs="Times New Roman"/>
                <w:color w:val="auto"/>
                <w:szCs w:val="21"/>
                <w:u w:val="none" w:color="auto"/>
              </w:rPr>
              <w:t>万kw·h/a</w:t>
            </w:r>
          </w:p>
        </w:tc>
        <w:tc>
          <w:tcPr>
            <w:tcW w:w="4384" w:type="dxa"/>
            <w:vAlign w:val="center"/>
          </w:tcPr>
          <w:p w14:paraId="052D1654">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园区供电网</w:t>
            </w:r>
          </w:p>
        </w:tc>
      </w:tr>
    </w:tbl>
    <w:p w14:paraId="6624774C">
      <w:pPr>
        <w:keepNext w:val="0"/>
        <w:keepLines w:val="0"/>
        <w:pageBreakBefore w:val="0"/>
        <w:widowControl w:val="0"/>
        <w:kinsoku/>
        <w:wordWrap/>
        <w:overflowPunct/>
        <w:topLinePunct w:val="0"/>
        <w:autoSpaceDE w:val="0"/>
        <w:autoSpaceDN w:val="0"/>
        <w:bidi w:val="0"/>
        <w:adjustRightInd/>
        <w:snapToGrid/>
        <w:spacing w:line="360" w:lineRule="auto"/>
        <w:jc w:val="left"/>
        <w:textAlignment w:val="auto"/>
        <w:outlineLvl w:val="2"/>
        <w:rPr>
          <w:rFonts w:ascii="Times New Roman" w:hAnsi="Times New Roman" w:eastAsia="宋体" w:cs="Times New Roman"/>
          <w:b/>
          <w:color w:val="auto"/>
          <w:kern w:val="0"/>
          <w:sz w:val="28"/>
          <w:szCs w:val="20"/>
          <w:u w:val="none" w:color="auto"/>
        </w:rPr>
      </w:pPr>
      <w:bookmarkStart w:id="140" w:name="_Toc3728167"/>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6</w:t>
      </w:r>
      <w:r>
        <w:rPr>
          <w:rFonts w:ascii="Times New Roman" w:hAnsi="Times New Roman" w:eastAsia="宋体" w:cs="Times New Roman"/>
          <w:b/>
          <w:color w:val="auto"/>
          <w:kern w:val="0"/>
          <w:sz w:val="28"/>
          <w:szCs w:val="20"/>
          <w:u w:val="none" w:color="auto"/>
        </w:rPr>
        <w:t>主要生产设备</w:t>
      </w:r>
      <w:bookmarkEnd w:id="140"/>
    </w:p>
    <w:p w14:paraId="5FE787AA">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本项目主要生产设备详见表</w:t>
      </w:r>
      <w:r>
        <w:rPr>
          <w:rFonts w:hint="eastAsia" w:ascii="Times New Roman" w:hAnsi="Times New Roman" w:eastAsia="宋体" w:cs="Times New Roman"/>
          <w:color w:val="auto"/>
          <w:kern w:val="0"/>
          <w:sz w:val="24"/>
          <w:szCs w:val="24"/>
          <w:u w:val="none" w:color="auto"/>
        </w:rPr>
        <w:t>2</w:t>
      </w:r>
      <w:r>
        <w:rPr>
          <w:rFonts w:ascii="Times New Roman" w:hAnsi="Times New Roman" w:eastAsia="宋体" w:cs="Times New Roman"/>
          <w:color w:val="auto"/>
          <w:kern w:val="0"/>
          <w:sz w:val="24"/>
          <w:szCs w:val="24"/>
          <w:u w:val="none" w:color="auto"/>
        </w:rPr>
        <w:t>.1-</w:t>
      </w:r>
      <w:r>
        <w:rPr>
          <w:rFonts w:hint="eastAsia" w:ascii="Times New Roman" w:hAnsi="Times New Roman" w:eastAsia="宋体" w:cs="Times New Roman"/>
          <w:color w:val="auto"/>
          <w:kern w:val="0"/>
          <w:sz w:val="24"/>
          <w:szCs w:val="24"/>
          <w:u w:val="none" w:color="auto"/>
          <w:lang w:val="en-US" w:eastAsia="zh-CN"/>
        </w:rPr>
        <w:t>11</w:t>
      </w:r>
      <w:r>
        <w:rPr>
          <w:rFonts w:ascii="Times New Roman" w:hAnsi="Times New Roman" w:eastAsia="宋体" w:cs="Times New Roman"/>
          <w:color w:val="auto"/>
          <w:kern w:val="0"/>
          <w:sz w:val="24"/>
          <w:szCs w:val="24"/>
          <w:u w:val="none" w:color="auto"/>
        </w:rPr>
        <w:t>。</w:t>
      </w:r>
    </w:p>
    <w:p w14:paraId="02857EC6">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表2.1-</w:t>
      </w:r>
      <w:r>
        <w:rPr>
          <w:rFonts w:hint="eastAsia" w:ascii="Times New Roman" w:hAnsi="Times New Roman" w:eastAsia="宋体" w:cs="Times New Roman"/>
          <w:b/>
          <w:bCs/>
          <w:color w:val="auto"/>
          <w:sz w:val="24"/>
          <w:szCs w:val="24"/>
          <w:u w:val="none" w:color="auto"/>
          <w:lang w:val="en-US" w:eastAsia="zh-CN"/>
        </w:rPr>
        <w:t>11</w:t>
      </w:r>
      <w:r>
        <w:rPr>
          <w:rFonts w:hint="eastAsia" w:ascii="Times New Roman" w:hAnsi="Times New Roman" w:eastAsia="宋体" w:cs="Times New Roman"/>
          <w:b/>
          <w:bCs/>
          <w:color w:val="auto"/>
          <w:sz w:val="24"/>
          <w:szCs w:val="24"/>
          <w:u w:val="none" w:color="auto"/>
        </w:rPr>
        <w:t xml:space="preserve"> 本项目主要生产设备一览表</w:t>
      </w:r>
    </w:p>
    <w:tbl>
      <w:tblPr>
        <w:tblStyle w:val="37"/>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2445"/>
        <w:gridCol w:w="1710"/>
        <w:gridCol w:w="678"/>
        <w:gridCol w:w="1366"/>
        <w:gridCol w:w="1765"/>
      </w:tblGrid>
      <w:tr w14:paraId="44C64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exact"/>
          <w:jc w:val="center"/>
        </w:trPr>
        <w:tc>
          <w:tcPr>
            <w:tcW w:w="556" w:type="dxa"/>
            <w:vAlign w:val="center"/>
          </w:tcPr>
          <w:p w14:paraId="1DF04B8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序号</w:t>
            </w:r>
          </w:p>
        </w:tc>
        <w:tc>
          <w:tcPr>
            <w:tcW w:w="2445" w:type="dxa"/>
            <w:vAlign w:val="center"/>
          </w:tcPr>
          <w:p w14:paraId="57F7D88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设备名称</w:t>
            </w:r>
          </w:p>
        </w:tc>
        <w:tc>
          <w:tcPr>
            <w:tcW w:w="1710" w:type="dxa"/>
            <w:vAlign w:val="center"/>
          </w:tcPr>
          <w:p w14:paraId="06AFE7A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型号</w:t>
            </w:r>
          </w:p>
        </w:tc>
        <w:tc>
          <w:tcPr>
            <w:tcW w:w="678" w:type="dxa"/>
            <w:vAlign w:val="center"/>
          </w:tcPr>
          <w:p w14:paraId="3E4282F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数量</w:t>
            </w:r>
          </w:p>
        </w:tc>
        <w:tc>
          <w:tcPr>
            <w:tcW w:w="1366" w:type="dxa"/>
            <w:vAlign w:val="center"/>
          </w:tcPr>
          <w:p w14:paraId="3DCBC88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生产厂家</w:t>
            </w:r>
          </w:p>
        </w:tc>
        <w:tc>
          <w:tcPr>
            <w:tcW w:w="1765" w:type="dxa"/>
            <w:vAlign w:val="center"/>
          </w:tcPr>
          <w:p w14:paraId="114E706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备注</w:t>
            </w:r>
          </w:p>
        </w:tc>
      </w:tr>
      <w:tr w14:paraId="61719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exact"/>
          <w:jc w:val="center"/>
        </w:trPr>
        <w:tc>
          <w:tcPr>
            <w:tcW w:w="556" w:type="dxa"/>
            <w:vAlign w:val="center"/>
          </w:tcPr>
          <w:p w14:paraId="4111BA25">
            <w:pPr>
              <w:snapToGrid w:val="0"/>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一</w:t>
            </w:r>
          </w:p>
        </w:tc>
        <w:tc>
          <w:tcPr>
            <w:tcW w:w="7964" w:type="dxa"/>
            <w:gridSpan w:val="5"/>
            <w:vAlign w:val="center"/>
          </w:tcPr>
          <w:p w14:paraId="42F18346">
            <w:pPr>
              <w:snapToGrid w:val="0"/>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bCs/>
                <w:color w:val="auto"/>
                <w:sz w:val="21"/>
                <w:szCs w:val="21"/>
                <w:u w:val="single" w:color="auto"/>
              </w:rPr>
              <w:t>装焊车间</w:t>
            </w:r>
          </w:p>
        </w:tc>
      </w:tr>
      <w:tr w14:paraId="280FF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94EC61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2445" w:type="dxa"/>
            <w:vAlign w:val="center"/>
          </w:tcPr>
          <w:p w14:paraId="5AAA756D">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多头条直切割机</w:t>
            </w:r>
          </w:p>
        </w:tc>
        <w:tc>
          <w:tcPr>
            <w:tcW w:w="1710" w:type="dxa"/>
            <w:vAlign w:val="center"/>
          </w:tcPr>
          <w:p w14:paraId="42F2F1D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GZ-4000</w:t>
            </w:r>
          </w:p>
        </w:tc>
        <w:tc>
          <w:tcPr>
            <w:tcW w:w="678" w:type="dxa"/>
            <w:vAlign w:val="center"/>
          </w:tcPr>
          <w:p w14:paraId="35C397F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1402473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4CE77D5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钢板切割</w:t>
            </w:r>
          </w:p>
        </w:tc>
      </w:tr>
      <w:tr w14:paraId="10E0E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85F03E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2445" w:type="dxa"/>
            <w:vAlign w:val="center"/>
          </w:tcPr>
          <w:p w14:paraId="55135818">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数控直条切割机</w:t>
            </w:r>
          </w:p>
        </w:tc>
        <w:tc>
          <w:tcPr>
            <w:tcW w:w="1710" w:type="dxa"/>
            <w:vAlign w:val="center"/>
          </w:tcPr>
          <w:p w14:paraId="7AC6255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GS/Z-4000</w:t>
            </w:r>
          </w:p>
        </w:tc>
        <w:tc>
          <w:tcPr>
            <w:tcW w:w="678" w:type="dxa"/>
            <w:vAlign w:val="center"/>
          </w:tcPr>
          <w:p w14:paraId="523976D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1366" w:type="dxa"/>
            <w:vAlign w:val="center"/>
          </w:tcPr>
          <w:p w14:paraId="475A244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5618581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钢板切割</w:t>
            </w:r>
          </w:p>
        </w:tc>
      </w:tr>
      <w:tr w14:paraId="08F59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E8BBCC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w:t>
            </w:r>
          </w:p>
        </w:tc>
        <w:tc>
          <w:tcPr>
            <w:tcW w:w="2445" w:type="dxa"/>
            <w:vAlign w:val="center"/>
          </w:tcPr>
          <w:p w14:paraId="5BD3E854">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数控直条切割机</w:t>
            </w:r>
          </w:p>
        </w:tc>
        <w:tc>
          <w:tcPr>
            <w:tcW w:w="1710" w:type="dxa"/>
            <w:vAlign w:val="center"/>
          </w:tcPr>
          <w:p w14:paraId="43F62E7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GS/Z-5000</w:t>
            </w:r>
          </w:p>
        </w:tc>
        <w:tc>
          <w:tcPr>
            <w:tcW w:w="678" w:type="dxa"/>
            <w:vAlign w:val="center"/>
          </w:tcPr>
          <w:p w14:paraId="21F68C8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4C141162">
            <w:pPr>
              <w:snapToGrid w:val="0"/>
              <w:spacing w:before="156" w:beforeLines="5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4956965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钢板切割</w:t>
            </w:r>
          </w:p>
        </w:tc>
      </w:tr>
      <w:tr w14:paraId="6DAB5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AE1C86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2445" w:type="dxa"/>
            <w:vAlign w:val="center"/>
          </w:tcPr>
          <w:p w14:paraId="150382EB">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数控直条切割机</w:t>
            </w:r>
          </w:p>
        </w:tc>
        <w:tc>
          <w:tcPr>
            <w:tcW w:w="1710" w:type="dxa"/>
            <w:vAlign w:val="center"/>
          </w:tcPr>
          <w:p w14:paraId="2D4E913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GS/ZII-7000</w:t>
            </w:r>
          </w:p>
        </w:tc>
        <w:tc>
          <w:tcPr>
            <w:tcW w:w="678" w:type="dxa"/>
            <w:vAlign w:val="center"/>
          </w:tcPr>
          <w:p w14:paraId="1E11105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2E84423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2B5F253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钢板切割</w:t>
            </w:r>
          </w:p>
        </w:tc>
      </w:tr>
      <w:tr w14:paraId="4D7C8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8BFAE1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w:t>
            </w:r>
          </w:p>
        </w:tc>
        <w:tc>
          <w:tcPr>
            <w:tcW w:w="2445" w:type="dxa"/>
            <w:vAlign w:val="center"/>
          </w:tcPr>
          <w:p w14:paraId="1F45211A">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数控等离子门式切割机</w:t>
            </w:r>
          </w:p>
        </w:tc>
        <w:tc>
          <w:tcPr>
            <w:tcW w:w="1710" w:type="dxa"/>
            <w:vAlign w:val="center"/>
          </w:tcPr>
          <w:p w14:paraId="4ACACFE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CNC SG-5000</w:t>
            </w:r>
          </w:p>
        </w:tc>
        <w:tc>
          <w:tcPr>
            <w:tcW w:w="678" w:type="dxa"/>
            <w:vAlign w:val="center"/>
          </w:tcPr>
          <w:p w14:paraId="1BB5E28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04E2E86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上海通用</w:t>
            </w:r>
          </w:p>
        </w:tc>
        <w:tc>
          <w:tcPr>
            <w:tcW w:w="1765" w:type="dxa"/>
            <w:vAlign w:val="center"/>
          </w:tcPr>
          <w:p w14:paraId="7310F65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钢板切割</w:t>
            </w:r>
          </w:p>
        </w:tc>
      </w:tr>
      <w:tr w14:paraId="178F2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E80CE9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2445" w:type="dxa"/>
            <w:vAlign w:val="center"/>
          </w:tcPr>
          <w:p w14:paraId="3372D7E8">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数控等离子相贯线切割机</w:t>
            </w:r>
          </w:p>
        </w:tc>
        <w:tc>
          <w:tcPr>
            <w:tcW w:w="1710" w:type="dxa"/>
            <w:vAlign w:val="center"/>
          </w:tcPr>
          <w:p w14:paraId="00B4D37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LMGQ/P-A630</w:t>
            </w:r>
          </w:p>
        </w:tc>
        <w:tc>
          <w:tcPr>
            <w:tcW w:w="678" w:type="dxa"/>
            <w:vAlign w:val="center"/>
          </w:tcPr>
          <w:p w14:paraId="366C713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5C6CA46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林克曼</w:t>
            </w:r>
          </w:p>
        </w:tc>
        <w:tc>
          <w:tcPr>
            <w:tcW w:w="1765" w:type="dxa"/>
            <w:vAlign w:val="center"/>
          </w:tcPr>
          <w:p w14:paraId="7AB7B70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相贯线切割</w:t>
            </w:r>
          </w:p>
        </w:tc>
      </w:tr>
      <w:tr w14:paraId="0F8B0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CC3414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7</w:t>
            </w:r>
          </w:p>
        </w:tc>
        <w:tc>
          <w:tcPr>
            <w:tcW w:w="2445" w:type="dxa"/>
            <w:vAlign w:val="center"/>
          </w:tcPr>
          <w:p w14:paraId="41ED679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锯床</w:t>
            </w:r>
          </w:p>
        </w:tc>
        <w:tc>
          <w:tcPr>
            <w:tcW w:w="1710" w:type="dxa"/>
            <w:vAlign w:val="center"/>
          </w:tcPr>
          <w:p w14:paraId="4B0BECB1">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47432D6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2CD4605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浙江晨龙</w:t>
            </w:r>
          </w:p>
        </w:tc>
        <w:tc>
          <w:tcPr>
            <w:tcW w:w="1765" w:type="dxa"/>
            <w:vAlign w:val="center"/>
          </w:tcPr>
          <w:p w14:paraId="0D482D7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型材切割</w:t>
            </w:r>
          </w:p>
        </w:tc>
      </w:tr>
      <w:tr w14:paraId="54D7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0A8633F">
            <w:pPr>
              <w:snapToGrid w:val="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8</w:t>
            </w:r>
          </w:p>
        </w:tc>
        <w:tc>
          <w:tcPr>
            <w:tcW w:w="2445" w:type="dxa"/>
            <w:vAlign w:val="center"/>
          </w:tcPr>
          <w:p w14:paraId="026529C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H型钢自动组立机</w:t>
            </w:r>
          </w:p>
        </w:tc>
        <w:tc>
          <w:tcPr>
            <w:tcW w:w="1710" w:type="dxa"/>
            <w:vAlign w:val="center"/>
          </w:tcPr>
          <w:p w14:paraId="63536EB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HZJ-2500</w:t>
            </w:r>
          </w:p>
        </w:tc>
        <w:tc>
          <w:tcPr>
            <w:tcW w:w="678" w:type="dxa"/>
            <w:vAlign w:val="center"/>
          </w:tcPr>
          <w:p w14:paraId="17A3F69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347C430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无锡洲翔</w:t>
            </w:r>
          </w:p>
        </w:tc>
        <w:tc>
          <w:tcPr>
            <w:tcW w:w="1765" w:type="dxa"/>
            <w:vAlign w:val="center"/>
          </w:tcPr>
          <w:p w14:paraId="058A2E3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H型钢翼、腹板组立</w:t>
            </w:r>
          </w:p>
        </w:tc>
      </w:tr>
      <w:tr w14:paraId="64F83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D24E626">
            <w:pPr>
              <w:snapToGrid w:val="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9</w:t>
            </w:r>
          </w:p>
        </w:tc>
        <w:tc>
          <w:tcPr>
            <w:tcW w:w="2445" w:type="dxa"/>
            <w:vAlign w:val="center"/>
          </w:tcPr>
          <w:p w14:paraId="05698DF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H型翼缘矫正机</w:t>
            </w:r>
          </w:p>
        </w:tc>
        <w:tc>
          <w:tcPr>
            <w:tcW w:w="1710" w:type="dxa"/>
            <w:vAlign w:val="center"/>
          </w:tcPr>
          <w:p w14:paraId="26CC46B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YJ-60B</w:t>
            </w:r>
          </w:p>
        </w:tc>
        <w:tc>
          <w:tcPr>
            <w:tcW w:w="678" w:type="dxa"/>
            <w:vAlign w:val="center"/>
          </w:tcPr>
          <w:p w14:paraId="5340855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2BD9BB2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无锡洲翔</w:t>
            </w:r>
          </w:p>
        </w:tc>
        <w:tc>
          <w:tcPr>
            <w:tcW w:w="1765" w:type="dxa"/>
            <w:vAlign w:val="center"/>
          </w:tcPr>
          <w:p w14:paraId="4BD9606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H型钢翼缘板矫正</w:t>
            </w:r>
          </w:p>
        </w:tc>
      </w:tr>
      <w:tr w14:paraId="4420E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BAE3400">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10</w:t>
            </w:r>
          </w:p>
        </w:tc>
        <w:tc>
          <w:tcPr>
            <w:tcW w:w="2445" w:type="dxa"/>
            <w:vAlign w:val="center"/>
          </w:tcPr>
          <w:p w14:paraId="5C10EE5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箱型柱组立机</w:t>
            </w:r>
          </w:p>
        </w:tc>
        <w:tc>
          <w:tcPr>
            <w:tcW w:w="1710" w:type="dxa"/>
            <w:vAlign w:val="center"/>
          </w:tcPr>
          <w:p w14:paraId="0B6A5D4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JZZ150</w:t>
            </w:r>
          </w:p>
        </w:tc>
        <w:tc>
          <w:tcPr>
            <w:tcW w:w="678" w:type="dxa"/>
            <w:vAlign w:val="center"/>
          </w:tcPr>
          <w:p w14:paraId="7AA3ACF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290C875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浙江精工</w:t>
            </w:r>
          </w:p>
        </w:tc>
        <w:tc>
          <w:tcPr>
            <w:tcW w:w="1765" w:type="dxa"/>
            <w:vAlign w:val="center"/>
          </w:tcPr>
          <w:p w14:paraId="60E2B23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箱体组立</w:t>
            </w:r>
          </w:p>
        </w:tc>
      </w:tr>
      <w:tr w14:paraId="50639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379C4A3">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11</w:t>
            </w:r>
          </w:p>
        </w:tc>
        <w:tc>
          <w:tcPr>
            <w:tcW w:w="2445" w:type="dxa"/>
            <w:vAlign w:val="center"/>
          </w:tcPr>
          <w:p w14:paraId="6BCA989B">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门式埋弧焊自动焊机</w:t>
            </w:r>
          </w:p>
        </w:tc>
        <w:tc>
          <w:tcPr>
            <w:tcW w:w="1710" w:type="dxa"/>
            <w:vAlign w:val="center"/>
          </w:tcPr>
          <w:p w14:paraId="3B4B5C5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MHg-5000</w:t>
            </w:r>
          </w:p>
        </w:tc>
        <w:tc>
          <w:tcPr>
            <w:tcW w:w="678" w:type="dxa"/>
            <w:vAlign w:val="center"/>
          </w:tcPr>
          <w:p w14:paraId="419077C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3AA8951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0DA53E8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H型钢焊接</w:t>
            </w:r>
          </w:p>
        </w:tc>
      </w:tr>
      <w:tr w14:paraId="1CC19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5ACA10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2</w:t>
            </w:r>
          </w:p>
        </w:tc>
        <w:tc>
          <w:tcPr>
            <w:tcW w:w="2445" w:type="dxa"/>
            <w:vAlign w:val="center"/>
          </w:tcPr>
          <w:p w14:paraId="2E29DA53">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双悬臂式焊接机（单弧单丝）</w:t>
            </w:r>
          </w:p>
        </w:tc>
        <w:tc>
          <w:tcPr>
            <w:tcW w:w="1710" w:type="dxa"/>
            <w:vAlign w:val="center"/>
          </w:tcPr>
          <w:p w14:paraId="3E824AD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SXBH</w:t>
            </w:r>
          </w:p>
        </w:tc>
        <w:tc>
          <w:tcPr>
            <w:tcW w:w="678" w:type="dxa"/>
            <w:vAlign w:val="center"/>
          </w:tcPr>
          <w:p w14:paraId="637109E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587B847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无锡洲翔</w:t>
            </w:r>
          </w:p>
        </w:tc>
        <w:tc>
          <w:tcPr>
            <w:tcW w:w="1765" w:type="dxa"/>
            <w:vAlign w:val="center"/>
          </w:tcPr>
          <w:p w14:paraId="53CA440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H型钢焊接</w:t>
            </w:r>
          </w:p>
        </w:tc>
      </w:tr>
      <w:tr w14:paraId="59046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4FDFF5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3</w:t>
            </w:r>
          </w:p>
        </w:tc>
        <w:tc>
          <w:tcPr>
            <w:tcW w:w="2445" w:type="dxa"/>
            <w:vAlign w:val="center"/>
          </w:tcPr>
          <w:p w14:paraId="35173A13">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双悬臂式焊接机（双弧双丝）</w:t>
            </w:r>
          </w:p>
        </w:tc>
        <w:tc>
          <w:tcPr>
            <w:tcW w:w="1710" w:type="dxa"/>
            <w:vAlign w:val="center"/>
          </w:tcPr>
          <w:p w14:paraId="324C617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JZM150</w:t>
            </w:r>
          </w:p>
        </w:tc>
        <w:tc>
          <w:tcPr>
            <w:tcW w:w="678" w:type="dxa"/>
            <w:vAlign w:val="center"/>
          </w:tcPr>
          <w:p w14:paraId="566881F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4C23D58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浙江精工</w:t>
            </w:r>
          </w:p>
        </w:tc>
        <w:tc>
          <w:tcPr>
            <w:tcW w:w="1765" w:type="dxa"/>
            <w:vAlign w:val="center"/>
          </w:tcPr>
          <w:p w14:paraId="36496F5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箱体壁板焊接</w:t>
            </w:r>
          </w:p>
        </w:tc>
      </w:tr>
      <w:tr w14:paraId="65238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91C12E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4</w:t>
            </w:r>
          </w:p>
        </w:tc>
        <w:tc>
          <w:tcPr>
            <w:tcW w:w="2445" w:type="dxa"/>
            <w:vAlign w:val="center"/>
          </w:tcPr>
          <w:p w14:paraId="7193FEE8">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悬臂式电渣焊机</w:t>
            </w:r>
          </w:p>
        </w:tc>
        <w:tc>
          <w:tcPr>
            <w:tcW w:w="1710" w:type="dxa"/>
            <w:vAlign w:val="center"/>
          </w:tcPr>
          <w:p w14:paraId="3DE08B4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DZ-1200X</w:t>
            </w:r>
          </w:p>
        </w:tc>
        <w:tc>
          <w:tcPr>
            <w:tcW w:w="678" w:type="dxa"/>
            <w:vAlign w:val="center"/>
          </w:tcPr>
          <w:p w14:paraId="7AD1DEC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w:t>
            </w:r>
          </w:p>
        </w:tc>
        <w:tc>
          <w:tcPr>
            <w:tcW w:w="1366" w:type="dxa"/>
            <w:vAlign w:val="center"/>
          </w:tcPr>
          <w:p w14:paraId="690A26F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无锡华联</w:t>
            </w:r>
          </w:p>
        </w:tc>
        <w:tc>
          <w:tcPr>
            <w:tcW w:w="1765" w:type="dxa"/>
            <w:vAlign w:val="center"/>
          </w:tcPr>
          <w:p w14:paraId="2182E40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箱体内隔板焊接</w:t>
            </w:r>
          </w:p>
        </w:tc>
      </w:tr>
      <w:tr w14:paraId="61B24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41EC4B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5</w:t>
            </w:r>
          </w:p>
        </w:tc>
        <w:tc>
          <w:tcPr>
            <w:tcW w:w="2445" w:type="dxa"/>
            <w:vAlign w:val="center"/>
          </w:tcPr>
          <w:p w14:paraId="4E5BE173">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手工弧焊机</w:t>
            </w:r>
          </w:p>
        </w:tc>
        <w:tc>
          <w:tcPr>
            <w:tcW w:w="1710" w:type="dxa"/>
            <w:vAlign w:val="center"/>
          </w:tcPr>
          <w:p w14:paraId="675548A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500A</w:t>
            </w:r>
          </w:p>
        </w:tc>
        <w:tc>
          <w:tcPr>
            <w:tcW w:w="678" w:type="dxa"/>
            <w:vAlign w:val="center"/>
          </w:tcPr>
          <w:p w14:paraId="73A17AD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100</w:t>
            </w:r>
          </w:p>
        </w:tc>
        <w:tc>
          <w:tcPr>
            <w:tcW w:w="1366" w:type="dxa"/>
            <w:vAlign w:val="center"/>
          </w:tcPr>
          <w:p w14:paraId="3A1262D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宏达</w:t>
            </w:r>
          </w:p>
        </w:tc>
        <w:tc>
          <w:tcPr>
            <w:tcW w:w="1765" w:type="dxa"/>
            <w:vAlign w:val="center"/>
          </w:tcPr>
          <w:p w14:paraId="755AE58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拼装</w:t>
            </w:r>
          </w:p>
        </w:tc>
      </w:tr>
      <w:tr w14:paraId="13E00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4E6BB5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6</w:t>
            </w:r>
          </w:p>
        </w:tc>
        <w:tc>
          <w:tcPr>
            <w:tcW w:w="2445" w:type="dxa"/>
            <w:vAlign w:val="center"/>
          </w:tcPr>
          <w:p w14:paraId="4D5E324F">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气体保护焊机</w:t>
            </w:r>
          </w:p>
        </w:tc>
        <w:tc>
          <w:tcPr>
            <w:tcW w:w="1710" w:type="dxa"/>
            <w:vAlign w:val="center"/>
          </w:tcPr>
          <w:p w14:paraId="51A8AD3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500A</w:t>
            </w:r>
          </w:p>
        </w:tc>
        <w:tc>
          <w:tcPr>
            <w:tcW w:w="678" w:type="dxa"/>
            <w:vAlign w:val="center"/>
          </w:tcPr>
          <w:p w14:paraId="170A4D8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120</w:t>
            </w:r>
          </w:p>
        </w:tc>
        <w:tc>
          <w:tcPr>
            <w:tcW w:w="1366" w:type="dxa"/>
            <w:vAlign w:val="center"/>
          </w:tcPr>
          <w:p w14:paraId="63ADFD2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宏达、三峡</w:t>
            </w:r>
          </w:p>
        </w:tc>
        <w:tc>
          <w:tcPr>
            <w:tcW w:w="1765" w:type="dxa"/>
            <w:vAlign w:val="center"/>
          </w:tcPr>
          <w:p w14:paraId="777D47B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焊接</w:t>
            </w:r>
          </w:p>
        </w:tc>
      </w:tr>
      <w:tr w14:paraId="64B68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B6AEE9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7</w:t>
            </w:r>
          </w:p>
        </w:tc>
        <w:tc>
          <w:tcPr>
            <w:tcW w:w="2445" w:type="dxa"/>
            <w:vAlign w:val="center"/>
          </w:tcPr>
          <w:p w14:paraId="7FA5913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气刨机</w:t>
            </w:r>
          </w:p>
        </w:tc>
        <w:tc>
          <w:tcPr>
            <w:tcW w:w="1710" w:type="dxa"/>
            <w:vAlign w:val="center"/>
          </w:tcPr>
          <w:p w14:paraId="105CCBB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1200A</w:t>
            </w:r>
          </w:p>
        </w:tc>
        <w:tc>
          <w:tcPr>
            <w:tcW w:w="678" w:type="dxa"/>
            <w:vAlign w:val="center"/>
          </w:tcPr>
          <w:p w14:paraId="447CE83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30</w:t>
            </w:r>
          </w:p>
        </w:tc>
        <w:tc>
          <w:tcPr>
            <w:tcW w:w="1366" w:type="dxa"/>
            <w:vAlign w:val="center"/>
          </w:tcPr>
          <w:p w14:paraId="29BDD28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 xml:space="preserve"> 宏达</w:t>
            </w:r>
          </w:p>
        </w:tc>
        <w:tc>
          <w:tcPr>
            <w:tcW w:w="1765" w:type="dxa"/>
            <w:vAlign w:val="center"/>
          </w:tcPr>
          <w:p w14:paraId="10046E4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清根</w:t>
            </w:r>
          </w:p>
        </w:tc>
      </w:tr>
      <w:tr w14:paraId="44BD8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122A0FE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8</w:t>
            </w:r>
          </w:p>
        </w:tc>
        <w:tc>
          <w:tcPr>
            <w:tcW w:w="2445" w:type="dxa"/>
            <w:vAlign w:val="center"/>
          </w:tcPr>
          <w:p w14:paraId="44829CF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半自动埋弧焊机</w:t>
            </w:r>
          </w:p>
        </w:tc>
        <w:tc>
          <w:tcPr>
            <w:tcW w:w="1710" w:type="dxa"/>
            <w:vAlign w:val="center"/>
          </w:tcPr>
          <w:p w14:paraId="198D569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MZ-1000</w:t>
            </w:r>
          </w:p>
        </w:tc>
        <w:tc>
          <w:tcPr>
            <w:tcW w:w="678" w:type="dxa"/>
            <w:vAlign w:val="center"/>
          </w:tcPr>
          <w:p w14:paraId="7B2F290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w:t>
            </w:r>
          </w:p>
        </w:tc>
        <w:tc>
          <w:tcPr>
            <w:tcW w:w="1366" w:type="dxa"/>
            <w:vAlign w:val="center"/>
          </w:tcPr>
          <w:p w14:paraId="0B0599F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宏达</w:t>
            </w:r>
          </w:p>
        </w:tc>
        <w:tc>
          <w:tcPr>
            <w:tcW w:w="1765" w:type="dxa"/>
            <w:vAlign w:val="center"/>
          </w:tcPr>
          <w:p w14:paraId="3661F75C">
            <w:pPr>
              <w:snapToGrid w:val="0"/>
              <w:jc w:val="center"/>
              <w:rPr>
                <w:rFonts w:hint="default" w:ascii="Times New Roman" w:hAnsi="Times New Roman" w:eastAsia="宋体" w:cs="Times New Roman"/>
                <w:color w:val="auto"/>
                <w:sz w:val="21"/>
                <w:szCs w:val="21"/>
                <w:u w:val="single" w:color="auto"/>
              </w:rPr>
            </w:pPr>
          </w:p>
        </w:tc>
      </w:tr>
      <w:tr w14:paraId="328BF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59BAD0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w:t>
            </w:r>
            <w:r>
              <w:rPr>
                <w:rFonts w:hint="default" w:ascii="Times New Roman" w:hAnsi="Times New Roman" w:eastAsia="宋体" w:cs="Times New Roman"/>
                <w:color w:val="auto"/>
                <w:sz w:val="21"/>
                <w:szCs w:val="21"/>
                <w:u w:val="single" w:color="auto"/>
              </w:rPr>
              <w:t>9</w:t>
            </w:r>
          </w:p>
        </w:tc>
        <w:tc>
          <w:tcPr>
            <w:tcW w:w="2445" w:type="dxa"/>
            <w:vAlign w:val="center"/>
          </w:tcPr>
          <w:p w14:paraId="2423F127">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栓钉焊机</w:t>
            </w:r>
          </w:p>
        </w:tc>
        <w:tc>
          <w:tcPr>
            <w:tcW w:w="1710" w:type="dxa"/>
            <w:vAlign w:val="center"/>
          </w:tcPr>
          <w:p w14:paraId="75D2E852">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0D32E3D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w:t>
            </w:r>
          </w:p>
        </w:tc>
        <w:tc>
          <w:tcPr>
            <w:tcW w:w="1366" w:type="dxa"/>
            <w:vAlign w:val="center"/>
          </w:tcPr>
          <w:p w14:paraId="5E15F98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宏达</w:t>
            </w:r>
          </w:p>
        </w:tc>
        <w:tc>
          <w:tcPr>
            <w:tcW w:w="1765" w:type="dxa"/>
            <w:vAlign w:val="center"/>
          </w:tcPr>
          <w:p w14:paraId="105FBA4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栓钉焊接</w:t>
            </w:r>
          </w:p>
        </w:tc>
      </w:tr>
      <w:tr w14:paraId="0B36F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8F9391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0</w:t>
            </w:r>
          </w:p>
        </w:tc>
        <w:tc>
          <w:tcPr>
            <w:tcW w:w="2445" w:type="dxa"/>
            <w:vAlign w:val="center"/>
          </w:tcPr>
          <w:p w14:paraId="2D2061CC">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焊剂烘干机</w:t>
            </w:r>
          </w:p>
        </w:tc>
        <w:tc>
          <w:tcPr>
            <w:tcW w:w="1710" w:type="dxa"/>
            <w:vAlign w:val="center"/>
          </w:tcPr>
          <w:p w14:paraId="2F34E8B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YJJ-A-10O</w:t>
            </w:r>
          </w:p>
        </w:tc>
        <w:tc>
          <w:tcPr>
            <w:tcW w:w="678" w:type="dxa"/>
            <w:vAlign w:val="center"/>
          </w:tcPr>
          <w:p w14:paraId="75AF6C7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0BFB6BA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上海正特</w:t>
            </w:r>
          </w:p>
        </w:tc>
        <w:tc>
          <w:tcPr>
            <w:tcW w:w="1765" w:type="dxa"/>
            <w:vAlign w:val="center"/>
          </w:tcPr>
          <w:p w14:paraId="7BB8B4D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烘干</w:t>
            </w:r>
          </w:p>
        </w:tc>
      </w:tr>
      <w:tr w14:paraId="42BA0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5C0BEE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1</w:t>
            </w:r>
          </w:p>
        </w:tc>
        <w:tc>
          <w:tcPr>
            <w:tcW w:w="2445" w:type="dxa"/>
            <w:vAlign w:val="center"/>
          </w:tcPr>
          <w:p w14:paraId="5DF95075">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数控热处理设备</w:t>
            </w:r>
          </w:p>
        </w:tc>
        <w:tc>
          <w:tcPr>
            <w:tcW w:w="1710" w:type="dxa"/>
            <w:vAlign w:val="center"/>
          </w:tcPr>
          <w:p w14:paraId="183BC374">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163FA6A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w:t>
            </w:r>
          </w:p>
        </w:tc>
        <w:tc>
          <w:tcPr>
            <w:tcW w:w="1366" w:type="dxa"/>
            <w:vAlign w:val="center"/>
          </w:tcPr>
          <w:p w14:paraId="34B85B5E">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1DC980E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钢板热处理</w:t>
            </w:r>
          </w:p>
        </w:tc>
      </w:tr>
      <w:tr w14:paraId="3D0D0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01D083F">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22</w:t>
            </w:r>
          </w:p>
        </w:tc>
        <w:tc>
          <w:tcPr>
            <w:tcW w:w="2445" w:type="dxa"/>
            <w:vAlign w:val="center"/>
          </w:tcPr>
          <w:p w14:paraId="11ACDF12">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摇臂钻床</w:t>
            </w:r>
          </w:p>
        </w:tc>
        <w:tc>
          <w:tcPr>
            <w:tcW w:w="1710" w:type="dxa"/>
            <w:vAlign w:val="center"/>
          </w:tcPr>
          <w:p w14:paraId="31EB387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ZN3050*16</w:t>
            </w:r>
          </w:p>
        </w:tc>
        <w:tc>
          <w:tcPr>
            <w:tcW w:w="678" w:type="dxa"/>
            <w:vAlign w:val="center"/>
          </w:tcPr>
          <w:p w14:paraId="26A97DB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39FFC5D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江苏南京</w:t>
            </w:r>
          </w:p>
        </w:tc>
        <w:tc>
          <w:tcPr>
            <w:tcW w:w="1765" w:type="dxa"/>
            <w:vAlign w:val="center"/>
          </w:tcPr>
          <w:p w14:paraId="580F2BA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制孔</w:t>
            </w:r>
          </w:p>
        </w:tc>
      </w:tr>
      <w:tr w14:paraId="53A15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1437E35C">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rPr>
              <w:t>2</w:t>
            </w:r>
            <w:r>
              <w:rPr>
                <w:rFonts w:hint="default" w:ascii="Times New Roman" w:hAnsi="Times New Roman" w:eastAsia="宋体" w:cs="Times New Roman"/>
                <w:color w:val="auto"/>
                <w:sz w:val="21"/>
                <w:szCs w:val="21"/>
                <w:u w:val="single" w:color="auto"/>
                <w:lang w:val="en-US" w:eastAsia="zh-CN"/>
              </w:rPr>
              <w:t>3</w:t>
            </w:r>
          </w:p>
        </w:tc>
        <w:tc>
          <w:tcPr>
            <w:tcW w:w="2445" w:type="dxa"/>
            <w:vAlign w:val="center"/>
          </w:tcPr>
          <w:p w14:paraId="79EF6C2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数控平板钻床</w:t>
            </w:r>
          </w:p>
        </w:tc>
        <w:tc>
          <w:tcPr>
            <w:tcW w:w="1710" w:type="dxa"/>
            <w:vAlign w:val="center"/>
          </w:tcPr>
          <w:p w14:paraId="2FC215A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CDMP2010</w:t>
            </w:r>
          </w:p>
        </w:tc>
        <w:tc>
          <w:tcPr>
            <w:tcW w:w="678" w:type="dxa"/>
            <w:vAlign w:val="center"/>
          </w:tcPr>
          <w:p w14:paraId="2C4D0D7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1366" w:type="dxa"/>
            <w:vAlign w:val="center"/>
          </w:tcPr>
          <w:p w14:paraId="6C817BC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山东法因</w:t>
            </w:r>
          </w:p>
        </w:tc>
        <w:tc>
          <w:tcPr>
            <w:tcW w:w="1765" w:type="dxa"/>
            <w:vAlign w:val="center"/>
          </w:tcPr>
          <w:p w14:paraId="61227AB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制孔</w:t>
            </w:r>
          </w:p>
        </w:tc>
      </w:tr>
      <w:tr w14:paraId="55901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842D8D3">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24</w:t>
            </w:r>
          </w:p>
        </w:tc>
        <w:tc>
          <w:tcPr>
            <w:tcW w:w="2445" w:type="dxa"/>
            <w:vAlign w:val="center"/>
          </w:tcPr>
          <w:p w14:paraId="4BCBCA7A">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磁力钻</w:t>
            </w:r>
          </w:p>
        </w:tc>
        <w:tc>
          <w:tcPr>
            <w:tcW w:w="1710" w:type="dxa"/>
            <w:vAlign w:val="center"/>
          </w:tcPr>
          <w:p w14:paraId="5248CE1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MAZ-35</w:t>
            </w:r>
          </w:p>
        </w:tc>
        <w:tc>
          <w:tcPr>
            <w:tcW w:w="678" w:type="dxa"/>
            <w:vAlign w:val="center"/>
          </w:tcPr>
          <w:p w14:paraId="3093307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5C7DC1A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蓝气</w:t>
            </w:r>
          </w:p>
        </w:tc>
        <w:tc>
          <w:tcPr>
            <w:tcW w:w="1765" w:type="dxa"/>
            <w:vAlign w:val="center"/>
          </w:tcPr>
          <w:p w14:paraId="289774B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制孔</w:t>
            </w:r>
          </w:p>
        </w:tc>
      </w:tr>
      <w:tr w14:paraId="1846B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26C2C68">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25</w:t>
            </w:r>
          </w:p>
        </w:tc>
        <w:tc>
          <w:tcPr>
            <w:tcW w:w="2445" w:type="dxa"/>
            <w:vAlign w:val="center"/>
          </w:tcPr>
          <w:p w14:paraId="65F1A309">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冲孔机</w:t>
            </w:r>
          </w:p>
        </w:tc>
        <w:tc>
          <w:tcPr>
            <w:tcW w:w="1710" w:type="dxa"/>
            <w:vAlign w:val="center"/>
          </w:tcPr>
          <w:p w14:paraId="614C994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50T</w:t>
            </w:r>
          </w:p>
        </w:tc>
        <w:tc>
          <w:tcPr>
            <w:tcW w:w="678" w:type="dxa"/>
            <w:vAlign w:val="center"/>
          </w:tcPr>
          <w:p w14:paraId="09752B6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1366" w:type="dxa"/>
            <w:vAlign w:val="center"/>
          </w:tcPr>
          <w:p w14:paraId="699965F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东莞炜源</w:t>
            </w:r>
          </w:p>
        </w:tc>
        <w:tc>
          <w:tcPr>
            <w:tcW w:w="1765" w:type="dxa"/>
            <w:vAlign w:val="center"/>
          </w:tcPr>
          <w:p w14:paraId="50BB416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冲孔</w:t>
            </w:r>
          </w:p>
        </w:tc>
      </w:tr>
      <w:tr w14:paraId="04F49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0C11A45">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26</w:t>
            </w:r>
          </w:p>
        </w:tc>
        <w:tc>
          <w:tcPr>
            <w:tcW w:w="2445" w:type="dxa"/>
            <w:vAlign w:val="center"/>
          </w:tcPr>
          <w:p w14:paraId="2391A1EA">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割圆机</w:t>
            </w:r>
          </w:p>
        </w:tc>
        <w:tc>
          <w:tcPr>
            <w:tcW w:w="1710" w:type="dxa"/>
            <w:vAlign w:val="center"/>
          </w:tcPr>
          <w:p w14:paraId="35DEF34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CG2-600</w:t>
            </w:r>
          </w:p>
        </w:tc>
        <w:tc>
          <w:tcPr>
            <w:tcW w:w="678" w:type="dxa"/>
            <w:vAlign w:val="center"/>
          </w:tcPr>
          <w:p w14:paraId="04EB1D4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1366" w:type="dxa"/>
            <w:vAlign w:val="center"/>
          </w:tcPr>
          <w:p w14:paraId="55F6639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上海华威</w:t>
            </w:r>
          </w:p>
        </w:tc>
        <w:tc>
          <w:tcPr>
            <w:tcW w:w="1765" w:type="dxa"/>
            <w:vAlign w:val="center"/>
          </w:tcPr>
          <w:p w14:paraId="020710D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割圆</w:t>
            </w:r>
          </w:p>
        </w:tc>
      </w:tr>
      <w:tr w14:paraId="6E04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1BA20D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7</w:t>
            </w:r>
          </w:p>
        </w:tc>
        <w:tc>
          <w:tcPr>
            <w:tcW w:w="2445" w:type="dxa"/>
            <w:vAlign w:val="center"/>
          </w:tcPr>
          <w:p w14:paraId="49970D63">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剪板机</w:t>
            </w:r>
          </w:p>
        </w:tc>
        <w:tc>
          <w:tcPr>
            <w:tcW w:w="1710" w:type="dxa"/>
            <w:vAlign w:val="center"/>
          </w:tcPr>
          <w:p w14:paraId="6C2B73B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Q11-16*2500H</w:t>
            </w:r>
          </w:p>
        </w:tc>
        <w:tc>
          <w:tcPr>
            <w:tcW w:w="678" w:type="dxa"/>
            <w:vAlign w:val="center"/>
          </w:tcPr>
          <w:p w14:paraId="313DC8E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1A1B596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江西重机</w:t>
            </w:r>
          </w:p>
        </w:tc>
        <w:tc>
          <w:tcPr>
            <w:tcW w:w="1765" w:type="dxa"/>
            <w:vAlign w:val="center"/>
          </w:tcPr>
          <w:p w14:paraId="15DECC4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裁剪</w:t>
            </w:r>
          </w:p>
        </w:tc>
      </w:tr>
      <w:tr w14:paraId="06C92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AC7761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8</w:t>
            </w:r>
          </w:p>
        </w:tc>
        <w:tc>
          <w:tcPr>
            <w:tcW w:w="2445" w:type="dxa"/>
            <w:vAlign w:val="center"/>
          </w:tcPr>
          <w:p w14:paraId="4F6595FA">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联合冲剪机</w:t>
            </w:r>
          </w:p>
        </w:tc>
        <w:tc>
          <w:tcPr>
            <w:tcW w:w="1710" w:type="dxa"/>
            <w:vAlign w:val="center"/>
          </w:tcPr>
          <w:p w14:paraId="44A33011">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6DA528A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5DA1975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靖江三力</w:t>
            </w:r>
          </w:p>
        </w:tc>
        <w:tc>
          <w:tcPr>
            <w:tcW w:w="1765" w:type="dxa"/>
            <w:vAlign w:val="center"/>
          </w:tcPr>
          <w:p w14:paraId="59890FA5">
            <w:pPr>
              <w:snapToGrid w:val="0"/>
              <w:jc w:val="center"/>
              <w:rPr>
                <w:rFonts w:hint="default" w:ascii="Times New Roman" w:hAnsi="Times New Roman" w:eastAsia="宋体" w:cs="Times New Roman"/>
                <w:color w:val="auto"/>
                <w:sz w:val="21"/>
                <w:szCs w:val="21"/>
                <w:u w:val="single" w:color="auto"/>
              </w:rPr>
            </w:pPr>
          </w:p>
        </w:tc>
      </w:tr>
      <w:tr w14:paraId="72E0C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9FEC39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9</w:t>
            </w:r>
          </w:p>
        </w:tc>
        <w:tc>
          <w:tcPr>
            <w:tcW w:w="2445" w:type="dxa"/>
            <w:vAlign w:val="center"/>
          </w:tcPr>
          <w:p w14:paraId="3A229604">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折弯机</w:t>
            </w:r>
          </w:p>
        </w:tc>
        <w:tc>
          <w:tcPr>
            <w:tcW w:w="1710" w:type="dxa"/>
            <w:vAlign w:val="center"/>
          </w:tcPr>
          <w:p w14:paraId="55D6CFE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WP67Y</w:t>
            </w:r>
          </w:p>
        </w:tc>
        <w:tc>
          <w:tcPr>
            <w:tcW w:w="678" w:type="dxa"/>
            <w:vAlign w:val="center"/>
          </w:tcPr>
          <w:p w14:paraId="65701D3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45FD38D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安徽</w:t>
            </w:r>
          </w:p>
        </w:tc>
        <w:tc>
          <w:tcPr>
            <w:tcW w:w="1765" w:type="dxa"/>
            <w:vAlign w:val="center"/>
          </w:tcPr>
          <w:p w14:paraId="187DFC8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弯折</w:t>
            </w:r>
          </w:p>
        </w:tc>
      </w:tr>
      <w:tr w14:paraId="703FE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644D1D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0</w:t>
            </w:r>
          </w:p>
        </w:tc>
        <w:tc>
          <w:tcPr>
            <w:tcW w:w="2445" w:type="dxa"/>
            <w:vAlign w:val="center"/>
          </w:tcPr>
          <w:p w14:paraId="5791F44B">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型材卷弯机</w:t>
            </w:r>
          </w:p>
        </w:tc>
        <w:tc>
          <w:tcPr>
            <w:tcW w:w="1710" w:type="dxa"/>
            <w:vAlign w:val="center"/>
          </w:tcPr>
          <w:p w14:paraId="7BF73C5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W24YPC-75</w:t>
            </w:r>
          </w:p>
        </w:tc>
        <w:tc>
          <w:tcPr>
            <w:tcW w:w="678" w:type="dxa"/>
            <w:vAlign w:val="center"/>
          </w:tcPr>
          <w:p w14:paraId="133B2E9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6CC7CE43">
            <w:pPr>
              <w:snapToGrid w:val="0"/>
              <w:jc w:val="center"/>
              <w:rPr>
                <w:rFonts w:hint="default"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eastAsia="zh-CN"/>
              </w:rPr>
              <w:t>安徽</w:t>
            </w:r>
            <w:r>
              <w:rPr>
                <w:rFonts w:hint="default" w:ascii="Times New Roman" w:hAnsi="Times New Roman" w:eastAsia="宋体" w:cs="Times New Roman"/>
                <w:color w:val="auto"/>
                <w:sz w:val="21"/>
                <w:szCs w:val="21"/>
                <w:u w:val="single" w:color="auto"/>
              </w:rPr>
              <w:t>德系</w:t>
            </w:r>
          </w:p>
        </w:tc>
        <w:tc>
          <w:tcPr>
            <w:tcW w:w="1765" w:type="dxa"/>
            <w:vAlign w:val="center"/>
          </w:tcPr>
          <w:p w14:paraId="563189D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型材弯曲</w:t>
            </w:r>
          </w:p>
        </w:tc>
      </w:tr>
      <w:tr w14:paraId="1EE5C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C50B64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1</w:t>
            </w:r>
          </w:p>
        </w:tc>
        <w:tc>
          <w:tcPr>
            <w:tcW w:w="2445" w:type="dxa"/>
            <w:vAlign w:val="center"/>
          </w:tcPr>
          <w:p w14:paraId="0798E7DE">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型弯机</w:t>
            </w:r>
          </w:p>
        </w:tc>
        <w:tc>
          <w:tcPr>
            <w:tcW w:w="1710" w:type="dxa"/>
            <w:vAlign w:val="center"/>
          </w:tcPr>
          <w:p w14:paraId="648CD2E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JXW500</w:t>
            </w:r>
          </w:p>
        </w:tc>
        <w:tc>
          <w:tcPr>
            <w:tcW w:w="678" w:type="dxa"/>
            <w:vAlign w:val="center"/>
          </w:tcPr>
          <w:p w14:paraId="585CCCD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7C82A43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浙江精工</w:t>
            </w:r>
          </w:p>
        </w:tc>
        <w:tc>
          <w:tcPr>
            <w:tcW w:w="1765" w:type="dxa"/>
            <w:vAlign w:val="center"/>
          </w:tcPr>
          <w:p w14:paraId="398E11A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型材弯曲</w:t>
            </w:r>
          </w:p>
        </w:tc>
      </w:tr>
      <w:tr w14:paraId="3531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97AE99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2</w:t>
            </w:r>
          </w:p>
        </w:tc>
        <w:tc>
          <w:tcPr>
            <w:tcW w:w="2445" w:type="dxa"/>
            <w:vAlign w:val="center"/>
          </w:tcPr>
          <w:p w14:paraId="16F3B0D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超力卷板机</w:t>
            </w:r>
          </w:p>
        </w:tc>
        <w:tc>
          <w:tcPr>
            <w:tcW w:w="1710" w:type="dxa"/>
            <w:vAlign w:val="center"/>
          </w:tcPr>
          <w:p w14:paraId="1D46E7E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W11-16*2000</w:t>
            </w:r>
          </w:p>
        </w:tc>
        <w:tc>
          <w:tcPr>
            <w:tcW w:w="678" w:type="dxa"/>
            <w:vAlign w:val="center"/>
          </w:tcPr>
          <w:p w14:paraId="3C8FA5E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44642CB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南通超力</w:t>
            </w:r>
          </w:p>
        </w:tc>
        <w:tc>
          <w:tcPr>
            <w:tcW w:w="1765" w:type="dxa"/>
            <w:vAlign w:val="center"/>
          </w:tcPr>
          <w:p w14:paraId="524471D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卷板</w:t>
            </w:r>
          </w:p>
        </w:tc>
      </w:tr>
      <w:tr w14:paraId="2B0A5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B53933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3</w:t>
            </w:r>
          </w:p>
        </w:tc>
        <w:tc>
          <w:tcPr>
            <w:tcW w:w="2445" w:type="dxa"/>
            <w:vAlign w:val="center"/>
          </w:tcPr>
          <w:p w14:paraId="7752E15D">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三辊卷板机</w:t>
            </w:r>
          </w:p>
        </w:tc>
        <w:tc>
          <w:tcPr>
            <w:tcW w:w="1710" w:type="dxa"/>
            <w:vAlign w:val="center"/>
          </w:tcPr>
          <w:p w14:paraId="0B4D029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100mm*3200mm</w:t>
            </w:r>
          </w:p>
        </w:tc>
        <w:tc>
          <w:tcPr>
            <w:tcW w:w="678" w:type="dxa"/>
            <w:vAlign w:val="center"/>
          </w:tcPr>
          <w:p w14:paraId="0BACFFE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09FB23B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湖北鄂重</w:t>
            </w:r>
          </w:p>
        </w:tc>
        <w:tc>
          <w:tcPr>
            <w:tcW w:w="1765" w:type="dxa"/>
            <w:vAlign w:val="center"/>
          </w:tcPr>
          <w:p w14:paraId="71FE54A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卷板</w:t>
            </w:r>
          </w:p>
        </w:tc>
      </w:tr>
      <w:tr w14:paraId="40B5E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4EBDB7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4</w:t>
            </w:r>
          </w:p>
        </w:tc>
        <w:tc>
          <w:tcPr>
            <w:tcW w:w="2445" w:type="dxa"/>
            <w:vAlign w:val="center"/>
          </w:tcPr>
          <w:p w14:paraId="6260CA2F">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三辊卷板机</w:t>
            </w:r>
          </w:p>
        </w:tc>
        <w:tc>
          <w:tcPr>
            <w:tcW w:w="1710" w:type="dxa"/>
            <w:vAlign w:val="center"/>
          </w:tcPr>
          <w:p w14:paraId="6D377EE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40mm*3200mm</w:t>
            </w:r>
          </w:p>
        </w:tc>
        <w:tc>
          <w:tcPr>
            <w:tcW w:w="678" w:type="dxa"/>
            <w:vAlign w:val="center"/>
          </w:tcPr>
          <w:p w14:paraId="49C9DEB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785BC9A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湖北鄂重</w:t>
            </w:r>
          </w:p>
        </w:tc>
        <w:tc>
          <w:tcPr>
            <w:tcW w:w="1765" w:type="dxa"/>
            <w:vAlign w:val="center"/>
          </w:tcPr>
          <w:p w14:paraId="2B62A0C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卷板</w:t>
            </w:r>
          </w:p>
        </w:tc>
      </w:tr>
      <w:tr w14:paraId="7D64E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9FE1BF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15</w:t>
            </w:r>
          </w:p>
        </w:tc>
        <w:tc>
          <w:tcPr>
            <w:tcW w:w="2445" w:type="dxa"/>
            <w:vAlign w:val="center"/>
          </w:tcPr>
          <w:p w14:paraId="6C7CEE0F">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端面铣削机</w:t>
            </w:r>
          </w:p>
        </w:tc>
        <w:tc>
          <w:tcPr>
            <w:tcW w:w="1710" w:type="dxa"/>
            <w:vAlign w:val="center"/>
          </w:tcPr>
          <w:p w14:paraId="22DF76F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DX1220</w:t>
            </w:r>
          </w:p>
        </w:tc>
        <w:tc>
          <w:tcPr>
            <w:tcW w:w="678" w:type="dxa"/>
            <w:vAlign w:val="center"/>
          </w:tcPr>
          <w:p w14:paraId="5AEB6FE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506E28E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无锡洲翔</w:t>
            </w:r>
          </w:p>
        </w:tc>
        <w:tc>
          <w:tcPr>
            <w:tcW w:w="1765" w:type="dxa"/>
            <w:vAlign w:val="center"/>
          </w:tcPr>
          <w:p w14:paraId="6C95C6A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端铣</w:t>
            </w:r>
          </w:p>
        </w:tc>
      </w:tr>
      <w:tr w14:paraId="48DA0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648BBF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6</w:t>
            </w:r>
          </w:p>
        </w:tc>
        <w:tc>
          <w:tcPr>
            <w:tcW w:w="2445" w:type="dxa"/>
            <w:vAlign w:val="center"/>
          </w:tcPr>
          <w:p w14:paraId="558D8E5A">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四柱液压机</w:t>
            </w:r>
          </w:p>
        </w:tc>
        <w:tc>
          <w:tcPr>
            <w:tcW w:w="1710" w:type="dxa"/>
            <w:vAlign w:val="center"/>
          </w:tcPr>
          <w:p w14:paraId="21DB980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YB32-200</w:t>
            </w:r>
          </w:p>
        </w:tc>
        <w:tc>
          <w:tcPr>
            <w:tcW w:w="678" w:type="dxa"/>
            <w:vAlign w:val="center"/>
          </w:tcPr>
          <w:p w14:paraId="0700375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02542381">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2684AD20">
            <w:pPr>
              <w:snapToGrid w:val="0"/>
              <w:jc w:val="center"/>
              <w:rPr>
                <w:rFonts w:hint="default" w:ascii="Times New Roman" w:hAnsi="Times New Roman" w:eastAsia="宋体" w:cs="Times New Roman"/>
                <w:color w:val="auto"/>
                <w:sz w:val="21"/>
                <w:szCs w:val="21"/>
                <w:u w:val="single" w:color="auto"/>
              </w:rPr>
            </w:pPr>
          </w:p>
        </w:tc>
      </w:tr>
      <w:tr w14:paraId="30B23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465CD21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7</w:t>
            </w:r>
          </w:p>
        </w:tc>
        <w:tc>
          <w:tcPr>
            <w:tcW w:w="2445" w:type="dxa"/>
            <w:vAlign w:val="center"/>
          </w:tcPr>
          <w:p w14:paraId="0A216790">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四柱液压机</w:t>
            </w:r>
          </w:p>
        </w:tc>
        <w:tc>
          <w:tcPr>
            <w:tcW w:w="1710" w:type="dxa"/>
            <w:vAlign w:val="center"/>
          </w:tcPr>
          <w:p w14:paraId="3756352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YB32-1000</w:t>
            </w:r>
          </w:p>
        </w:tc>
        <w:tc>
          <w:tcPr>
            <w:tcW w:w="678" w:type="dxa"/>
            <w:vAlign w:val="center"/>
          </w:tcPr>
          <w:p w14:paraId="328A0A9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4AA3F9A2">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16C7D38D">
            <w:pPr>
              <w:snapToGrid w:val="0"/>
              <w:jc w:val="center"/>
              <w:rPr>
                <w:rFonts w:hint="default" w:ascii="Times New Roman" w:hAnsi="Times New Roman" w:eastAsia="宋体" w:cs="Times New Roman"/>
                <w:color w:val="auto"/>
                <w:sz w:val="21"/>
                <w:szCs w:val="21"/>
                <w:u w:val="single" w:color="auto"/>
              </w:rPr>
            </w:pPr>
          </w:p>
        </w:tc>
      </w:tr>
      <w:tr w14:paraId="31B22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54F6AE45">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38</w:t>
            </w:r>
          </w:p>
        </w:tc>
        <w:tc>
          <w:tcPr>
            <w:tcW w:w="2445" w:type="dxa"/>
            <w:vAlign w:val="center"/>
          </w:tcPr>
          <w:p w14:paraId="14386D76">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双梁行车</w:t>
            </w:r>
          </w:p>
        </w:tc>
        <w:tc>
          <w:tcPr>
            <w:tcW w:w="1710" w:type="dxa"/>
            <w:vAlign w:val="center"/>
          </w:tcPr>
          <w:p w14:paraId="14D6D39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100T/10T</w:t>
            </w:r>
          </w:p>
        </w:tc>
        <w:tc>
          <w:tcPr>
            <w:tcW w:w="678" w:type="dxa"/>
            <w:vAlign w:val="center"/>
          </w:tcPr>
          <w:p w14:paraId="7960B19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78DD228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12EE541F">
            <w:pPr>
              <w:snapToGrid w:val="0"/>
              <w:jc w:val="center"/>
              <w:rPr>
                <w:rFonts w:hint="default" w:ascii="Times New Roman" w:hAnsi="Times New Roman" w:eastAsia="宋体" w:cs="Times New Roman"/>
                <w:color w:val="auto"/>
                <w:sz w:val="21"/>
                <w:szCs w:val="21"/>
                <w:u w:val="single" w:color="auto"/>
              </w:rPr>
            </w:pPr>
          </w:p>
        </w:tc>
      </w:tr>
      <w:tr w14:paraId="5B434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9931816">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39</w:t>
            </w:r>
          </w:p>
        </w:tc>
        <w:tc>
          <w:tcPr>
            <w:tcW w:w="2445" w:type="dxa"/>
            <w:vAlign w:val="center"/>
          </w:tcPr>
          <w:p w14:paraId="6DDB90B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双梁行车</w:t>
            </w:r>
          </w:p>
        </w:tc>
        <w:tc>
          <w:tcPr>
            <w:tcW w:w="1710" w:type="dxa"/>
            <w:vAlign w:val="center"/>
          </w:tcPr>
          <w:p w14:paraId="63DCAF9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75T/10T</w:t>
            </w:r>
          </w:p>
        </w:tc>
        <w:tc>
          <w:tcPr>
            <w:tcW w:w="678" w:type="dxa"/>
            <w:vAlign w:val="center"/>
          </w:tcPr>
          <w:p w14:paraId="3306ACB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w:t>
            </w:r>
          </w:p>
        </w:tc>
        <w:tc>
          <w:tcPr>
            <w:tcW w:w="1366" w:type="dxa"/>
            <w:vAlign w:val="center"/>
          </w:tcPr>
          <w:p w14:paraId="76E1B91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76FDD189">
            <w:pPr>
              <w:snapToGrid w:val="0"/>
              <w:jc w:val="center"/>
              <w:rPr>
                <w:rFonts w:hint="default" w:ascii="Times New Roman" w:hAnsi="Times New Roman" w:eastAsia="宋体" w:cs="Times New Roman"/>
                <w:color w:val="auto"/>
                <w:sz w:val="21"/>
                <w:szCs w:val="21"/>
                <w:u w:val="single" w:color="auto"/>
              </w:rPr>
            </w:pPr>
          </w:p>
        </w:tc>
      </w:tr>
      <w:tr w14:paraId="4AD84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77D7C9A">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40</w:t>
            </w:r>
          </w:p>
        </w:tc>
        <w:tc>
          <w:tcPr>
            <w:tcW w:w="2445" w:type="dxa"/>
            <w:vAlign w:val="center"/>
          </w:tcPr>
          <w:p w14:paraId="69B1561C">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双梁行车</w:t>
            </w:r>
          </w:p>
        </w:tc>
        <w:tc>
          <w:tcPr>
            <w:tcW w:w="1710" w:type="dxa"/>
            <w:vAlign w:val="center"/>
          </w:tcPr>
          <w:p w14:paraId="32DE888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50T/5T</w:t>
            </w:r>
          </w:p>
        </w:tc>
        <w:tc>
          <w:tcPr>
            <w:tcW w:w="678" w:type="dxa"/>
            <w:vAlign w:val="center"/>
          </w:tcPr>
          <w:p w14:paraId="51BF616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4368C8B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2B2AFB79">
            <w:pPr>
              <w:snapToGrid w:val="0"/>
              <w:jc w:val="center"/>
              <w:rPr>
                <w:rFonts w:hint="default" w:ascii="Times New Roman" w:hAnsi="Times New Roman" w:eastAsia="宋体" w:cs="Times New Roman"/>
                <w:color w:val="auto"/>
                <w:sz w:val="21"/>
                <w:szCs w:val="21"/>
                <w:u w:val="single" w:color="auto"/>
              </w:rPr>
            </w:pPr>
          </w:p>
        </w:tc>
      </w:tr>
      <w:tr w14:paraId="7DD7B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10837F8E">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41</w:t>
            </w:r>
          </w:p>
        </w:tc>
        <w:tc>
          <w:tcPr>
            <w:tcW w:w="2445" w:type="dxa"/>
            <w:vAlign w:val="center"/>
          </w:tcPr>
          <w:p w14:paraId="3F8FD4B7">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单梁行车</w:t>
            </w:r>
          </w:p>
        </w:tc>
        <w:tc>
          <w:tcPr>
            <w:tcW w:w="1710" w:type="dxa"/>
            <w:vAlign w:val="center"/>
          </w:tcPr>
          <w:p w14:paraId="6410DD6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16T</w:t>
            </w:r>
          </w:p>
        </w:tc>
        <w:tc>
          <w:tcPr>
            <w:tcW w:w="678" w:type="dxa"/>
            <w:vAlign w:val="center"/>
          </w:tcPr>
          <w:p w14:paraId="2C1CD4A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w:t>
            </w:r>
          </w:p>
        </w:tc>
        <w:tc>
          <w:tcPr>
            <w:tcW w:w="1366" w:type="dxa"/>
            <w:vAlign w:val="center"/>
          </w:tcPr>
          <w:p w14:paraId="0A04179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中州/矿山</w:t>
            </w:r>
          </w:p>
        </w:tc>
        <w:tc>
          <w:tcPr>
            <w:tcW w:w="1765" w:type="dxa"/>
            <w:vAlign w:val="center"/>
          </w:tcPr>
          <w:p w14:paraId="2EA2E0AF">
            <w:pPr>
              <w:snapToGrid w:val="0"/>
              <w:jc w:val="center"/>
              <w:rPr>
                <w:rFonts w:hint="default" w:ascii="Times New Roman" w:hAnsi="Times New Roman" w:eastAsia="宋体" w:cs="Times New Roman"/>
                <w:color w:val="auto"/>
                <w:sz w:val="21"/>
                <w:szCs w:val="21"/>
                <w:u w:val="single" w:color="auto"/>
              </w:rPr>
            </w:pPr>
          </w:p>
        </w:tc>
      </w:tr>
      <w:tr w14:paraId="7391A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1E97CF70">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42</w:t>
            </w:r>
          </w:p>
        </w:tc>
        <w:tc>
          <w:tcPr>
            <w:tcW w:w="2445" w:type="dxa"/>
            <w:vAlign w:val="center"/>
          </w:tcPr>
          <w:p w14:paraId="17BAA87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单梁行车</w:t>
            </w:r>
          </w:p>
        </w:tc>
        <w:tc>
          <w:tcPr>
            <w:tcW w:w="1710" w:type="dxa"/>
            <w:vAlign w:val="center"/>
          </w:tcPr>
          <w:p w14:paraId="3311C43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10T</w:t>
            </w:r>
          </w:p>
        </w:tc>
        <w:tc>
          <w:tcPr>
            <w:tcW w:w="678" w:type="dxa"/>
            <w:vAlign w:val="center"/>
          </w:tcPr>
          <w:p w14:paraId="511DB3D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20</w:t>
            </w:r>
          </w:p>
        </w:tc>
        <w:tc>
          <w:tcPr>
            <w:tcW w:w="1366" w:type="dxa"/>
            <w:vAlign w:val="center"/>
          </w:tcPr>
          <w:p w14:paraId="435CAF4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中州/矿山</w:t>
            </w:r>
          </w:p>
        </w:tc>
        <w:tc>
          <w:tcPr>
            <w:tcW w:w="1765" w:type="dxa"/>
            <w:vAlign w:val="center"/>
          </w:tcPr>
          <w:p w14:paraId="1FA35D88">
            <w:pPr>
              <w:snapToGrid w:val="0"/>
              <w:jc w:val="center"/>
              <w:rPr>
                <w:rFonts w:hint="default" w:ascii="Times New Roman" w:hAnsi="Times New Roman" w:eastAsia="宋体" w:cs="Times New Roman"/>
                <w:color w:val="auto"/>
                <w:sz w:val="21"/>
                <w:szCs w:val="21"/>
                <w:u w:val="single" w:color="auto"/>
              </w:rPr>
            </w:pPr>
          </w:p>
        </w:tc>
      </w:tr>
      <w:tr w14:paraId="7FCA4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426CA3CA">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43</w:t>
            </w:r>
          </w:p>
        </w:tc>
        <w:tc>
          <w:tcPr>
            <w:tcW w:w="2445" w:type="dxa"/>
            <w:vAlign w:val="center"/>
          </w:tcPr>
          <w:p w14:paraId="5AFCA1A2">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龙门吊</w:t>
            </w:r>
          </w:p>
        </w:tc>
        <w:tc>
          <w:tcPr>
            <w:tcW w:w="1710" w:type="dxa"/>
            <w:vAlign w:val="center"/>
          </w:tcPr>
          <w:p w14:paraId="2A72594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3T</w:t>
            </w:r>
          </w:p>
        </w:tc>
        <w:tc>
          <w:tcPr>
            <w:tcW w:w="678" w:type="dxa"/>
            <w:vAlign w:val="center"/>
          </w:tcPr>
          <w:p w14:paraId="790E40C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20</w:t>
            </w:r>
          </w:p>
        </w:tc>
        <w:tc>
          <w:tcPr>
            <w:tcW w:w="1366" w:type="dxa"/>
            <w:vAlign w:val="center"/>
          </w:tcPr>
          <w:p w14:paraId="40F038A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中州/矿山</w:t>
            </w:r>
          </w:p>
        </w:tc>
        <w:tc>
          <w:tcPr>
            <w:tcW w:w="1765" w:type="dxa"/>
            <w:vAlign w:val="center"/>
          </w:tcPr>
          <w:p w14:paraId="0C34BE4C">
            <w:pPr>
              <w:snapToGrid w:val="0"/>
              <w:jc w:val="center"/>
              <w:rPr>
                <w:rFonts w:hint="default" w:ascii="Times New Roman" w:hAnsi="Times New Roman" w:eastAsia="宋体" w:cs="Times New Roman"/>
                <w:color w:val="auto"/>
                <w:sz w:val="21"/>
                <w:szCs w:val="21"/>
                <w:u w:val="single" w:color="auto"/>
              </w:rPr>
            </w:pPr>
          </w:p>
        </w:tc>
      </w:tr>
      <w:tr w14:paraId="67AF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9A1BE50">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44</w:t>
            </w:r>
          </w:p>
        </w:tc>
        <w:tc>
          <w:tcPr>
            <w:tcW w:w="2445" w:type="dxa"/>
            <w:vAlign w:val="center"/>
          </w:tcPr>
          <w:p w14:paraId="35643F22">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龙门吊</w:t>
            </w:r>
          </w:p>
        </w:tc>
        <w:tc>
          <w:tcPr>
            <w:tcW w:w="1710" w:type="dxa"/>
            <w:vAlign w:val="center"/>
          </w:tcPr>
          <w:p w14:paraId="44943C8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50T</w:t>
            </w:r>
          </w:p>
        </w:tc>
        <w:tc>
          <w:tcPr>
            <w:tcW w:w="678" w:type="dxa"/>
            <w:vAlign w:val="center"/>
          </w:tcPr>
          <w:p w14:paraId="168DE8B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6</w:t>
            </w:r>
          </w:p>
        </w:tc>
        <w:tc>
          <w:tcPr>
            <w:tcW w:w="1366" w:type="dxa"/>
            <w:vAlign w:val="center"/>
          </w:tcPr>
          <w:p w14:paraId="66C3149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五新重工</w:t>
            </w:r>
          </w:p>
        </w:tc>
        <w:tc>
          <w:tcPr>
            <w:tcW w:w="1765" w:type="dxa"/>
            <w:vAlign w:val="center"/>
          </w:tcPr>
          <w:p w14:paraId="6C253511">
            <w:pPr>
              <w:snapToGrid w:val="0"/>
              <w:jc w:val="center"/>
              <w:rPr>
                <w:rFonts w:hint="default" w:ascii="Times New Roman" w:hAnsi="Times New Roman" w:eastAsia="宋体" w:cs="Times New Roman"/>
                <w:color w:val="auto"/>
                <w:sz w:val="21"/>
                <w:szCs w:val="21"/>
                <w:u w:val="single" w:color="auto"/>
              </w:rPr>
            </w:pPr>
          </w:p>
        </w:tc>
      </w:tr>
      <w:tr w14:paraId="1C7A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243F576A">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45</w:t>
            </w:r>
          </w:p>
        </w:tc>
        <w:tc>
          <w:tcPr>
            <w:tcW w:w="2445" w:type="dxa"/>
            <w:vAlign w:val="center"/>
          </w:tcPr>
          <w:p w14:paraId="5214986B">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龙门吊</w:t>
            </w:r>
          </w:p>
        </w:tc>
        <w:tc>
          <w:tcPr>
            <w:tcW w:w="1710" w:type="dxa"/>
            <w:vAlign w:val="center"/>
          </w:tcPr>
          <w:p w14:paraId="355F953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100T+100t</w:t>
            </w:r>
          </w:p>
        </w:tc>
        <w:tc>
          <w:tcPr>
            <w:tcW w:w="678" w:type="dxa"/>
            <w:vAlign w:val="center"/>
          </w:tcPr>
          <w:p w14:paraId="6080375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10708EB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2A4B49B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40米跨</w:t>
            </w:r>
          </w:p>
        </w:tc>
      </w:tr>
      <w:tr w14:paraId="2293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F8A6AD7">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46</w:t>
            </w:r>
          </w:p>
        </w:tc>
        <w:tc>
          <w:tcPr>
            <w:tcW w:w="2445" w:type="dxa"/>
            <w:vAlign w:val="center"/>
          </w:tcPr>
          <w:p w14:paraId="2D1E4CF1">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龙门吊</w:t>
            </w:r>
          </w:p>
        </w:tc>
        <w:tc>
          <w:tcPr>
            <w:tcW w:w="1710" w:type="dxa"/>
            <w:vAlign w:val="center"/>
          </w:tcPr>
          <w:p w14:paraId="334ABFF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200T+200t</w:t>
            </w:r>
          </w:p>
        </w:tc>
        <w:tc>
          <w:tcPr>
            <w:tcW w:w="678" w:type="dxa"/>
            <w:vAlign w:val="center"/>
          </w:tcPr>
          <w:p w14:paraId="499A51D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41E91A7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53529DC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40米跨</w:t>
            </w:r>
          </w:p>
        </w:tc>
      </w:tr>
      <w:tr w14:paraId="71B51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3B25518">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47</w:t>
            </w:r>
          </w:p>
        </w:tc>
        <w:tc>
          <w:tcPr>
            <w:tcW w:w="2445" w:type="dxa"/>
            <w:vAlign w:val="center"/>
          </w:tcPr>
          <w:p w14:paraId="5BAE6BE2">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龙门吊</w:t>
            </w:r>
          </w:p>
        </w:tc>
        <w:tc>
          <w:tcPr>
            <w:tcW w:w="1710" w:type="dxa"/>
            <w:vAlign w:val="center"/>
          </w:tcPr>
          <w:p w14:paraId="709BE5B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1000T</w:t>
            </w:r>
          </w:p>
        </w:tc>
        <w:tc>
          <w:tcPr>
            <w:tcW w:w="678" w:type="dxa"/>
            <w:vAlign w:val="center"/>
          </w:tcPr>
          <w:p w14:paraId="4EE76A4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2A6B96B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河南矿山</w:t>
            </w:r>
          </w:p>
        </w:tc>
        <w:tc>
          <w:tcPr>
            <w:tcW w:w="1765" w:type="dxa"/>
            <w:vAlign w:val="center"/>
          </w:tcPr>
          <w:p w14:paraId="6DC2F57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50米跨</w:t>
            </w:r>
          </w:p>
        </w:tc>
      </w:tr>
      <w:tr w14:paraId="285EB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741CF86">
            <w:pPr>
              <w:snapToGrid w:val="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rPr>
              <w:t>二</w:t>
            </w:r>
          </w:p>
        </w:tc>
        <w:tc>
          <w:tcPr>
            <w:tcW w:w="7964" w:type="dxa"/>
            <w:gridSpan w:val="5"/>
            <w:vAlign w:val="center"/>
          </w:tcPr>
          <w:p w14:paraId="22B60C8C">
            <w:pPr>
              <w:snapToGrid w:val="0"/>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bCs/>
                <w:color w:val="auto"/>
                <w:sz w:val="21"/>
                <w:szCs w:val="21"/>
                <w:u w:val="single" w:color="auto"/>
              </w:rPr>
              <w:t>涂装车间</w:t>
            </w:r>
          </w:p>
        </w:tc>
      </w:tr>
      <w:tr w14:paraId="432F7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31D1022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2445" w:type="dxa"/>
            <w:vAlign w:val="center"/>
          </w:tcPr>
          <w:p w14:paraId="25DD9587">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型钢抛丸机</w:t>
            </w:r>
          </w:p>
        </w:tc>
        <w:tc>
          <w:tcPr>
            <w:tcW w:w="1710" w:type="dxa"/>
            <w:vAlign w:val="center"/>
          </w:tcPr>
          <w:p w14:paraId="046CC94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Q1425</w:t>
            </w:r>
          </w:p>
        </w:tc>
        <w:tc>
          <w:tcPr>
            <w:tcW w:w="678" w:type="dxa"/>
            <w:vAlign w:val="center"/>
          </w:tcPr>
          <w:p w14:paraId="7906E7E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1B2868F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大丰</w:t>
            </w:r>
          </w:p>
        </w:tc>
        <w:tc>
          <w:tcPr>
            <w:tcW w:w="1765" w:type="dxa"/>
            <w:vAlign w:val="center"/>
          </w:tcPr>
          <w:p w14:paraId="059FFD00">
            <w:pPr>
              <w:snapToGrid w:val="0"/>
              <w:jc w:val="center"/>
              <w:rPr>
                <w:rFonts w:hint="default" w:ascii="Times New Roman" w:hAnsi="Times New Roman" w:eastAsia="宋体" w:cs="Times New Roman"/>
                <w:color w:val="auto"/>
                <w:sz w:val="21"/>
                <w:szCs w:val="21"/>
                <w:u w:val="single" w:color="auto"/>
              </w:rPr>
            </w:pPr>
          </w:p>
        </w:tc>
      </w:tr>
      <w:tr w14:paraId="33C28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4C4F2933">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2445" w:type="dxa"/>
            <w:vAlign w:val="center"/>
          </w:tcPr>
          <w:p w14:paraId="6DF8602B">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型钢抛丸机</w:t>
            </w:r>
          </w:p>
        </w:tc>
        <w:tc>
          <w:tcPr>
            <w:tcW w:w="1710" w:type="dxa"/>
            <w:vAlign w:val="center"/>
          </w:tcPr>
          <w:p w14:paraId="69855F1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Q6920H</w:t>
            </w:r>
          </w:p>
        </w:tc>
        <w:tc>
          <w:tcPr>
            <w:tcW w:w="678" w:type="dxa"/>
            <w:vAlign w:val="center"/>
          </w:tcPr>
          <w:p w14:paraId="473C8148">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w:t>
            </w:r>
          </w:p>
        </w:tc>
        <w:tc>
          <w:tcPr>
            <w:tcW w:w="1366" w:type="dxa"/>
            <w:vAlign w:val="center"/>
          </w:tcPr>
          <w:p w14:paraId="04E5C20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大丰</w:t>
            </w:r>
          </w:p>
        </w:tc>
        <w:tc>
          <w:tcPr>
            <w:tcW w:w="1765" w:type="dxa"/>
            <w:vAlign w:val="center"/>
          </w:tcPr>
          <w:p w14:paraId="3B26D70F">
            <w:pPr>
              <w:snapToGrid w:val="0"/>
              <w:jc w:val="center"/>
              <w:rPr>
                <w:rFonts w:hint="default" w:ascii="Times New Roman" w:hAnsi="Times New Roman" w:eastAsia="宋体" w:cs="Times New Roman"/>
                <w:color w:val="auto"/>
                <w:sz w:val="21"/>
                <w:szCs w:val="21"/>
                <w:u w:val="single" w:color="auto"/>
              </w:rPr>
            </w:pPr>
          </w:p>
        </w:tc>
      </w:tr>
      <w:tr w14:paraId="79AF1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65198D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3</w:t>
            </w:r>
          </w:p>
        </w:tc>
        <w:tc>
          <w:tcPr>
            <w:tcW w:w="2445" w:type="dxa"/>
            <w:vAlign w:val="center"/>
          </w:tcPr>
          <w:p w14:paraId="30AF4173">
            <w:pPr>
              <w:snapToGrid w:val="0"/>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喷砂机</w:t>
            </w:r>
          </w:p>
        </w:tc>
        <w:tc>
          <w:tcPr>
            <w:tcW w:w="1710" w:type="dxa"/>
            <w:vAlign w:val="center"/>
          </w:tcPr>
          <w:p w14:paraId="56D10A4C">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6BD8B47F">
            <w:pPr>
              <w:snapToGrid w:val="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366" w:type="dxa"/>
            <w:vAlign w:val="center"/>
          </w:tcPr>
          <w:p w14:paraId="6F016BC0">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20EFD396">
            <w:pPr>
              <w:snapToGrid w:val="0"/>
              <w:jc w:val="center"/>
              <w:rPr>
                <w:rFonts w:hint="default" w:ascii="Times New Roman" w:hAnsi="Times New Roman" w:eastAsia="宋体" w:cs="Times New Roman"/>
                <w:color w:val="auto"/>
                <w:sz w:val="21"/>
                <w:szCs w:val="21"/>
                <w:u w:val="single" w:color="auto"/>
              </w:rPr>
            </w:pPr>
          </w:p>
        </w:tc>
      </w:tr>
      <w:tr w14:paraId="5A83F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4FED9A43">
            <w:pPr>
              <w:snapToGrid w:val="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4</w:t>
            </w:r>
          </w:p>
        </w:tc>
        <w:tc>
          <w:tcPr>
            <w:tcW w:w="2445" w:type="dxa"/>
            <w:vAlign w:val="center"/>
          </w:tcPr>
          <w:p w14:paraId="38B45B16">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手工除锈机</w:t>
            </w:r>
          </w:p>
        </w:tc>
        <w:tc>
          <w:tcPr>
            <w:tcW w:w="1710" w:type="dxa"/>
            <w:vAlign w:val="center"/>
          </w:tcPr>
          <w:p w14:paraId="2231620E">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6CDFB0C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122BA30C">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45788B10">
            <w:pPr>
              <w:snapToGrid w:val="0"/>
              <w:jc w:val="center"/>
              <w:rPr>
                <w:rFonts w:hint="default" w:ascii="Times New Roman" w:hAnsi="Times New Roman" w:eastAsia="宋体" w:cs="Times New Roman"/>
                <w:color w:val="auto"/>
                <w:sz w:val="21"/>
                <w:szCs w:val="21"/>
                <w:u w:val="single" w:color="auto"/>
              </w:rPr>
            </w:pPr>
          </w:p>
        </w:tc>
      </w:tr>
      <w:tr w14:paraId="6397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FB5F06C">
            <w:pPr>
              <w:snapToGrid w:val="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5</w:t>
            </w:r>
          </w:p>
        </w:tc>
        <w:tc>
          <w:tcPr>
            <w:tcW w:w="2445" w:type="dxa"/>
            <w:vAlign w:val="center"/>
          </w:tcPr>
          <w:p w14:paraId="0B36B0E9">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高压无气喷涂机</w:t>
            </w:r>
          </w:p>
        </w:tc>
        <w:tc>
          <w:tcPr>
            <w:tcW w:w="1710" w:type="dxa"/>
            <w:vAlign w:val="center"/>
          </w:tcPr>
          <w:p w14:paraId="5651A225">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4CE5E16C">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10</w:t>
            </w:r>
          </w:p>
        </w:tc>
        <w:tc>
          <w:tcPr>
            <w:tcW w:w="1366" w:type="dxa"/>
            <w:vAlign w:val="center"/>
          </w:tcPr>
          <w:p w14:paraId="601CDB4B">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41C7866A">
            <w:pPr>
              <w:snapToGrid w:val="0"/>
              <w:jc w:val="center"/>
              <w:rPr>
                <w:rFonts w:hint="default" w:ascii="Times New Roman" w:hAnsi="Times New Roman" w:eastAsia="宋体" w:cs="Times New Roman"/>
                <w:color w:val="auto"/>
                <w:sz w:val="21"/>
                <w:szCs w:val="21"/>
                <w:u w:val="single" w:color="auto"/>
              </w:rPr>
            </w:pPr>
          </w:p>
        </w:tc>
      </w:tr>
      <w:tr w14:paraId="0CD2F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1DF2244D">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6</w:t>
            </w:r>
          </w:p>
        </w:tc>
        <w:tc>
          <w:tcPr>
            <w:tcW w:w="2445" w:type="dxa"/>
            <w:vAlign w:val="center"/>
          </w:tcPr>
          <w:p w14:paraId="32CB4F0E">
            <w:pPr>
              <w:snapToGrid w:val="0"/>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喷枪</w:t>
            </w:r>
          </w:p>
        </w:tc>
        <w:tc>
          <w:tcPr>
            <w:tcW w:w="1710" w:type="dxa"/>
            <w:vAlign w:val="center"/>
          </w:tcPr>
          <w:p w14:paraId="5C1D229B">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3A5AD6F7">
            <w:pPr>
              <w:snapToGrid w:val="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366" w:type="dxa"/>
            <w:vAlign w:val="center"/>
          </w:tcPr>
          <w:p w14:paraId="1083197E">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0B5B06D5">
            <w:pPr>
              <w:snapToGrid w:val="0"/>
              <w:jc w:val="center"/>
              <w:rPr>
                <w:rFonts w:hint="default" w:ascii="Times New Roman" w:hAnsi="Times New Roman" w:eastAsia="宋体" w:cs="Times New Roman"/>
                <w:color w:val="auto"/>
                <w:sz w:val="21"/>
                <w:szCs w:val="21"/>
                <w:u w:val="single" w:color="auto"/>
              </w:rPr>
            </w:pPr>
          </w:p>
        </w:tc>
      </w:tr>
      <w:tr w14:paraId="58CAA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7CB25178">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7</w:t>
            </w:r>
          </w:p>
        </w:tc>
        <w:tc>
          <w:tcPr>
            <w:tcW w:w="2445" w:type="dxa"/>
            <w:vAlign w:val="center"/>
          </w:tcPr>
          <w:p w14:paraId="4FC70448">
            <w:pPr>
              <w:snapToGrid w:val="0"/>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空压机</w:t>
            </w:r>
          </w:p>
        </w:tc>
        <w:tc>
          <w:tcPr>
            <w:tcW w:w="1710" w:type="dxa"/>
            <w:vAlign w:val="center"/>
          </w:tcPr>
          <w:p w14:paraId="4D1E45B6">
            <w:pPr>
              <w:snapToGrid w:val="0"/>
              <w:jc w:val="center"/>
              <w:rPr>
                <w:rFonts w:hint="default" w:ascii="Times New Roman" w:hAnsi="Times New Roman" w:eastAsia="宋体" w:cs="Times New Roman"/>
                <w:color w:val="auto"/>
                <w:sz w:val="21"/>
                <w:szCs w:val="21"/>
                <w:u w:val="single" w:color="auto"/>
              </w:rPr>
            </w:pPr>
          </w:p>
        </w:tc>
        <w:tc>
          <w:tcPr>
            <w:tcW w:w="678" w:type="dxa"/>
            <w:vAlign w:val="center"/>
          </w:tcPr>
          <w:p w14:paraId="7668CB3B">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10</w:t>
            </w:r>
          </w:p>
        </w:tc>
        <w:tc>
          <w:tcPr>
            <w:tcW w:w="1366" w:type="dxa"/>
            <w:vAlign w:val="center"/>
          </w:tcPr>
          <w:p w14:paraId="39E9546B">
            <w:pPr>
              <w:snapToGrid w:val="0"/>
              <w:jc w:val="center"/>
              <w:rPr>
                <w:rFonts w:hint="default" w:ascii="Times New Roman" w:hAnsi="Times New Roman" w:eastAsia="宋体" w:cs="Times New Roman"/>
                <w:color w:val="auto"/>
                <w:sz w:val="21"/>
                <w:szCs w:val="21"/>
                <w:u w:val="single" w:color="auto"/>
              </w:rPr>
            </w:pPr>
          </w:p>
        </w:tc>
        <w:tc>
          <w:tcPr>
            <w:tcW w:w="1765" w:type="dxa"/>
            <w:vAlign w:val="center"/>
          </w:tcPr>
          <w:p w14:paraId="41A681A2">
            <w:pPr>
              <w:snapToGrid w:val="0"/>
              <w:jc w:val="center"/>
              <w:rPr>
                <w:rFonts w:hint="default" w:ascii="Times New Roman" w:hAnsi="Times New Roman" w:eastAsia="宋体" w:cs="Times New Roman"/>
                <w:color w:val="auto"/>
                <w:sz w:val="21"/>
                <w:szCs w:val="21"/>
                <w:u w:val="single" w:color="auto"/>
              </w:rPr>
            </w:pPr>
          </w:p>
        </w:tc>
      </w:tr>
      <w:tr w14:paraId="6BEE2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49F86BC8">
            <w:pPr>
              <w:snapToGrid w:val="0"/>
              <w:jc w:val="center"/>
              <w:rPr>
                <w:rFonts w:hint="default"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rPr>
              <w:t>8</w:t>
            </w:r>
          </w:p>
        </w:tc>
        <w:tc>
          <w:tcPr>
            <w:tcW w:w="2445" w:type="dxa"/>
            <w:vAlign w:val="center"/>
          </w:tcPr>
          <w:p w14:paraId="182A5B9C">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数字式超声波探伤仪</w:t>
            </w:r>
          </w:p>
        </w:tc>
        <w:tc>
          <w:tcPr>
            <w:tcW w:w="1710" w:type="dxa"/>
            <w:vAlign w:val="center"/>
          </w:tcPr>
          <w:p w14:paraId="74B6EAB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CTS-9006</w:t>
            </w:r>
          </w:p>
        </w:tc>
        <w:tc>
          <w:tcPr>
            <w:tcW w:w="678" w:type="dxa"/>
            <w:vAlign w:val="center"/>
          </w:tcPr>
          <w:p w14:paraId="244105E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12F70A2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汕头超声仪器</w:t>
            </w:r>
          </w:p>
        </w:tc>
        <w:tc>
          <w:tcPr>
            <w:tcW w:w="1765" w:type="dxa"/>
            <w:vAlign w:val="center"/>
          </w:tcPr>
          <w:p w14:paraId="1CF2E27D">
            <w:pPr>
              <w:snapToGrid w:val="0"/>
              <w:jc w:val="center"/>
              <w:rPr>
                <w:rFonts w:hint="default" w:ascii="Times New Roman" w:hAnsi="Times New Roman" w:eastAsia="宋体" w:cs="Times New Roman"/>
                <w:color w:val="auto"/>
                <w:sz w:val="21"/>
                <w:szCs w:val="21"/>
                <w:u w:val="single" w:color="auto"/>
              </w:rPr>
            </w:pPr>
          </w:p>
        </w:tc>
      </w:tr>
      <w:tr w14:paraId="3BB67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0B27819C">
            <w:pPr>
              <w:snapToGrid w:val="0"/>
              <w:jc w:val="center"/>
              <w:rPr>
                <w:rFonts w:hint="default"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val="en-US" w:eastAsia="zh-CN"/>
              </w:rPr>
              <w:t>9</w:t>
            </w:r>
          </w:p>
        </w:tc>
        <w:tc>
          <w:tcPr>
            <w:tcW w:w="2445" w:type="dxa"/>
            <w:vAlign w:val="center"/>
          </w:tcPr>
          <w:p w14:paraId="39322BD6">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涂镀层测厚仪</w:t>
            </w:r>
          </w:p>
        </w:tc>
        <w:tc>
          <w:tcPr>
            <w:tcW w:w="1710" w:type="dxa"/>
            <w:vAlign w:val="center"/>
          </w:tcPr>
          <w:p w14:paraId="385793A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MC-2000C</w:t>
            </w:r>
          </w:p>
        </w:tc>
        <w:tc>
          <w:tcPr>
            <w:tcW w:w="678" w:type="dxa"/>
            <w:vAlign w:val="center"/>
          </w:tcPr>
          <w:p w14:paraId="4904423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1366" w:type="dxa"/>
            <w:vAlign w:val="center"/>
          </w:tcPr>
          <w:p w14:paraId="7992C54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科电检测</w:t>
            </w:r>
          </w:p>
        </w:tc>
        <w:tc>
          <w:tcPr>
            <w:tcW w:w="1765" w:type="dxa"/>
            <w:vAlign w:val="center"/>
          </w:tcPr>
          <w:p w14:paraId="1FF7CD42">
            <w:pPr>
              <w:snapToGrid w:val="0"/>
              <w:jc w:val="center"/>
              <w:rPr>
                <w:rFonts w:hint="default" w:ascii="Times New Roman" w:hAnsi="Times New Roman" w:eastAsia="宋体" w:cs="Times New Roman"/>
                <w:color w:val="auto"/>
                <w:sz w:val="21"/>
                <w:szCs w:val="21"/>
                <w:u w:val="single" w:color="auto"/>
              </w:rPr>
            </w:pPr>
          </w:p>
        </w:tc>
      </w:tr>
      <w:tr w14:paraId="1CA97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556" w:type="dxa"/>
            <w:vAlign w:val="center"/>
          </w:tcPr>
          <w:p w14:paraId="652F32CD">
            <w:pPr>
              <w:snapToGrid w:val="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2445" w:type="dxa"/>
            <w:vAlign w:val="center"/>
          </w:tcPr>
          <w:p w14:paraId="1E602D13">
            <w:pPr>
              <w:snapToGrid w:val="0"/>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激光测平仪</w:t>
            </w:r>
          </w:p>
        </w:tc>
        <w:tc>
          <w:tcPr>
            <w:tcW w:w="1710" w:type="dxa"/>
            <w:vAlign w:val="center"/>
          </w:tcPr>
          <w:p w14:paraId="448E075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Z910</w:t>
            </w:r>
          </w:p>
        </w:tc>
        <w:tc>
          <w:tcPr>
            <w:tcW w:w="678" w:type="dxa"/>
            <w:vAlign w:val="center"/>
          </w:tcPr>
          <w:p w14:paraId="3DE2A04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1366" w:type="dxa"/>
            <w:vAlign w:val="center"/>
          </w:tcPr>
          <w:p w14:paraId="6A571EE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泛泰克斯</w:t>
            </w:r>
          </w:p>
        </w:tc>
        <w:tc>
          <w:tcPr>
            <w:tcW w:w="1765" w:type="dxa"/>
            <w:vAlign w:val="center"/>
          </w:tcPr>
          <w:p w14:paraId="14C6B77B">
            <w:pPr>
              <w:snapToGrid w:val="0"/>
              <w:jc w:val="center"/>
              <w:rPr>
                <w:rFonts w:hint="default" w:ascii="Times New Roman" w:hAnsi="Times New Roman" w:eastAsia="宋体" w:cs="Times New Roman"/>
                <w:color w:val="auto"/>
                <w:sz w:val="21"/>
                <w:szCs w:val="21"/>
                <w:u w:val="single" w:color="auto"/>
              </w:rPr>
            </w:pPr>
          </w:p>
        </w:tc>
      </w:tr>
    </w:tbl>
    <w:p w14:paraId="6795BC4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41" w:name="_Toc3728168"/>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公用及辅助工程</w:t>
      </w:r>
      <w:bookmarkEnd w:id="141"/>
    </w:p>
    <w:p w14:paraId="2BF2C9F9">
      <w:pPr>
        <w:autoSpaceDE w:val="0"/>
        <w:autoSpaceDN w:val="0"/>
        <w:snapToGrid w:val="0"/>
        <w:spacing w:line="360" w:lineRule="auto"/>
        <w:ind w:firstLine="482" w:firstLineChars="200"/>
        <w:jc w:val="left"/>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1、给水系统</w:t>
      </w:r>
    </w:p>
    <w:p w14:paraId="3BA8901D">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本项目水源来自</w:t>
      </w:r>
      <w:r>
        <w:rPr>
          <w:rFonts w:hint="eastAsia" w:ascii="Times New Roman" w:hAnsi="Times New Roman" w:eastAsia="宋体" w:cs="Times New Roman"/>
          <w:color w:val="auto"/>
          <w:sz w:val="24"/>
          <w:szCs w:val="24"/>
          <w:u w:val="none" w:color="auto"/>
        </w:rPr>
        <w:t>园区</w:t>
      </w:r>
      <w:r>
        <w:rPr>
          <w:rFonts w:ascii="Times New Roman" w:hAnsi="Times New Roman" w:eastAsia="宋体" w:cs="Times New Roman"/>
          <w:color w:val="auto"/>
          <w:sz w:val="24"/>
          <w:szCs w:val="24"/>
          <w:u w:val="none" w:color="auto"/>
        </w:rPr>
        <w:t>自来水管网，</w:t>
      </w:r>
      <w:r>
        <w:rPr>
          <w:rFonts w:hint="eastAsia" w:ascii="Times New Roman" w:hAnsi="Times New Roman" w:eastAsia="宋体" w:cs="Times New Roman"/>
          <w:color w:val="auto"/>
          <w:sz w:val="24"/>
          <w:szCs w:val="24"/>
          <w:u w:val="none" w:color="auto"/>
        </w:rPr>
        <w:t>主要为生活用水，全厂新鲜水</w:t>
      </w:r>
      <w:r>
        <w:rPr>
          <w:rFonts w:ascii="Times New Roman" w:hAnsi="Times New Roman" w:eastAsia="宋体" w:cs="Times New Roman"/>
          <w:color w:val="auto"/>
          <w:sz w:val="24"/>
          <w:szCs w:val="24"/>
          <w:u w:val="none" w:color="auto"/>
        </w:rPr>
        <w:t>总用水量约为</w:t>
      </w:r>
      <w:r>
        <w:rPr>
          <w:rFonts w:hint="eastAsia" w:ascii="Times New Roman" w:hAnsi="Times New Roman" w:eastAsia="宋体" w:cs="Times New Roman"/>
          <w:color w:val="auto"/>
          <w:sz w:val="24"/>
          <w:szCs w:val="24"/>
          <w:u w:val="none" w:color="auto"/>
        </w:rPr>
        <w:t>10890</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w:t>
      </w:r>
    </w:p>
    <w:p w14:paraId="695A6D1D">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（1）生活用水</w:t>
      </w:r>
    </w:p>
    <w:p w14:paraId="7DE7086A">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本项目员工均在</w:t>
      </w:r>
      <w:r>
        <w:rPr>
          <w:rFonts w:ascii="Times New Roman" w:hAnsi="Times New Roman" w:eastAsia="宋体" w:cs="Times New Roman"/>
          <w:color w:val="auto"/>
          <w:sz w:val="24"/>
          <w:szCs w:val="24"/>
          <w:u w:val="none" w:color="auto"/>
        </w:rPr>
        <w:t>厂</w:t>
      </w:r>
      <w:r>
        <w:rPr>
          <w:rFonts w:hint="eastAsia" w:ascii="Times New Roman" w:hAnsi="Times New Roman" w:eastAsia="宋体" w:cs="Times New Roman"/>
          <w:color w:val="auto"/>
          <w:sz w:val="24"/>
          <w:szCs w:val="24"/>
          <w:u w:val="none" w:color="auto"/>
        </w:rPr>
        <w:t>内食宿，</w:t>
      </w:r>
      <w:r>
        <w:rPr>
          <w:rFonts w:ascii="Times New Roman" w:hAnsi="Times New Roman" w:eastAsia="宋体" w:cs="Times New Roman"/>
          <w:color w:val="auto"/>
          <w:sz w:val="24"/>
          <w:szCs w:val="24"/>
          <w:u w:val="none" w:color="auto"/>
        </w:rPr>
        <w:t>生活用水定额取</w:t>
      </w:r>
      <w:r>
        <w:rPr>
          <w:rFonts w:hint="eastAsia" w:ascii="Times New Roman" w:hAnsi="Times New Roman" w:eastAsia="宋体" w:cs="Times New Roman"/>
          <w:color w:val="auto"/>
          <w:sz w:val="24"/>
          <w:szCs w:val="24"/>
          <w:u w:val="none" w:color="auto"/>
        </w:rPr>
        <w:t>22</w:t>
      </w:r>
      <w:r>
        <w:rPr>
          <w:rFonts w:ascii="Times New Roman" w:hAnsi="Times New Roman" w:eastAsia="宋体" w:cs="Times New Roman"/>
          <w:color w:val="auto"/>
          <w:sz w:val="24"/>
          <w:szCs w:val="24"/>
          <w:u w:val="none" w:color="auto"/>
        </w:rPr>
        <w:t>0 L/d·人</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年生产时间约为</w:t>
      </w:r>
      <w:r>
        <w:rPr>
          <w:rFonts w:hint="eastAsia" w:ascii="Times New Roman" w:hAnsi="Times New Roman" w:eastAsia="宋体" w:cs="Times New Roman"/>
          <w:color w:val="auto"/>
          <w:sz w:val="24"/>
          <w:szCs w:val="24"/>
          <w:u w:val="none" w:color="auto"/>
        </w:rPr>
        <w:t>330</w:t>
      </w:r>
      <w:r>
        <w:rPr>
          <w:rFonts w:ascii="Times New Roman" w:hAnsi="Times New Roman" w:eastAsia="宋体" w:cs="Times New Roman"/>
          <w:color w:val="auto"/>
          <w:sz w:val="24"/>
          <w:szCs w:val="24"/>
          <w:u w:val="none" w:color="auto"/>
        </w:rPr>
        <w:t>天，据此可计算出本项目员工生活用水</w:t>
      </w:r>
      <w:r>
        <w:rPr>
          <w:rFonts w:hint="eastAsia" w:ascii="Times New Roman" w:hAnsi="Times New Roman" w:eastAsia="宋体" w:cs="Times New Roman"/>
          <w:color w:val="auto"/>
          <w:sz w:val="24"/>
          <w:szCs w:val="24"/>
          <w:u w:val="none" w:color="auto"/>
        </w:rPr>
        <w:t>33</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/d，</w:t>
      </w:r>
      <w:r>
        <w:rPr>
          <w:rFonts w:hint="eastAsia" w:ascii="Times New Roman" w:hAnsi="Times New Roman" w:eastAsia="宋体" w:cs="Times New Roman"/>
          <w:color w:val="auto"/>
          <w:sz w:val="24"/>
          <w:szCs w:val="24"/>
          <w:u w:val="none" w:color="auto"/>
        </w:rPr>
        <w:t>10890</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/a，生活用水由园区供水管网提供。生活污水排放系数取0.8，则污水总排放量约为</w:t>
      </w:r>
      <w:r>
        <w:rPr>
          <w:rFonts w:hint="eastAsia" w:ascii="Times New Roman" w:hAnsi="Times New Roman" w:eastAsia="宋体" w:cs="Times New Roman"/>
          <w:color w:val="auto"/>
          <w:sz w:val="24"/>
          <w:szCs w:val="24"/>
          <w:u w:val="none" w:color="auto"/>
        </w:rPr>
        <w:t>26.4</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/d，</w:t>
      </w:r>
      <w:r>
        <w:rPr>
          <w:rFonts w:hint="eastAsia" w:ascii="Times New Roman" w:hAnsi="Times New Roman" w:eastAsia="宋体" w:cs="Times New Roman"/>
          <w:color w:val="auto"/>
          <w:sz w:val="24"/>
          <w:szCs w:val="24"/>
          <w:u w:val="none" w:color="auto"/>
        </w:rPr>
        <w:t>8712</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w:t>
      </w:r>
      <w:r>
        <w:rPr>
          <w:rFonts w:hint="eastAsia" w:ascii="Times New Roman" w:hAnsi="Times New Roman" w:eastAsia="宋体" w:cs="Times New Roman"/>
          <w:color w:val="auto"/>
          <w:sz w:val="24"/>
          <w:szCs w:val="24"/>
          <w:u w:val="none" w:color="auto"/>
        </w:rPr>
        <w:t>。</w:t>
      </w:r>
    </w:p>
    <w:p w14:paraId="53F6D857">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2、排水</w:t>
      </w:r>
    </w:p>
    <w:p w14:paraId="10C7EDE0">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项目采用雨污分流制排水系统，</w:t>
      </w:r>
      <w:r>
        <w:rPr>
          <w:rFonts w:ascii="Times New Roman" w:hAnsi="Times New Roman" w:eastAsia="宋体" w:cs="Times New Roman"/>
          <w:color w:val="auto"/>
          <w:sz w:val="24"/>
          <w:szCs w:val="24"/>
          <w:u w:val="none" w:color="auto"/>
        </w:rPr>
        <w:t>生活污水</w:t>
      </w:r>
      <w:r>
        <w:rPr>
          <w:rFonts w:hint="eastAsia" w:ascii="Times New Roman" w:hAnsi="Times New Roman" w:eastAsia="宋体" w:cs="Times New Roman"/>
          <w:color w:val="auto"/>
          <w:sz w:val="24"/>
          <w:szCs w:val="24"/>
          <w:u w:val="none" w:color="auto"/>
        </w:rPr>
        <w:t>经三级化粪池预处理达到</w:t>
      </w:r>
      <w:r>
        <w:rPr>
          <w:rFonts w:hint="eastAsia" w:ascii="Times New Roman" w:hAnsi="Times New Roman" w:eastAsia="宋体" w:cs="Times New Roman"/>
          <w:color w:val="auto"/>
          <w:sz w:val="24"/>
          <w:szCs w:val="24"/>
          <w:u w:val="none" w:color="auto"/>
          <w:lang w:eastAsia="zh-CN"/>
        </w:rPr>
        <w:t>大榄坪污水处理厂接管标准</w:t>
      </w:r>
      <w:r>
        <w:rPr>
          <w:rFonts w:hint="eastAsia" w:ascii="Times New Roman" w:hAnsi="Times New Roman" w:eastAsia="宋体" w:cs="Times New Roman"/>
          <w:color w:val="auto"/>
          <w:sz w:val="24"/>
          <w:szCs w:val="24"/>
          <w:u w:val="none" w:color="auto"/>
        </w:rPr>
        <w:t>要求后经市政污水管网排入大榄坪污水处理厂进一步处理。雨水排入市政雨水管网。项目雨污水排水走向见附图8。</w:t>
      </w:r>
    </w:p>
    <w:p w14:paraId="692C495A">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经现场勘查，项目所在区域已通市政污水管网和雨水管网，项目污水管网和雨水管可接通市政污水管网和雨水管网，不存在建设时序问题。</w:t>
      </w:r>
    </w:p>
    <w:p w14:paraId="2D1CC586">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3、供电</w:t>
      </w:r>
    </w:p>
    <w:p w14:paraId="1A127D39">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项目用电由园区电网供给，供电充足、方便，可满足生产、生活及照明等需要，无拉闸停电等现象，供电有保障。</w:t>
      </w:r>
    </w:p>
    <w:p w14:paraId="75053A94">
      <w:pPr>
        <w:autoSpaceDE w:val="0"/>
        <w:autoSpaceDN w:val="0"/>
        <w:snapToGrid w:val="0"/>
        <w:spacing w:line="360" w:lineRule="auto"/>
        <w:jc w:val="left"/>
        <w:outlineLvl w:val="1"/>
        <w:rPr>
          <w:rFonts w:ascii="Times New Roman" w:hAnsi="Times New Roman" w:eastAsia="宋体" w:cs="Times New Roman"/>
          <w:b/>
          <w:color w:val="auto"/>
          <w:kern w:val="0"/>
          <w:sz w:val="32"/>
          <w:szCs w:val="32"/>
          <w:u w:val="none" w:color="auto"/>
        </w:rPr>
      </w:pPr>
      <w:bookmarkStart w:id="142" w:name="_Toc530130430"/>
      <w:bookmarkStart w:id="143" w:name="_Toc6858284"/>
      <w:bookmarkStart w:id="144" w:name="_Toc3728171"/>
      <w:bookmarkStart w:id="145" w:name="_Toc23200"/>
      <w:r>
        <w:rPr>
          <w:rFonts w:hint="eastAsia" w:ascii="Times New Roman" w:hAnsi="Times New Roman" w:eastAsia="宋体" w:cs="Times New Roman"/>
          <w:b/>
          <w:color w:val="auto"/>
          <w:kern w:val="0"/>
          <w:sz w:val="32"/>
          <w:szCs w:val="32"/>
          <w:u w:val="none" w:color="auto"/>
        </w:rPr>
        <w:t>2</w:t>
      </w:r>
      <w:r>
        <w:rPr>
          <w:rFonts w:ascii="Times New Roman" w:hAnsi="Times New Roman" w:eastAsia="宋体" w:cs="Times New Roman"/>
          <w:b/>
          <w:color w:val="auto"/>
          <w:kern w:val="0"/>
          <w:sz w:val="32"/>
          <w:szCs w:val="32"/>
          <w:u w:val="none" w:color="auto"/>
        </w:rPr>
        <w:t>.2工艺流程</w:t>
      </w:r>
      <w:bookmarkEnd w:id="142"/>
      <w:bookmarkEnd w:id="143"/>
      <w:bookmarkEnd w:id="144"/>
      <w:r>
        <w:rPr>
          <w:rFonts w:hint="eastAsia" w:ascii="Times New Roman" w:hAnsi="Times New Roman" w:eastAsia="宋体" w:cs="Times New Roman"/>
          <w:b/>
          <w:color w:val="auto"/>
          <w:kern w:val="0"/>
          <w:sz w:val="32"/>
          <w:szCs w:val="32"/>
          <w:u w:val="none" w:color="auto"/>
        </w:rPr>
        <w:t>及产污环节</w:t>
      </w:r>
      <w:bookmarkEnd w:id="145"/>
    </w:p>
    <w:p w14:paraId="3DFA3B0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46" w:name="_Toc3728172"/>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.2.1</w:t>
      </w:r>
      <w:r>
        <w:rPr>
          <w:rFonts w:hint="eastAsia" w:ascii="Times New Roman" w:hAnsi="Times New Roman" w:eastAsia="宋体" w:cs="Times New Roman"/>
          <w:b/>
          <w:color w:val="auto"/>
          <w:kern w:val="0"/>
          <w:sz w:val="28"/>
          <w:szCs w:val="20"/>
          <w:u w:val="none" w:color="auto"/>
        </w:rPr>
        <w:t xml:space="preserve"> 施工期工艺流程及产污环节</w:t>
      </w:r>
      <w:bookmarkEnd w:id="146"/>
    </w:p>
    <w:p w14:paraId="23E7217A">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本项目工程施工顺序按照先地下后地上的原则，将工程划分为场地平整、基础、主体结构工程、外墙内饰装修和工程验收五个阶段，具体流程见图2.2-1。</w:t>
      </w:r>
    </w:p>
    <w:p w14:paraId="248A6D63">
      <w:pPr>
        <w:snapToGrid w:val="0"/>
        <w:spacing w:line="360" w:lineRule="auto"/>
        <w:jc w:val="center"/>
        <w:rPr>
          <w:rFonts w:hint="default" w:ascii="Times New Roman" w:hAnsi="Times New Roman" w:eastAsia="宋体" w:cs="Times New Roman"/>
          <w:color w:val="auto"/>
          <w:sz w:val="24"/>
          <w:szCs w:val="24"/>
          <w:u w:val="none" w:color="auto"/>
        </w:rPr>
      </w:pPr>
      <w:r>
        <w:rPr>
          <w:rFonts w:hint="default" w:ascii="Times New Roman" w:hAnsi="Times New Roman" w:cs="Times New Roman"/>
          <w:color w:val="auto"/>
          <w:u w:val="none" w:color="auto"/>
        </w:rPr>
        <w:drawing>
          <wp:inline distT="0" distB="0" distL="114300" distR="114300">
            <wp:extent cx="3870960" cy="3757295"/>
            <wp:effectExtent l="0" t="0" r="15240" b="1460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14"/>
                    <a:stretch>
                      <a:fillRect/>
                    </a:stretch>
                  </pic:blipFill>
                  <pic:spPr>
                    <a:xfrm>
                      <a:off x="0" y="0"/>
                      <a:ext cx="3870960" cy="3757295"/>
                    </a:xfrm>
                    <a:prstGeom prst="rect">
                      <a:avLst/>
                    </a:prstGeom>
                    <a:noFill/>
                    <a:ln>
                      <a:noFill/>
                    </a:ln>
                  </pic:spPr>
                </pic:pic>
              </a:graphicData>
            </a:graphic>
          </wp:inline>
        </w:drawing>
      </w:r>
    </w:p>
    <w:p w14:paraId="07283FA3">
      <w:pPr>
        <w:snapToGrid w:val="0"/>
        <w:spacing w:line="360" w:lineRule="auto"/>
        <w:ind w:firstLine="482" w:firstLineChars="20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图2.2-1施工工艺流程及产污节点图</w:t>
      </w:r>
    </w:p>
    <w:p w14:paraId="29C36434">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施工内容：场地平整、基础开挖、结构施工、建筑装饰、设备安装、供水、供电及道路工程等。</w:t>
      </w:r>
    </w:p>
    <w:p w14:paraId="0EAA4B55">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建筑施工方法大致为：基础构造柱和圈梁、回填土、现浇混凝土、装饰等。</w:t>
      </w:r>
    </w:p>
    <w:p w14:paraId="54F23C7F">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施工期使用的施工机械主要有推土机、挖掘机、载重汽车、振捣棒等。</w:t>
      </w:r>
    </w:p>
    <w:p w14:paraId="0FF8C0C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.2.</w:t>
      </w:r>
      <w:r>
        <w:rPr>
          <w:rFonts w:hint="eastAsia" w:ascii="Times New Roman" w:hAnsi="Times New Roman" w:eastAsia="宋体" w:cs="Times New Roman"/>
          <w:b/>
          <w:color w:val="auto"/>
          <w:kern w:val="0"/>
          <w:sz w:val="28"/>
          <w:szCs w:val="20"/>
          <w:u w:val="none" w:color="auto"/>
        </w:rPr>
        <w:t>2 运营期工艺流程及产污环节</w:t>
      </w:r>
    </w:p>
    <w:p w14:paraId="2AD34F34">
      <w:pPr>
        <w:numPr>
          <w:ilvl w:val="0"/>
          <w:numId w:val="10"/>
        </w:numPr>
        <w:snapToGrid w:val="0"/>
        <w:spacing w:line="360" w:lineRule="auto"/>
        <w:ind w:firstLine="48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钢箱桥梁生产工艺及产污环节</w:t>
      </w:r>
    </w:p>
    <w:p w14:paraId="07CBD189">
      <w:pPr>
        <w:numPr>
          <w:ilvl w:val="0"/>
          <w:numId w:val="0"/>
        </w:numPr>
        <w:snapToGrid w:val="0"/>
        <w:spacing w:line="360" w:lineRule="auto"/>
        <w:ind w:left="420" w:leftChars="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rPr>
        <w:object>
          <v:shape id="_x0000_i1025" o:spt="75" type="#_x0000_t75" style="height:568.35pt;width:424.3pt;" o:ole="t" filled="f" o:preferrelative="t" stroked="f" coordsize="21600,21600">
            <v:path/>
            <v:fill on="f" focussize="0,0"/>
            <v:stroke on="f"/>
            <v:imagedata r:id="rId16" o:title=""/>
            <o:lock v:ext="edit" aspectratio="t"/>
            <w10:wrap type="none"/>
            <w10:anchorlock/>
          </v:shape>
          <o:OLEObject Type="Embed" ProgID="Visio.Drawing.11" ShapeID="_x0000_i1025" DrawAspect="Content" ObjectID="_1468075725" r:id="rId15">
            <o:LockedField>false</o:LockedField>
          </o:OLEObject>
        </w:object>
      </w:r>
    </w:p>
    <w:p w14:paraId="580FDE30">
      <w:pPr>
        <w:snapToGrid w:val="0"/>
        <w:spacing w:line="360" w:lineRule="auto"/>
        <w:jc w:val="center"/>
        <w:rPr>
          <w:rFonts w:ascii="Times New Roman" w:hAnsi="Times New Roman" w:eastAsia="宋体" w:cs="Times New Roman"/>
          <w:color w:val="auto"/>
          <w:sz w:val="24"/>
          <w:szCs w:val="24"/>
          <w:u w:val="single" w:color="auto"/>
        </w:rPr>
      </w:pPr>
      <w:r>
        <w:rPr>
          <w:rFonts w:ascii="Times New Roman" w:hAnsi="Times New Roman" w:eastAsia="宋体" w:cs="Times New Roman"/>
          <w:b/>
          <w:bCs/>
          <w:color w:val="auto"/>
          <w:sz w:val="24"/>
          <w:szCs w:val="24"/>
          <w:u w:val="single" w:color="auto"/>
        </w:rPr>
        <w:t>图</w:t>
      </w:r>
      <w:r>
        <w:rPr>
          <w:rFonts w:hint="eastAsia" w:ascii="Times New Roman" w:hAnsi="Times New Roman" w:eastAsia="宋体" w:cs="Times New Roman"/>
          <w:b/>
          <w:bCs/>
          <w:color w:val="auto"/>
          <w:sz w:val="24"/>
          <w:szCs w:val="24"/>
          <w:u w:val="single" w:color="auto"/>
        </w:rPr>
        <w:t>2.2</w:t>
      </w:r>
      <w:r>
        <w:rPr>
          <w:rFonts w:ascii="Times New Roman" w:hAnsi="Times New Roman" w:eastAsia="宋体" w:cs="Times New Roman"/>
          <w:b/>
          <w:bCs/>
          <w:color w:val="auto"/>
          <w:sz w:val="24"/>
          <w:szCs w:val="24"/>
          <w:u w:val="single" w:color="auto"/>
        </w:rPr>
        <w:t>-3钢箱桥梁生产工艺流程及产污环节图</w:t>
      </w:r>
    </w:p>
    <w:p w14:paraId="0E60911E">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工艺流程说明</w:t>
      </w:r>
    </w:p>
    <w:p w14:paraId="469578EE">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本项目以钢板为原料，加工成型后喷涂油漆，生产钢箱桥梁。</w:t>
      </w:r>
    </w:p>
    <w:p w14:paraId="0D22DE7B">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①下料</w:t>
      </w:r>
    </w:p>
    <w:p w14:paraId="3EB81BFD">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外购的钢板入厂后需进行尺寸及表面的外观检查，检查合格后根据用途不同，分底板、腹板、隔板及梯道单元件，然后用数控切割机进行切割下料，不合格料返回生产厂家，切割时应按照订单要求开好坡口，要求坡口表面光滑平整，保证焊接度，切割过程采用丙烷火焰切割，通过丙烷燃烧后的高温火焰融化钢板，将钢板切割成满足图纸参数要求的原材料。切割产生粉尘G1，由移动式粉尘净化器收集处理，剩余未收集粉尘车间无组织排放，切割产生</w:t>
      </w:r>
      <w:r>
        <w:rPr>
          <w:rFonts w:hint="eastAsia" w:ascii="Times New Roman" w:hAnsi="Times New Roman" w:eastAsia="宋体" w:cs="Times New Roman"/>
          <w:color w:val="auto"/>
          <w:sz w:val="24"/>
          <w:szCs w:val="24"/>
          <w:u w:val="none" w:color="auto"/>
        </w:rPr>
        <w:t>的钢材</w:t>
      </w:r>
      <w:r>
        <w:rPr>
          <w:rFonts w:ascii="Times New Roman" w:hAnsi="Times New Roman" w:eastAsia="宋体" w:cs="Times New Roman"/>
          <w:color w:val="auto"/>
          <w:sz w:val="24"/>
          <w:szCs w:val="24"/>
          <w:u w:val="none" w:color="auto"/>
        </w:rPr>
        <w:t>下脚料收集后外售。</w:t>
      </w:r>
    </w:p>
    <w:p w14:paraId="3F90127E">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②划线</w:t>
      </w:r>
    </w:p>
    <w:p w14:paraId="0E0264D8">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在原料钢板上写明加工号、构件编号、规格，同时标注上孔直径、工作线、弯曲线等各种加工符号。</w:t>
      </w:r>
    </w:p>
    <w:p w14:paraId="38ADC053">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③组板</w:t>
      </w:r>
      <w:r>
        <w:rPr>
          <w:rFonts w:hint="eastAsia" w:ascii="Times New Roman" w:hAnsi="Times New Roman" w:eastAsia="宋体" w:cs="Times New Roman"/>
          <w:color w:val="auto"/>
          <w:sz w:val="24"/>
          <w:szCs w:val="24"/>
          <w:u w:val="none" w:color="auto"/>
          <w:lang w:eastAsia="zh-CN"/>
        </w:rPr>
        <w:t>拼接</w:t>
      </w:r>
      <w:r>
        <w:rPr>
          <w:rFonts w:ascii="Times New Roman" w:hAnsi="Times New Roman" w:eastAsia="宋体" w:cs="Times New Roman"/>
          <w:color w:val="auto"/>
          <w:sz w:val="24"/>
          <w:szCs w:val="24"/>
          <w:u w:val="none" w:color="auto"/>
        </w:rPr>
        <w:t>、焊接、校正</w:t>
      </w:r>
    </w:p>
    <w:p w14:paraId="7C2478D4">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根据各单元件制造图的要求组装纵肋，并进行焊接。使用翼缘矫正机等设备机械力进行校正。焊接过程产生的</w:t>
      </w:r>
      <w:r>
        <w:rPr>
          <w:rFonts w:hint="eastAsia" w:ascii="Times New Roman" w:hAnsi="Times New Roman" w:eastAsia="宋体" w:cs="Times New Roman"/>
          <w:color w:val="auto"/>
          <w:sz w:val="24"/>
          <w:szCs w:val="24"/>
          <w:u w:val="none" w:color="auto"/>
        </w:rPr>
        <w:t>焊接</w:t>
      </w:r>
      <w:r>
        <w:rPr>
          <w:rFonts w:ascii="Times New Roman" w:hAnsi="Times New Roman" w:eastAsia="宋体" w:cs="Times New Roman"/>
          <w:color w:val="auto"/>
          <w:sz w:val="24"/>
          <w:szCs w:val="24"/>
          <w:u w:val="none" w:color="auto"/>
        </w:rPr>
        <w:t>烟尘G2通过移动式烟尘净化器处理，剩余未收集粉尘在车间无组织排放，焊接</w:t>
      </w:r>
      <w:r>
        <w:rPr>
          <w:rFonts w:hint="eastAsia" w:ascii="Times New Roman" w:hAnsi="Times New Roman" w:eastAsia="宋体" w:cs="Times New Roman"/>
          <w:color w:val="auto"/>
          <w:sz w:val="24"/>
          <w:szCs w:val="24"/>
          <w:u w:val="none" w:color="auto"/>
        </w:rPr>
        <w:t>产生的</w:t>
      </w:r>
      <w:r>
        <w:rPr>
          <w:rFonts w:ascii="Times New Roman" w:hAnsi="Times New Roman" w:eastAsia="宋体" w:cs="Times New Roman"/>
          <w:color w:val="auto"/>
          <w:sz w:val="24"/>
          <w:szCs w:val="24"/>
          <w:u w:val="none" w:color="auto"/>
        </w:rPr>
        <w:t>废焊条</w:t>
      </w:r>
      <w:r>
        <w:rPr>
          <w:rFonts w:hint="eastAsia" w:ascii="Times New Roman" w:hAnsi="Times New Roman" w:eastAsia="宋体" w:cs="Times New Roman"/>
          <w:color w:val="auto"/>
          <w:sz w:val="24"/>
          <w:szCs w:val="24"/>
          <w:u w:val="none" w:color="auto"/>
        </w:rPr>
        <w:t>焊渣</w:t>
      </w:r>
      <w:r>
        <w:rPr>
          <w:rFonts w:ascii="Times New Roman" w:hAnsi="Times New Roman" w:eastAsia="宋体" w:cs="Times New Roman"/>
          <w:color w:val="auto"/>
          <w:sz w:val="24"/>
          <w:szCs w:val="24"/>
          <w:u w:val="none" w:color="auto"/>
        </w:rPr>
        <w:t>S</w:t>
      </w:r>
      <w:r>
        <w:rPr>
          <w:rFonts w:hint="eastAsia" w:ascii="Times New Roman" w:hAnsi="Times New Roman" w:eastAsia="宋体" w:cs="Times New Roman"/>
          <w:color w:val="auto"/>
          <w:sz w:val="24"/>
          <w:szCs w:val="24"/>
          <w:u w:val="none" w:color="auto"/>
        </w:rPr>
        <w:t>4</w:t>
      </w:r>
      <w:r>
        <w:rPr>
          <w:rFonts w:ascii="Times New Roman" w:hAnsi="Times New Roman" w:eastAsia="宋体" w:cs="Times New Roman"/>
          <w:color w:val="auto"/>
          <w:sz w:val="24"/>
          <w:szCs w:val="24"/>
          <w:u w:val="none" w:color="auto"/>
        </w:rPr>
        <w:t>外售。</w:t>
      </w:r>
    </w:p>
    <w:p w14:paraId="5A8FFD4D">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④总拼组装、焊接</w:t>
      </w:r>
    </w:p>
    <w:p w14:paraId="6D872429">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根据图纸要求进行总组装，特别要控制端口及横隔板处的组装精度，将各单元件</w:t>
      </w:r>
      <w:r>
        <w:rPr>
          <w:rFonts w:hint="eastAsia" w:ascii="Times New Roman" w:hAnsi="Times New Roman" w:eastAsia="宋体" w:cs="Times New Roman"/>
          <w:color w:val="auto"/>
          <w:sz w:val="24"/>
          <w:szCs w:val="24"/>
          <w:u w:val="none" w:color="auto"/>
          <w:lang w:eastAsia="zh-CN"/>
        </w:rPr>
        <w:t>置于</w:t>
      </w:r>
      <w:r>
        <w:rPr>
          <w:rFonts w:ascii="Times New Roman" w:hAnsi="Times New Roman" w:eastAsia="宋体" w:cs="Times New Roman"/>
          <w:color w:val="auto"/>
          <w:sz w:val="24"/>
          <w:szCs w:val="24"/>
          <w:u w:val="none" w:color="auto"/>
        </w:rPr>
        <w:t>反变形船形摇摆焊接台架上进行焊接。焊接过程产生的</w:t>
      </w:r>
      <w:r>
        <w:rPr>
          <w:rFonts w:hint="eastAsia" w:ascii="Times New Roman" w:hAnsi="Times New Roman" w:eastAsia="宋体" w:cs="Times New Roman"/>
          <w:color w:val="auto"/>
          <w:sz w:val="24"/>
          <w:szCs w:val="24"/>
          <w:u w:val="none" w:color="auto"/>
        </w:rPr>
        <w:t>焊接</w:t>
      </w:r>
      <w:r>
        <w:rPr>
          <w:rFonts w:ascii="Times New Roman" w:hAnsi="Times New Roman" w:eastAsia="宋体" w:cs="Times New Roman"/>
          <w:color w:val="auto"/>
          <w:sz w:val="24"/>
          <w:szCs w:val="24"/>
          <w:u w:val="none" w:color="auto"/>
        </w:rPr>
        <w:t>烟尘G2通过移动式烟尘净化器处理，剩余未收集粉尘在车间无组织排放，焊接</w:t>
      </w:r>
      <w:r>
        <w:rPr>
          <w:rFonts w:hint="eastAsia" w:ascii="Times New Roman" w:hAnsi="Times New Roman" w:eastAsia="宋体" w:cs="Times New Roman"/>
          <w:color w:val="auto"/>
          <w:sz w:val="24"/>
          <w:szCs w:val="24"/>
          <w:u w:val="none" w:color="auto"/>
        </w:rPr>
        <w:t>产生的</w:t>
      </w:r>
      <w:r>
        <w:rPr>
          <w:rFonts w:ascii="Times New Roman" w:hAnsi="Times New Roman" w:eastAsia="宋体" w:cs="Times New Roman"/>
          <w:color w:val="auto"/>
          <w:sz w:val="24"/>
          <w:szCs w:val="24"/>
          <w:u w:val="none" w:color="auto"/>
        </w:rPr>
        <w:t>废焊条</w:t>
      </w:r>
      <w:r>
        <w:rPr>
          <w:rFonts w:hint="eastAsia" w:ascii="Times New Roman" w:hAnsi="Times New Roman" w:eastAsia="宋体" w:cs="Times New Roman"/>
          <w:color w:val="auto"/>
          <w:sz w:val="24"/>
          <w:szCs w:val="24"/>
          <w:u w:val="none" w:color="auto"/>
        </w:rPr>
        <w:t>焊渣</w:t>
      </w:r>
      <w:r>
        <w:rPr>
          <w:rFonts w:ascii="Times New Roman" w:hAnsi="Times New Roman" w:eastAsia="宋体" w:cs="Times New Roman"/>
          <w:color w:val="auto"/>
          <w:sz w:val="24"/>
          <w:szCs w:val="24"/>
          <w:u w:val="none" w:color="auto"/>
        </w:rPr>
        <w:t>S</w:t>
      </w:r>
      <w:r>
        <w:rPr>
          <w:rFonts w:hint="eastAsia" w:ascii="Times New Roman" w:hAnsi="Times New Roman" w:eastAsia="宋体" w:cs="Times New Roman"/>
          <w:color w:val="auto"/>
          <w:sz w:val="24"/>
          <w:szCs w:val="24"/>
          <w:u w:val="none" w:color="auto"/>
        </w:rPr>
        <w:t>4收集后</w:t>
      </w:r>
      <w:r>
        <w:rPr>
          <w:rFonts w:ascii="Times New Roman" w:hAnsi="Times New Roman" w:eastAsia="宋体" w:cs="Times New Roman"/>
          <w:color w:val="auto"/>
          <w:sz w:val="24"/>
          <w:szCs w:val="24"/>
          <w:u w:val="none" w:color="auto"/>
        </w:rPr>
        <w:t>外售。</w:t>
      </w:r>
    </w:p>
    <w:p w14:paraId="25F458AA">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⑤探伤</w:t>
      </w:r>
    </w:p>
    <w:p w14:paraId="6A092D7F">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超声波探伤，检查焊缝内部是否存在缺陷，焊缝不允许有裂纹、夹渣、气孔、未焊透等缺陷。</w:t>
      </w:r>
    </w:p>
    <w:p w14:paraId="382FFACA">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⑥涂装</w:t>
      </w:r>
    </w:p>
    <w:p w14:paraId="450DCA74">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经过探伤检测后成品方可进</w:t>
      </w:r>
      <w:r>
        <w:rPr>
          <w:rFonts w:hint="eastAsia" w:ascii="Times New Roman" w:hAnsi="Times New Roman" w:eastAsia="宋体" w:cs="Times New Roman"/>
          <w:color w:val="auto"/>
          <w:sz w:val="24"/>
          <w:szCs w:val="24"/>
          <w:u w:val="single" w:color="auto"/>
          <w:lang w:val="en-US" w:eastAsia="zh-CN"/>
        </w:rPr>
        <w:t>密闭的涂装车间</w:t>
      </w:r>
      <w:r>
        <w:rPr>
          <w:rFonts w:ascii="Times New Roman" w:hAnsi="Times New Roman" w:eastAsia="宋体" w:cs="Times New Roman"/>
          <w:color w:val="auto"/>
          <w:sz w:val="24"/>
          <w:szCs w:val="24"/>
          <w:u w:val="single" w:color="auto"/>
        </w:rPr>
        <w:t>喷漆，采用无气喷涂进行喷漆</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其原理通过高压泵将涂料加压，使其从喷嘴高速喷出，与空气剧烈碰撞破碎成微粒，形成均匀的雾化涂料，喷涂在工件表面</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喷涂</w:t>
      </w:r>
      <w:r>
        <w:rPr>
          <w:rFonts w:ascii="Times New Roman" w:hAnsi="Times New Roman" w:eastAsia="宋体" w:cs="Times New Roman"/>
          <w:color w:val="auto"/>
          <w:sz w:val="24"/>
          <w:szCs w:val="24"/>
          <w:u w:val="single" w:color="auto"/>
        </w:rPr>
        <w:t>主要流程是进行表面第一层→</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支架和工件内部难以到达的部分→进行表面第二层→</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支架和工件内部难以到达的部分→进行表面第</w:t>
      </w:r>
      <w:r>
        <w:rPr>
          <w:rFonts w:hint="eastAsia" w:ascii="Times New Roman" w:hAnsi="Times New Roman" w:eastAsia="宋体" w:cs="Times New Roman"/>
          <w:color w:val="auto"/>
          <w:sz w:val="24"/>
          <w:szCs w:val="24"/>
          <w:u w:val="single" w:color="auto"/>
        </w:rPr>
        <w:t>三</w:t>
      </w:r>
      <w:r>
        <w:rPr>
          <w:rFonts w:ascii="Times New Roman" w:hAnsi="Times New Roman" w:eastAsia="宋体" w:cs="Times New Roman"/>
          <w:color w:val="auto"/>
          <w:sz w:val="24"/>
          <w:szCs w:val="24"/>
          <w:u w:val="single" w:color="auto"/>
        </w:rPr>
        <w:t>层→</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支架和工件内部难以到达的部分→干燥。</w:t>
      </w:r>
    </w:p>
    <w:p w14:paraId="593D1FE2">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调漆、</w:t>
      </w:r>
      <w:r>
        <w:rPr>
          <w:rFonts w:ascii="Times New Roman" w:hAnsi="Times New Roman" w:eastAsia="宋体" w:cs="Times New Roman"/>
          <w:color w:val="auto"/>
          <w:sz w:val="24"/>
          <w:szCs w:val="24"/>
          <w:u w:val="single" w:color="auto"/>
        </w:rPr>
        <w:t>喷涂、</w:t>
      </w:r>
      <w:r>
        <w:rPr>
          <w:rFonts w:hint="eastAsia" w:ascii="Times New Roman" w:hAnsi="Times New Roman" w:eastAsia="宋体" w:cs="Times New Roman"/>
          <w:color w:val="auto"/>
          <w:sz w:val="24"/>
          <w:szCs w:val="24"/>
          <w:u w:val="single" w:color="auto"/>
          <w:lang w:val="en-US" w:eastAsia="zh-CN"/>
        </w:rPr>
        <w:t>晾干</w:t>
      </w:r>
      <w:r>
        <w:rPr>
          <w:rFonts w:ascii="Times New Roman" w:hAnsi="Times New Roman" w:eastAsia="宋体" w:cs="Times New Roman"/>
          <w:color w:val="auto"/>
          <w:sz w:val="24"/>
          <w:szCs w:val="24"/>
          <w:u w:val="single" w:color="auto"/>
        </w:rPr>
        <w:t>均在密闭的</w:t>
      </w:r>
      <w:r>
        <w:rPr>
          <w:rFonts w:hint="eastAsia" w:ascii="Times New Roman" w:hAnsi="Times New Roman" w:eastAsia="宋体" w:cs="Times New Roman"/>
          <w:color w:val="auto"/>
          <w:sz w:val="24"/>
          <w:szCs w:val="24"/>
          <w:u w:val="single" w:color="auto"/>
          <w:lang w:val="en-US" w:eastAsia="zh-CN"/>
        </w:rPr>
        <w:t>涂装车间</w:t>
      </w:r>
      <w:r>
        <w:rPr>
          <w:rFonts w:ascii="Times New Roman" w:hAnsi="Times New Roman" w:eastAsia="宋体" w:cs="Times New Roman"/>
          <w:color w:val="auto"/>
          <w:sz w:val="24"/>
          <w:szCs w:val="24"/>
          <w:u w:val="single" w:color="auto"/>
        </w:rPr>
        <w:t>内进行，喷漆废气G5经废气处理装置</w:t>
      </w:r>
      <w:r>
        <w:rPr>
          <w:rFonts w:hint="eastAsia" w:ascii="Times New Roman" w:hAnsi="Times New Roman" w:eastAsia="宋体" w:cs="Times New Roman"/>
          <w:color w:val="auto"/>
          <w:sz w:val="24"/>
          <w:szCs w:val="24"/>
          <w:u w:val="single" w:color="auto"/>
        </w:rPr>
        <w:t>（干式过滤+活性炭吸附+解吸脱附+催化燃烧）</w:t>
      </w:r>
      <w:r>
        <w:rPr>
          <w:rFonts w:ascii="Times New Roman" w:hAnsi="Times New Roman" w:eastAsia="宋体" w:cs="Times New Roman"/>
          <w:color w:val="auto"/>
          <w:sz w:val="24"/>
          <w:szCs w:val="24"/>
          <w:u w:val="single" w:color="auto"/>
        </w:rPr>
        <w:t>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r>
        <w:rPr>
          <w:rFonts w:ascii="Times New Roman" w:hAnsi="Times New Roman" w:eastAsia="宋体" w:cs="Times New Roman"/>
          <w:color w:val="auto"/>
          <w:sz w:val="24"/>
          <w:szCs w:val="24"/>
          <w:u w:val="single" w:color="auto"/>
        </w:rPr>
        <w:t>。</w:t>
      </w:r>
    </w:p>
    <w:p w14:paraId="52FF9A28">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⑦安装梯道</w:t>
      </w:r>
    </w:p>
    <w:p w14:paraId="514EBF8C">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按照图纸要求安装梯道等部件。</w:t>
      </w:r>
    </w:p>
    <w:p w14:paraId="09A35143">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⑧包装发货</w:t>
      </w:r>
    </w:p>
    <w:p w14:paraId="30064A50">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最终检验合格后，将桥梁包装，并做好防变形措施</w:t>
      </w:r>
      <w:r>
        <w:rPr>
          <w:rFonts w:hint="eastAsia" w:ascii="Times New Roman" w:hAnsi="Times New Roman" w:eastAsia="宋体" w:cs="Times New Roman"/>
          <w:color w:val="auto"/>
          <w:sz w:val="24"/>
          <w:szCs w:val="24"/>
          <w:u w:val="none" w:color="auto"/>
        </w:rPr>
        <w:t>，并通过项目租用的位于生产区西侧的钦州北港物流有限公司码头发货</w:t>
      </w:r>
      <w:r>
        <w:rPr>
          <w:rFonts w:ascii="Times New Roman" w:hAnsi="Times New Roman" w:eastAsia="宋体" w:cs="Times New Roman"/>
          <w:color w:val="auto"/>
          <w:sz w:val="24"/>
          <w:szCs w:val="24"/>
          <w:u w:val="none" w:color="auto"/>
        </w:rPr>
        <w:t>。</w:t>
      </w:r>
    </w:p>
    <w:p w14:paraId="7D08F2EA">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切割废气经集气罩收集由移动式烟(粉)尘净化器处理后车间无组织排放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焊接废气经集气罩收集由移动式烟(粉)尘净化器处理后车间无组织排放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p>
    <w:p w14:paraId="361614B4">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喷漆废气经负压收集由“干式漆雾过滤+活性炭吸附</w:t>
      </w:r>
      <w:r>
        <w:rPr>
          <w:rFonts w:hint="eastAsia" w:ascii="Times New Roman" w:hAnsi="Times New Roman" w:eastAsia="宋体" w:cs="Times New Roman"/>
          <w:color w:val="auto"/>
          <w:sz w:val="24"/>
          <w:szCs w:val="24"/>
          <w:u w:val="single" w:color="auto"/>
        </w:rPr>
        <w:t>+催化燃烧</w:t>
      </w:r>
      <w:r>
        <w:rPr>
          <w:rFonts w:ascii="Times New Roman" w:hAnsi="Times New Roman" w:eastAsia="宋体" w:cs="Times New Roman"/>
          <w:color w:val="auto"/>
          <w:sz w:val="24"/>
          <w:szCs w:val="24"/>
          <w:u w:val="single" w:color="auto"/>
        </w:rPr>
        <w:t>”处理</w:t>
      </w:r>
      <w:r>
        <w:rPr>
          <w:rFonts w:hint="eastAsia" w:ascii="Times New Roman" w:hAnsi="Times New Roman" w:eastAsia="宋体" w:cs="Times New Roman"/>
          <w:color w:val="auto"/>
          <w:sz w:val="24"/>
          <w:szCs w:val="24"/>
          <w:u w:val="single" w:color="auto"/>
        </w:rPr>
        <w:t>装置处理后</w:t>
      </w:r>
      <w:r>
        <w:rPr>
          <w:rFonts w:ascii="Times New Roman" w:hAnsi="Times New Roman" w:eastAsia="宋体" w:cs="Times New Roman"/>
          <w:color w:val="auto"/>
          <w:sz w:val="24"/>
          <w:szCs w:val="24"/>
          <w:u w:val="single" w:color="auto"/>
        </w:rPr>
        <w:t>，通过</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0</w:t>
      </w:r>
      <w:r>
        <w:rPr>
          <w:rFonts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rPr>
        <w:t>高</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p>
    <w:p w14:paraId="627F003E">
      <w:pPr>
        <w:numPr>
          <w:ilvl w:val="0"/>
          <w:numId w:val="10"/>
        </w:numPr>
        <w:snapToGrid w:val="0"/>
        <w:spacing w:line="360" w:lineRule="auto"/>
        <w:ind w:firstLine="48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海桩</w:t>
      </w:r>
      <w:r>
        <w:rPr>
          <w:rFonts w:ascii="Times New Roman" w:hAnsi="Times New Roman" w:eastAsia="宋体" w:cs="Times New Roman"/>
          <w:color w:val="auto"/>
          <w:sz w:val="24"/>
          <w:szCs w:val="24"/>
          <w:u w:val="none" w:color="auto"/>
        </w:rPr>
        <w:t>生产工艺及产污环节</w:t>
      </w:r>
    </w:p>
    <w:p w14:paraId="38CBE021">
      <w:pPr>
        <w:pStyle w:val="35"/>
        <w:ind w:firstLine="24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object>
          <v:shape id="_x0000_i1026" o:spt="75" type="#_x0000_t75" style="height:581.95pt;width:368.7pt;" o:ole="t" filled="f" o:preferrelative="t" stroked="f" coordsize="21600,21600">
            <v:path/>
            <v:fill on="f" focussize="0,0"/>
            <v:stroke on="f"/>
            <v:imagedata r:id="rId18" o:title=""/>
            <o:lock v:ext="edit" aspectratio="t"/>
            <w10:wrap type="none"/>
            <w10:anchorlock/>
          </v:shape>
          <o:OLEObject Type="Embed" ProgID="Visio.Drawing.11" ShapeID="_x0000_i1026" DrawAspect="Content" ObjectID="_1468075726" r:id="rId17">
            <o:LockedField>false</o:LockedField>
          </o:OLEObject>
        </w:object>
      </w:r>
    </w:p>
    <w:p w14:paraId="6B7DD530">
      <w:pPr>
        <w:snapToGrid w:val="0"/>
        <w:spacing w:line="360" w:lineRule="auto"/>
        <w:ind w:firstLine="482" w:firstLineChars="200"/>
        <w:jc w:val="center"/>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 xml:space="preserve">图2.2-4 </w:t>
      </w:r>
      <w:r>
        <w:rPr>
          <w:rFonts w:hint="eastAsia" w:ascii="Times New Roman" w:hAnsi="Times New Roman" w:eastAsia="宋体" w:cs="Times New Roman"/>
          <w:b/>
          <w:bCs/>
          <w:color w:val="auto"/>
          <w:sz w:val="24"/>
          <w:szCs w:val="24"/>
          <w:u w:val="none" w:color="auto"/>
          <w:lang w:eastAsia="zh-CN"/>
        </w:rPr>
        <w:t>海桩</w:t>
      </w:r>
      <w:r>
        <w:rPr>
          <w:rFonts w:hint="eastAsia" w:ascii="Times New Roman" w:hAnsi="Times New Roman" w:eastAsia="宋体" w:cs="Times New Roman"/>
          <w:b/>
          <w:bCs/>
          <w:color w:val="auto"/>
          <w:sz w:val="24"/>
          <w:szCs w:val="24"/>
          <w:u w:val="none" w:color="auto"/>
        </w:rPr>
        <w:t>生产工艺流程及产污环节图</w:t>
      </w:r>
    </w:p>
    <w:p w14:paraId="1210417A">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工艺流程说明：</w:t>
      </w:r>
    </w:p>
    <w:p w14:paraId="17E24AF6">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本项目以钢板为原料，加工成型后喷涂油漆，生产</w:t>
      </w:r>
      <w:r>
        <w:rPr>
          <w:rFonts w:hint="eastAsia" w:ascii="Times New Roman" w:hAnsi="Times New Roman" w:eastAsia="宋体" w:cs="Times New Roman"/>
          <w:color w:val="auto"/>
          <w:sz w:val="24"/>
          <w:szCs w:val="24"/>
          <w:u w:val="none" w:color="auto"/>
          <w:lang w:eastAsia="zh-CN"/>
        </w:rPr>
        <w:t>海桩</w:t>
      </w:r>
      <w:r>
        <w:rPr>
          <w:rFonts w:ascii="Times New Roman" w:hAnsi="Times New Roman" w:eastAsia="宋体" w:cs="Times New Roman"/>
          <w:color w:val="auto"/>
          <w:sz w:val="24"/>
          <w:szCs w:val="24"/>
          <w:u w:val="none" w:color="auto"/>
        </w:rPr>
        <w:t>。</w:t>
      </w:r>
    </w:p>
    <w:p w14:paraId="0FED45FB">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①数控切割下料</w:t>
      </w:r>
    </w:p>
    <w:p w14:paraId="35C87DE5">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外购的钢板入厂后需进行尺寸及表面的外观检查，检查合格后用数控切割机进行切割下料，不合格料返回生产厂家，切割时应按照订单要求开好坡口，要求坡口表面光滑平整，保证焊接度，切割过程采用丙烷火焰切割，通过丙烷燃烧后的高温火焰融化钢板，将钢板切割成满足图纸参数要求的原材料。切割产生粉尘G1，由移动式粉尘净化器收集处理，剩余未收集粉尘车间无组织排放，切割产生</w:t>
      </w:r>
      <w:r>
        <w:rPr>
          <w:rFonts w:hint="eastAsia" w:ascii="Times New Roman" w:hAnsi="Times New Roman" w:eastAsia="宋体" w:cs="Times New Roman"/>
          <w:color w:val="auto"/>
          <w:sz w:val="24"/>
          <w:szCs w:val="24"/>
          <w:u w:val="none" w:color="auto"/>
        </w:rPr>
        <w:t>钢材</w:t>
      </w:r>
      <w:r>
        <w:rPr>
          <w:rFonts w:ascii="Times New Roman" w:hAnsi="Times New Roman" w:eastAsia="宋体" w:cs="Times New Roman"/>
          <w:color w:val="auto"/>
          <w:sz w:val="24"/>
          <w:szCs w:val="24"/>
          <w:u w:val="none" w:color="auto"/>
        </w:rPr>
        <w:t>下脚料收集后外售。</w:t>
      </w:r>
    </w:p>
    <w:p w14:paraId="749CA6DA">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②卷板、纵缝焊接、回圆</w:t>
      </w:r>
    </w:p>
    <w:p w14:paraId="5ACC7843">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按照图纸和技术要求，使用卷板机对钢板滚圆、卷制，此过程中钢板无需加热，确认后用埋弧焊机进行纵缝焊接，焊接之后对塔圆度进行检查，如有问题进行回圆矫正，卷板和回圆时应将卷板机的上下辊表面清理干净，不允许有异物存在。焊接过程产生的</w:t>
      </w:r>
      <w:r>
        <w:rPr>
          <w:rFonts w:hint="eastAsia" w:ascii="Times New Roman" w:hAnsi="Times New Roman" w:eastAsia="宋体" w:cs="Times New Roman"/>
          <w:color w:val="auto"/>
          <w:sz w:val="24"/>
          <w:szCs w:val="24"/>
          <w:u w:val="none" w:color="auto"/>
        </w:rPr>
        <w:t>焊接</w:t>
      </w:r>
      <w:r>
        <w:rPr>
          <w:rFonts w:ascii="Times New Roman" w:hAnsi="Times New Roman" w:eastAsia="宋体" w:cs="Times New Roman"/>
          <w:color w:val="auto"/>
          <w:sz w:val="24"/>
          <w:szCs w:val="24"/>
          <w:u w:val="none" w:color="auto"/>
        </w:rPr>
        <w:t>烟尘G2通过移动式烟尘净化器处理，剩余未收集粉尘在车间无组织排放，焊接</w:t>
      </w:r>
      <w:r>
        <w:rPr>
          <w:rFonts w:hint="eastAsia" w:ascii="Times New Roman" w:hAnsi="Times New Roman" w:eastAsia="宋体" w:cs="Times New Roman"/>
          <w:color w:val="auto"/>
          <w:sz w:val="24"/>
          <w:szCs w:val="24"/>
          <w:u w:val="none" w:color="auto"/>
        </w:rPr>
        <w:t>产生的</w:t>
      </w:r>
      <w:r>
        <w:rPr>
          <w:rFonts w:ascii="Times New Roman" w:hAnsi="Times New Roman" w:eastAsia="宋体" w:cs="Times New Roman"/>
          <w:color w:val="auto"/>
          <w:sz w:val="24"/>
          <w:szCs w:val="24"/>
          <w:u w:val="none" w:color="auto"/>
        </w:rPr>
        <w:t>废焊条</w:t>
      </w:r>
      <w:r>
        <w:rPr>
          <w:rFonts w:hint="eastAsia" w:ascii="Times New Roman" w:hAnsi="Times New Roman" w:eastAsia="宋体" w:cs="Times New Roman"/>
          <w:color w:val="auto"/>
          <w:sz w:val="24"/>
          <w:szCs w:val="24"/>
          <w:u w:val="none" w:color="auto"/>
        </w:rPr>
        <w:t>焊渣收集后外售</w:t>
      </w:r>
      <w:r>
        <w:rPr>
          <w:rFonts w:ascii="Times New Roman" w:hAnsi="Times New Roman" w:eastAsia="宋体" w:cs="Times New Roman"/>
          <w:color w:val="auto"/>
          <w:sz w:val="24"/>
          <w:szCs w:val="24"/>
          <w:u w:val="none" w:color="auto"/>
        </w:rPr>
        <w:t>。</w:t>
      </w:r>
    </w:p>
    <w:p w14:paraId="6DDDC092">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③UT检测</w:t>
      </w:r>
    </w:p>
    <w:p w14:paraId="43623346">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超声波探伤，检查焊缝内部是否存在缺陷，焊缝不允许有裂纹、夹渣、气孔、未焊透等缺陷。</w:t>
      </w:r>
    </w:p>
    <w:p w14:paraId="646AA18C">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④环焊接、UT检测</w:t>
      </w:r>
    </w:p>
    <w:p w14:paraId="3AD34964">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将加工好的各节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，运至组装车间，将法兰与单节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体组对，将单节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体与单节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体按顺序组对为一段</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，用埋弧焊机进行环缝焊接，检测焊缝，检查</w:t>
      </w:r>
      <w:r>
        <w:rPr>
          <w:rFonts w:hint="eastAsia" w:ascii="Times New Roman" w:hAnsi="Times New Roman" w:eastAsia="宋体" w:cs="Times New Roman"/>
          <w:color w:val="auto"/>
          <w:sz w:val="24"/>
          <w:szCs w:val="24"/>
          <w:u w:val="none" w:color="auto"/>
        </w:rPr>
        <w:t>管桩</w:t>
      </w:r>
      <w:r>
        <w:rPr>
          <w:rFonts w:ascii="Times New Roman" w:hAnsi="Times New Roman" w:eastAsia="宋体" w:cs="Times New Roman"/>
          <w:color w:val="auto"/>
          <w:sz w:val="24"/>
          <w:szCs w:val="24"/>
          <w:u w:val="none" w:color="auto"/>
        </w:rPr>
        <w:t>尺寸，检查法兰平面度。超声波探伤，焊缝内部是否存在缺陷。焊接过</w:t>
      </w:r>
      <w:r>
        <w:rPr>
          <w:rFonts w:hint="eastAsia" w:ascii="Times New Roman" w:hAnsi="Times New Roman" w:eastAsia="宋体" w:cs="Times New Roman"/>
          <w:color w:val="auto"/>
          <w:sz w:val="24"/>
          <w:szCs w:val="24"/>
          <w:u w:val="none" w:color="auto"/>
          <w:lang w:eastAsia="zh-CN"/>
        </w:rPr>
        <w:t>程发</w:t>
      </w:r>
      <w:r>
        <w:rPr>
          <w:rFonts w:ascii="Times New Roman" w:hAnsi="Times New Roman" w:eastAsia="宋体" w:cs="Times New Roman"/>
          <w:color w:val="auto"/>
          <w:sz w:val="24"/>
          <w:szCs w:val="24"/>
          <w:u w:val="none" w:color="auto"/>
        </w:rPr>
        <w:t>生的烟尘通过移动式烟尘净化器处理，</w:t>
      </w:r>
      <w:r>
        <w:rPr>
          <w:rFonts w:hint="eastAsia" w:ascii="Times New Roman" w:hAnsi="Times New Roman" w:eastAsia="宋体" w:cs="Times New Roman"/>
          <w:color w:val="auto"/>
          <w:sz w:val="24"/>
          <w:szCs w:val="24"/>
          <w:u w:val="none" w:color="auto"/>
        </w:rPr>
        <w:t>剩余</w:t>
      </w:r>
      <w:r>
        <w:rPr>
          <w:rFonts w:ascii="Times New Roman" w:hAnsi="Times New Roman" w:eastAsia="宋体" w:cs="Times New Roman"/>
          <w:color w:val="auto"/>
          <w:sz w:val="24"/>
          <w:szCs w:val="24"/>
          <w:u w:val="none" w:color="auto"/>
        </w:rPr>
        <w:t>未收集粉尘在车间无组织排放，焊接</w:t>
      </w:r>
      <w:r>
        <w:rPr>
          <w:rFonts w:hint="eastAsia" w:ascii="Times New Roman" w:hAnsi="Times New Roman" w:eastAsia="宋体" w:cs="Times New Roman"/>
          <w:color w:val="auto"/>
          <w:sz w:val="24"/>
          <w:szCs w:val="24"/>
          <w:u w:val="none" w:color="auto"/>
        </w:rPr>
        <w:t>产生的</w:t>
      </w:r>
      <w:r>
        <w:rPr>
          <w:rFonts w:ascii="Times New Roman" w:hAnsi="Times New Roman" w:eastAsia="宋体" w:cs="Times New Roman"/>
          <w:color w:val="auto"/>
          <w:sz w:val="24"/>
          <w:szCs w:val="24"/>
          <w:u w:val="none" w:color="auto"/>
        </w:rPr>
        <w:t>废焊条</w:t>
      </w:r>
      <w:r>
        <w:rPr>
          <w:rFonts w:hint="eastAsia" w:ascii="Times New Roman" w:hAnsi="Times New Roman" w:eastAsia="宋体" w:cs="Times New Roman"/>
          <w:color w:val="auto"/>
          <w:sz w:val="24"/>
          <w:szCs w:val="24"/>
          <w:u w:val="none" w:color="auto"/>
        </w:rPr>
        <w:t>焊渣收集后外售</w:t>
      </w:r>
      <w:r>
        <w:rPr>
          <w:rFonts w:ascii="Times New Roman" w:hAnsi="Times New Roman" w:eastAsia="宋体" w:cs="Times New Roman"/>
          <w:color w:val="auto"/>
          <w:sz w:val="24"/>
          <w:szCs w:val="24"/>
          <w:u w:val="none" w:color="auto"/>
        </w:rPr>
        <w:t>。</w:t>
      </w:r>
    </w:p>
    <w:p w14:paraId="02D44341">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⑤</w:t>
      </w:r>
      <w:r>
        <w:rPr>
          <w:rFonts w:ascii="Times New Roman" w:hAnsi="Times New Roman" w:eastAsia="宋体" w:cs="Times New Roman"/>
          <w:color w:val="auto"/>
          <w:sz w:val="24"/>
          <w:szCs w:val="24"/>
          <w:u w:val="none" w:color="auto"/>
        </w:rPr>
        <w:t>自动抛丸、手动喷砂</w:t>
      </w:r>
    </w:p>
    <w:p w14:paraId="69499581">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半成品内外表面及法兰连接处须进行表面处理，使</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内外表面及法兰连接处表面出现麻点，增加表面附着力，提高油漆附着效果及年限，同时清除</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内外表面及法兰连接处杂物。表面处理过程分为自动抛丸和手动喷砂工序，抛丸与喷砂所用介质为均为</w:t>
      </w:r>
      <w:r>
        <w:rPr>
          <w:rFonts w:hint="eastAsia" w:ascii="Times New Roman" w:hAnsi="Times New Roman" w:eastAsia="宋体" w:cs="Times New Roman"/>
          <w:color w:val="auto"/>
          <w:sz w:val="24"/>
          <w:szCs w:val="24"/>
          <w:u w:val="single" w:color="auto"/>
        </w:rPr>
        <w:t>钢丸</w:t>
      </w:r>
      <w:r>
        <w:rPr>
          <w:rFonts w:ascii="Times New Roman" w:hAnsi="Times New Roman" w:eastAsia="宋体" w:cs="Times New Roman"/>
          <w:color w:val="auto"/>
          <w:sz w:val="24"/>
          <w:szCs w:val="24"/>
          <w:u w:val="single" w:color="auto"/>
        </w:rPr>
        <w:t>。</w:t>
      </w:r>
    </w:p>
    <w:p w14:paraId="46769A0D">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先用自动抛丸机对半成品</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内、外壁进行抛丸，对</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大部分区域进行表面处理，经抛丸后的</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进入手动喷砂房，用人工喷砂设备对自动抛丸过程遗漏的边角处进行找补。抛丸过程中钢丸粒径不断变小，粒径变为原来的一半时即不能再使用，产生废钢丸。本项目抛丸室和手动</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房均为全封闭车间，抛丸废气G3经</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排气筒（DA001）排放，喷砂废气G4经滤筒除尘器处理后，通过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1</w:t>
      </w:r>
      <w:r>
        <w:rPr>
          <w:rFonts w:ascii="Times New Roman" w:hAnsi="Times New Roman" w:eastAsia="宋体" w:cs="Times New Roman"/>
          <w:color w:val="auto"/>
          <w:sz w:val="24"/>
          <w:szCs w:val="24"/>
          <w:u w:val="single" w:color="auto"/>
        </w:rPr>
        <w:t>)排放。</w:t>
      </w:r>
    </w:p>
    <w:p w14:paraId="3F2FB934">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⑥</w:t>
      </w:r>
      <w:r>
        <w:rPr>
          <w:rFonts w:ascii="Times New Roman" w:hAnsi="Times New Roman" w:eastAsia="宋体" w:cs="Times New Roman"/>
          <w:color w:val="auto"/>
          <w:sz w:val="24"/>
          <w:szCs w:val="24"/>
          <w:u w:val="single" w:color="auto"/>
        </w:rPr>
        <w:t>涂装</w:t>
      </w:r>
    </w:p>
    <w:p w14:paraId="06D0C268">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经过抛丸、喷砂后的</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可进</w:t>
      </w:r>
      <w:r>
        <w:rPr>
          <w:rFonts w:hint="eastAsia" w:ascii="Times New Roman" w:hAnsi="Times New Roman" w:eastAsia="宋体" w:cs="Times New Roman"/>
          <w:color w:val="auto"/>
          <w:sz w:val="24"/>
          <w:szCs w:val="24"/>
          <w:u w:val="single" w:color="auto"/>
          <w:lang w:val="en-US" w:eastAsia="zh-CN"/>
        </w:rPr>
        <w:t>密闭的涂装车间</w:t>
      </w:r>
      <w:r>
        <w:rPr>
          <w:rFonts w:ascii="Times New Roman" w:hAnsi="Times New Roman" w:eastAsia="宋体" w:cs="Times New Roman"/>
          <w:color w:val="auto"/>
          <w:sz w:val="24"/>
          <w:szCs w:val="24"/>
          <w:u w:val="single" w:color="auto"/>
        </w:rPr>
        <w:t>喷漆，采用无气喷涂进行喷漆</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其原理通过高压泵将涂料加压，使其从喷嘴高速喷出，与空气剧烈碰撞破碎成微粒，形成均匀的雾化涂料，喷涂在工件表面</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喷涂</w:t>
      </w:r>
      <w:r>
        <w:rPr>
          <w:rFonts w:ascii="Times New Roman" w:hAnsi="Times New Roman" w:eastAsia="宋体" w:cs="Times New Roman"/>
          <w:color w:val="auto"/>
          <w:sz w:val="24"/>
          <w:szCs w:val="24"/>
          <w:u w:val="single" w:color="auto"/>
        </w:rPr>
        <w:t>主要流程是</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法兰面和法兰孔→进行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外表面第一层→进行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内表面第一层→进行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外表面第二层→</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支架和工件内部难以到达的部分→进行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内表面第二层→进行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w:t>
      </w:r>
      <w:r>
        <w:rPr>
          <w:rFonts w:hint="eastAsia" w:ascii="Times New Roman" w:hAnsi="Times New Roman" w:eastAsia="宋体" w:cs="Times New Roman"/>
          <w:color w:val="auto"/>
          <w:sz w:val="24"/>
          <w:szCs w:val="24"/>
          <w:u w:val="single" w:color="auto"/>
        </w:rPr>
        <w:t>三</w:t>
      </w:r>
      <w:r>
        <w:rPr>
          <w:rFonts w:ascii="Times New Roman" w:hAnsi="Times New Roman" w:eastAsia="宋体" w:cs="Times New Roman"/>
          <w:color w:val="auto"/>
          <w:sz w:val="24"/>
          <w:szCs w:val="24"/>
          <w:u w:val="single" w:color="auto"/>
        </w:rPr>
        <w:t>层→干燥。</w:t>
      </w:r>
    </w:p>
    <w:p w14:paraId="5096A483">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调漆、</w:t>
      </w:r>
      <w:r>
        <w:rPr>
          <w:rFonts w:ascii="Times New Roman" w:hAnsi="Times New Roman" w:eastAsia="宋体" w:cs="Times New Roman"/>
          <w:color w:val="auto"/>
          <w:sz w:val="24"/>
          <w:szCs w:val="24"/>
          <w:u w:val="single" w:color="auto"/>
        </w:rPr>
        <w:t>喷涂、</w:t>
      </w:r>
      <w:r>
        <w:rPr>
          <w:rFonts w:hint="eastAsia" w:ascii="Times New Roman" w:hAnsi="Times New Roman" w:eastAsia="宋体" w:cs="Times New Roman"/>
          <w:color w:val="auto"/>
          <w:sz w:val="24"/>
          <w:szCs w:val="24"/>
          <w:u w:val="single" w:color="auto"/>
          <w:lang w:val="en-US" w:eastAsia="zh-CN"/>
        </w:rPr>
        <w:t>晾干</w:t>
      </w:r>
      <w:r>
        <w:rPr>
          <w:rFonts w:ascii="Times New Roman" w:hAnsi="Times New Roman" w:eastAsia="宋体" w:cs="Times New Roman"/>
          <w:color w:val="auto"/>
          <w:sz w:val="24"/>
          <w:szCs w:val="24"/>
          <w:u w:val="single" w:color="auto"/>
        </w:rPr>
        <w:t>均在密闭的</w:t>
      </w:r>
      <w:r>
        <w:rPr>
          <w:rFonts w:hint="eastAsia" w:ascii="Times New Roman" w:hAnsi="Times New Roman" w:eastAsia="宋体" w:cs="Times New Roman"/>
          <w:color w:val="auto"/>
          <w:sz w:val="24"/>
          <w:szCs w:val="24"/>
          <w:u w:val="single" w:color="auto"/>
          <w:lang w:val="en-US" w:eastAsia="zh-CN"/>
        </w:rPr>
        <w:t>涂装车间</w:t>
      </w:r>
      <w:r>
        <w:rPr>
          <w:rFonts w:ascii="Times New Roman" w:hAnsi="Times New Roman" w:eastAsia="宋体" w:cs="Times New Roman"/>
          <w:color w:val="auto"/>
          <w:sz w:val="24"/>
          <w:szCs w:val="24"/>
          <w:u w:val="single" w:color="auto"/>
        </w:rPr>
        <w:t>内进行，喷漆废气G5经废气处理装置</w:t>
      </w:r>
      <w:r>
        <w:rPr>
          <w:rFonts w:hint="eastAsia" w:ascii="Times New Roman" w:hAnsi="Times New Roman" w:eastAsia="宋体" w:cs="Times New Roman"/>
          <w:color w:val="auto"/>
          <w:sz w:val="24"/>
          <w:szCs w:val="24"/>
          <w:u w:val="single" w:color="auto"/>
        </w:rPr>
        <w:t>（干式过滤+活性炭吸附+解吸脱附+催化燃烧）</w:t>
      </w:r>
      <w:r>
        <w:rPr>
          <w:rFonts w:ascii="Times New Roman" w:hAnsi="Times New Roman" w:eastAsia="宋体" w:cs="Times New Roman"/>
          <w:color w:val="auto"/>
          <w:sz w:val="24"/>
          <w:szCs w:val="24"/>
          <w:u w:val="single" w:color="auto"/>
        </w:rPr>
        <w:t>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r>
        <w:rPr>
          <w:rFonts w:ascii="Times New Roman" w:hAnsi="Times New Roman" w:eastAsia="宋体" w:cs="Times New Roman"/>
          <w:color w:val="auto"/>
          <w:sz w:val="24"/>
          <w:szCs w:val="24"/>
          <w:u w:val="single" w:color="auto"/>
        </w:rPr>
        <w:t>。</w:t>
      </w:r>
    </w:p>
    <w:p w14:paraId="776D572F">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⑦</w:t>
      </w:r>
      <w:r>
        <w:rPr>
          <w:rFonts w:ascii="Times New Roman" w:hAnsi="Times New Roman" w:eastAsia="宋体" w:cs="Times New Roman"/>
          <w:color w:val="auto"/>
          <w:sz w:val="24"/>
          <w:szCs w:val="24"/>
          <w:u w:val="none" w:color="auto"/>
        </w:rPr>
        <w:t>包装发货</w:t>
      </w:r>
    </w:p>
    <w:p w14:paraId="255660FC">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最终检验合格后，将</w:t>
      </w:r>
      <w:r>
        <w:rPr>
          <w:rFonts w:hint="eastAsia" w:ascii="Times New Roman" w:hAnsi="Times New Roman" w:eastAsia="宋体" w:cs="Times New Roman"/>
          <w:color w:val="auto"/>
          <w:sz w:val="24"/>
          <w:szCs w:val="24"/>
          <w:u w:val="none" w:color="auto"/>
        </w:rPr>
        <w:t>管桩</w:t>
      </w:r>
      <w:r>
        <w:rPr>
          <w:rFonts w:ascii="Times New Roman" w:hAnsi="Times New Roman" w:eastAsia="宋体" w:cs="Times New Roman"/>
          <w:color w:val="auto"/>
          <w:sz w:val="24"/>
          <w:szCs w:val="24"/>
          <w:u w:val="none" w:color="auto"/>
        </w:rPr>
        <w:t>包装，并做好防变形措施，</w:t>
      </w:r>
      <w:r>
        <w:rPr>
          <w:rFonts w:hint="eastAsia" w:ascii="Times New Roman" w:hAnsi="Times New Roman" w:eastAsia="宋体" w:cs="Times New Roman"/>
          <w:color w:val="auto"/>
          <w:sz w:val="24"/>
          <w:szCs w:val="24"/>
          <w:u w:val="none" w:color="auto"/>
        </w:rPr>
        <w:t>并通过项目租用的位于生产区西侧的钦州北港物流有限公司码头发货</w:t>
      </w:r>
      <w:r>
        <w:rPr>
          <w:rFonts w:ascii="Times New Roman" w:hAnsi="Times New Roman" w:eastAsia="宋体" w:cs="Times New Roman"/>
          <w:color w:val="auto"/>
          <w:sz w:val="24"/>
          <w:szCs w:val="24"/>
          <w:u w:val="none" w:color="auto"/>
        </w:rPr>
        <w:t>。</w:t>
      </w:r>
    </w:p>
    <w:p w14:paraId="6E9E9DC1">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切割废气经集气罩收集由移动式烟(粉)尘净化器处理后车间无组织排放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焊接废气经集气罩收集由移动式烟(粉)尘净化器处理后车间无组织排放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p>
    <w:p w14:paraId="7DB53128">
      <w:pPr>
        <w:snapToGrid w:val="0"/>
        <w:spacing w:line="360" w:lineRule="auto"/>
        <w:ind w:firstLine="480" w:firstLineChars="200"/>
        <w:rPr>
          <w:rFonts w:hint="default" w:ascii="Times New Roman" w:hAnsi="Times New Roman" w:eastAsia="宋体" w:cs="Times New Roman"/>
          <w:color w:val="auto"/>
          <w:sz w:val="24"/>
          <w:szCs w:val="24"/>
          <w:u w:val="single" w:color="auto"/>
          <w:lang w:val="en-US" w:eastAsia="zh-CN"/>
        </w:rPr>
      </w:pPr>
      <w:r>
        <w:rPr>
          <w:rFonts w:ascii="Times New Roman" w:hAnsi="Times New Roman" w:eastAsia="宋体" w:cs="Times New Roman"/>
          <w:color w:val="auto"/>
          <w:sz w:val="24"/>
          <w:szCs w:val="24"/>
          <w:u w:val="single" w:color="auto"/>
        </w:rPr>
        <w:t>抛丸废气</w:t>
      </w:r>
      <w:r>
        <w:rPr>
          <w:rFonts w:hint="eastAsia" w:ascii="Times New Roman" w:hAnsi="Times New Roman" w:eastAsia="宋体" w:cs="Times New Roman"/>
          <w:color w:val="auto"/>
          <w:sz w:val="24"/>
          <w:szCs w:val="24"/>
          <w:u w:val="single" w:color="auto"/>
        </w:rPr>
        <w:t>和喷砂废气</w:t>
      </w:r>
      <w:r>
        <w:rPr>
          <w:rFonts w:ascii="Times New Roman" w:hAnsi="Times New Roman" w:eastAsia="宋体" w:cs="Times New Roman"/>
          <w:color w:val="auto"/>
          <w:sz w:val="24"/>
          <w:szCs w:val="24"/>
          <w:u w:val="single" w:color="auto"/>
        </w:rPr>
        <w:t>经负压收集由</w:t>
      </w:r>
      <w:r>
        <w:rPr>
          <w:rFonts w:hint="eastAsia" w:ascii="宋体" w:hAnsi="宋体" w:eastAsia="宋体" w:cs="宋体"/>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滤筒除尘器处理，通过</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0</w:t>
      </w:r>
      <w:r>
        <w:rPr>
          <w:rFonts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rPr>
        <w:t>高</w:t>
      </w:r>
      <w:r>
        <w:rPr>
          <w:rFonts w:ascii="Times New Roman" w:hAnsi="Times New Roman" w:eastAsia="宋体" w:cs="Times New Roman"/>
          <w:color w:val="auto"/>
          <w:sz w:val="24"/>
          <w:szCs w:val="24"/>
          <w:u w:val="single" w:color="auto"/>
        </w:rPr>
        <w:t>排气筒（DA001）排放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p>
    <w:p w14:paraId="60780F5E">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喷漆废气经负压收集由“干式漆雾过滤+活性炭吸附</w:t>
      </w:r>
      <w:r>
        <w:rPr>
          <w:rFonts w:hint="eastAsia" w:ascii="Times New Roman" w:hAnsi="Times New Roman" w:eastAsia="宋体" w:cs="Times New Roman"/>
          <w:color w:val="auto"/>
          <w:sz w:val="24"/>
          <w:szCs w:val="24"/>
          <w:u w:val="single" w:color="auto"/>
        </w:rPr>
        <w:t>+催化燃烧</w:t>
      </w:r>
      <w:r>
        <w:rPr>
          <w:rFonts w:ascii="Times New Roman" w:hAnsi="Times New Roman" w:eastAsia="宋体" w:cs="Times New Roman"/>
          <w:color w:val="auto"/>
          <w:sz w:val="24"/>
          <w:szCs w:val="24"/>
          <w:u w:val="single" w:color="auto"/>
        </w:rPr>
        <w:t>”处理</w:t>
      </w:r>
      <w:r>
        <w:rPr>
          <w:rFonts w:hint="eastAsia" w:ascii="Times New Roman" w:hAnsi="Times New Roman" w:eastAsia="宋体" w:cs="Times New Roman"/>
          <w:color w:val="auto"/>
          <w:sz w:val="24"/>
          <w:szCs w:val="24"/>
          <w:u w:val="single" w:color="auto"/>
        </w:rPr>
        <w:t>装置处理后</w:t>
      </w:r>
      <w:r>
        <w:rPr>
          <w:rFonts w:ascii="Times New Roman" w:hAnsi="Times New Roman" w:eastAsia="宋体" w:cs="Times New Roman"/>
          <w:color w:val="auto"/>
          <w:sz w:val="24"/>
          <w:szCs w:val="24"/>
          <w:u w:val="single" w:color="auto"/>
        </w:rPr>
        <w:t>，通过</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0</w:t>
      </w:r>
      <w:r>
        <w:rPr>
          <w:rFonts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rPr>
        <w:t>高</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p>
    <w:p w14:paraId="059DCC5A">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3</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导管架</w:t>
      </w:r>
      <w:r>
        <w:rPr>
          <w:rFonts w:ascii="Times New Roman" w:hAnsi="Times New Roman" w:eastAsia="宋体" w:cs="Times New Roman"/>
          <w:color w:val="auto"/>
          <w:sz w:val="24"/>
          <w:szCs w:val="24"/>
          <w:u w:val="none" w:color="auto"/>
        </w:rPr>
        <w:t>生产工艺及产污环节</w:t>
      </w:r>
    </w:p>
    <w:p w14:paraId="77764A55">
      <w:pPr>
        <w:rPr>
          <w:color w:val="auto"/>
          <w:u w:val="none" w:color="auto"/>
        </w:rPr>
      </w:pPr>
      <w:r>
        <w:rPr>
          <w:rFonts w:hint="eastAsia"/>
          <w:color w:val="auto"/>
          <w:u w:val="none" w:color="auto"/>
        </w:rPr>
        <w:object>
          <v:shape id="_x0000_i1027" o:spt="75" type="#_x0000_t75" style="height:663.4pt;width:374pt;" o:ole="t" filled="f" o:preferrelative="t" stroked="f" coordsize="21600,21600">
            <v:path/>
            <v:fill on="f" focussize="0,0"/>
            <v:stroke on="f"/>
            <v:imagedata r:id="rId20" o:title=""/>
            <o:lock v:ext="edit" aspectratio="t"/>
            <w10:wrap type="none"/>
            <w10:anchorlock/>
          </v:shape>
          <o:OLEObject Type="Embed" ProgID="Visio.Drawing.11" ShapeID="_x0000_i1027" DrawAspect="Content" ObjectID="_1468075727" r:id="rId19">
            <o:LockedField>false</o:LockedField>
          </o:OLEObject>
        </w:object>
      </w:r>
    </w:p>
    <w:p w14:paraId="0D36DA58">
      <w:pPr>
        <w:snapToGrid w:val="0"/>
        <w:spacing w:line="360" w:lineRule="auto"/>
        <w:jc w:val="center"/>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图</w:t>
      </w:r>
      <w:r>
        <w:rPr>
          <w:rFonts w:hint="eastAsia" w:ascii="Times New Roman" w:hAnsi="Times New Roman" w:eastAsia="宋体" w:cs="Times New Roman"/>
          <w:b/>
          <w:bCs/>
          <w:color w:val="auto"/>
          <w:sz w:val="24"/>
          <w:szCs w:val="24"/>
          <w:u w:val="none" w:color="auto"/>
        </w:rPr>
        <w:t>2.2</w:t>
      </w:r>
      <w:r>
        <w:rPr>
          <w:rFonts w:ascii="Times New Roman" w:hAnsi="Times New Roman" w:eastAsia="宋体" w:cs="Times New Roman"/>
          <w:b/>
          <w:bCs/>
          <w:color w:val="auto"/>
          <w:sz w:val="24"/>
          <w:szCs w:val="24"/>
          <w:u w:val="none" w:color="auto"/>
        </w:rPr>
        <w:t>-</w:t>
      </w:r>
      <w:r>
        <w:rPr>
          <w:rFonts w:hint="eastAsia" w:ascii="Times New Roman" w:hAnsi="Times New Roman" w:eastAsia="宋体" w:cs="Times New Roman"/>
          <w:b/>
          <w:bCs/>
          <w:color w:val="auto"/>
          <w:sz w:val="24"/>
          <w:szCs w:val="24"/>
          <w:u w:val="none" w:color="auto"/>
        </w:rPr>
        <w:t>5导管架</w:t>
      </w:r>
      <w:r>
        <w:rPr>
          <w:rFonts w:ascii="Times New Roman" w:hAnsi="Times New Roman" w:eastAsia="宋体" w:cs="Times New Roman"/>
          <w:b/>
          <w:bCs/>
          <w:color w:val="auto"/>
          <w:sz w:val="24"/>
          <w:szCs w:val="24"/>
          <w:u w:val="none" w:color="auto"/>
        </w:rPr>
        <w:t>生产工艺流程及产污环节图</w:t>
      </w:r>
    </w:p>
    <w:p w14:paraId="7731707D">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工艺流程说明</w:t>
      </w:r>
    </w:p>
    <w:p w14:paraId="029171B8">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本项目以钢板为原料，加工成型后喷涂油漆，生产</w:t>
      </w:r>
      <w:r>
        <w:rPr>
          <w:rFonts w:hint="eastAsia" w:ascii="Times New Roman" w:hAnsi="Times New Roman" w:eastAsia="宋体" w:cs="Times New Roman"/>
          <w:color w:val="auto"/>
          <w:sz w:val="24"/>
          <w:szCs w:val="24"/>
          <w:u w:val="none" w:color="auto"/>
        </w:rPr>
        <w:t>导管架</w:t>
      </w:r>
      <w:r>
        <w:rPr>
          <w:rFonts w:ascii="Times New Roman" w:hAnsi="Times New Roman" w:eastAsia="宋体" w:cs="Times New Roman"/>
          <w:color w:val="auto"/>
          <w:sz w:val="24"/>
          <w:szCs w:val="24"/>
          <w:u w:val="none" w:color="auto"/>
        </w:rPr>
        <w:t>。</w:t>
      </w:r>
    </w:p>
    <w:p w14:paraId="7E6AB40F">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①下料、数控切割</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开坡口</w:t>
      </w:r>
    </w:p>
    <w:p w14:paraId="4985C9C9">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外购的钢板入厂后需进行尺寸及表面的外观检查，检查合格后根据用途不同，分翼板及腹板单元件，然后用数控切割机进行切割下料，不合格料返回生产厂家，切割时应按照订单要求开好坡口，要求坡口表面光滑平整，保证焊接度，切割过程采用丙烷火焰切割，通过丙烷燃烧后的高温火焰融化钢板，将钢板切割成满足图纸参数要求的原材料。然后使用翼缘矫正机等设备机械力进行矫正。切割产生粉尘G1，由移动式粉尘净化器收集处理，剩余未收集粉尘车间无组织排放，切割产生</w:t>
      </w:r>
      <w:r>
        <w:rPr>
          <w:rFonts w:hint="eastAsia" w:ascii="Times New Roman" w:hAnsi="Times New Roman" w:eastAsia="宋体" w:cs="Times New Roman"/>
          <w:color w:val="auto"/>
          <w:sz w:val="24"/>
          <w:szCs w:val="24"/>
          <w:u w:val="none" w:color="auto"/>
        </w:rPr>
        <w:t>的钢材</w:t>
      </w:r>
      <w:r>
        <w:rPr>
          <w:rFonts w:ascii="Times New Roman" w:hAnsi="Times New Roman" w:eastAsia="宋体" w:cs="Times New Roman"/>
          <w:color w:val="auto"/>
          <w:sz w:val="24"/>
          <w:szCs w:val="24"/>
          <w:u w:val="none" w:color="auto"/>
        </w:rPr>
        <w:t>下脚料收集后外售。</w:t>
      </w:r>
    </w:p>
    <w:p w14:paraId="77924983">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②</w:t>
      </w:r>
      <w:r>
        <w:rPr>
          <w:rFonts w:hint="eastAsia" w:ascii="Times New Roman" w:hAnsi="Times New Roman" w:eastAsia="宋体" w:cs="Times New Roman"/>
          <w:color w:val="auto"/>
          <w:sz w:val="24"/>
          <w:szCs w:val="24"/>
          <w:u w:val="none" w:color="auto"/>
        </w:rPr>
        <w:t>滚</w:t>
      </w:r>
      <w:r>
        <w:rPr>
          <w:rFonts w:ascii="Times New Roman" w:hAnsi="Times New Roman" w:eastAsia="宋体" w:cs="Times New Roman"/>
          <w:color w:val="auto"/>
          <w:sz w:val="24"/>
          <w:szCs w:val="24"/>
          <w:u w:val="none" w:color="auto"/>
        </w:rPr>
        <w:t>圆、纵缝焊接</w:t>
      </w:r>
    </w:p>
    <w:p w14:paraId="2E23E7C8">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按照图纸和技术要求，使用卷板机对钢板滚圆，此过程中钢板无需加热，确认后用埋弧焊机进行纵缝焊接，焊接之后对</w:t>
      </w:r>
      <w:r>
        <w:rPr>
          <w:rFonts w:hint="eastAsia" w:ascii="Times New Roman" w:hAnsi="Times New Roman" w:eastAsia="宋体" w:cs="Times New Roman"/>
          <w:color w:val="auto"/>
          <w:sz w:val="24"/>
          <w:szCs w:val="24"/>
          <w:u w:val="none" w:color="auto"/>
        </w:rPr>
        <w:t>导管</w:t>
      </w:r>
      <w:r>
        <w:rPr>
          <w:rFonts w:ascii="Times New Roman" w:hAnsi="Times New Roman" w:eastAsia="宋体" w:cs="Times New Roman"/>
          <w:color w:val="auto"/>
          <w:sz w:val="24"/>
          <w:szCs w:val="24"/>
          <w:u w:val="none" w:color="auto"/>
        </w:rPr>
        <w:t>度进行检查，如有问题进行回圆矫正，卷板和回圆时应将卷板机的上下辊表面清理干净，不允许有异物存在。焊接过程产生的</w:t>
      </w:r>
      <w:r>
        <w:rPr>
          <w:rFonts w:hint="eastAsia" w:ascii="Times New Roman" w:hAnsi="Times New Roman" w:eastAsia="宋体" w:cs="Times New Roman"/>
          <w:color w:val="auto"/>
          <w:sz w:val="24"/>
          <w:szCs w:val="24"/>
          <w:u w:val="none" w:color="auto"/>
        </w:rPr>
        <w:t>焊接</w:t>
      </w:r>
      <w:r>
        <w:rPr>
          <w:rFonts w:ascii="Times New Roman" w:hAnsi="Times New Roman" w:eastAsia="宋体" w:cs="Times New Roman"/>
          <w:color w:val="auto"/>
          <w:sz w:val="24"/>
          <w:szCs w:val="24"/>
          <w:u w:val="none" w:color="auto"/>
        </w:rPr>
        <w:t>烟尘G2通过移动式烟尘净化器处理，剩余未收集粉尘在车间无组织排放，</w:t>
      </w:r>
      <w:r>
        <w:rPr>
          <w:rFonts w:hint="eastAsia" w:ascii="Times New Roman" w:hAnsi="Times New Roman" w:eastAsia="宋体" w:cs="Times New Roman"/>
          <w:color w:val="auto"/>
          <w:sz w:val="24"/>
          <w:szCs w:val="24"/>
          <w:u w:val="none" w:color="auto"/>
        </w:rPr>
        <w:t>焊接产生的废焊条焊渣收集后外售</w:t>
      </w:r>
      <w:r>
        <w:rPr>
          <w:rFonts w:ascii="Times New Roman" w:hAnsi="Times New Roman" w:eastAsia="宋体" w:cs="Times New Roman"/>
          <w:color w:val="auto"/>
          <w:sz w:val="24"/>
          <w:szCs w:val="24"/>
          <w:u w:val="none" w:color="auto"/>
        </w:rPr>
        <w:t>。</w:t>
      </w:r>
    </w:p>
    <w:p w14:paraId="4AAF18B3">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③UT检测</w:t>
      </w:r>
    </w:p>
    <w:p w14:paraId="4216057D">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超声波探伤，检查焊缝内部是否存在缺陷，焊缝不允许有裂纹、夹渣、气孔、未焊透等缺陷。</w:t>
      </w:r>
    </w:p>
    <w:p w14:paraId="56B2F339">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④焊接、UT检测</w:t>
      </w:r>
    </w:p>
    <w:p w14:paraId="7CAABFC5">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将加工好的各节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，运至组装车间，将单节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与单节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体组对，将单节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体与单节</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体按顺序组对为一段</w:t>
      </w:r>
      <w:r>
        <w:rPr>
          <w:rFonts w:hint="eastAsia" w:ascii="Times New Roman" w:hAnsi="Times New Roman" w:eastAsia="宋体" w:cs="Times New Roman"/>
          <w:color w:val="auto"/>
          <w:sz w:val="24"/>
          <w:szCs w:val="24"/>
          <w:u w:val="none" w:color="auto"/>
        </w:rPr>
        <w:t>管</w:t>
      </w:r>
      <w:r>
        <w:rPr>
          <w:rFonts w:ascii="Times New Roman" w:hAnsi="Times New Roman" w:eastAsia="宋体" w:cs="Times New Roman"/>
          <w:color w:val="auto"/>
          <w:sz w:val="24"/>
          <w:szCs w:val="24"/>
          <w:u w:val="none" w:color="auto"/>
        </w:rPr>
        <w:t>，用埋弧焊机进行环缝焊接，检测焊缝，检查</w:t>
      </w:r>
      <w:r>
        <w:rPr>
          <w:rFonts w:hint="eastAsia" w:ascii="Times New Roman" w:hAnsi="Times New Roman" w:eastAsia="宋体" w:cs="Times New Roman"/>
          <w:color w:val="auto"/>
          <w:sz w:val="24"/>
          <w:szCs w:val="24"/>
          <w:u w:val="none" w:color="auto"/>
        </w:rPr>
        <w:t>管桩</w:t>
      </w:r>
      <w:r>
        <w:rPr>
          <w:rFonts w:ascii="Times New Roman" w:hAnsi="Times New Roman" w:eastAsia="宋体" w:cs="Times New Roman"/>
          <w:color w:val="auto"/>
          <w:sz w:val="24"/>
          <w:szCs w:val="24"/>
          <w:u w:val="none" w:color="auto"/>
        </w:rPr>
        <w:t>尺寸，检查法兰平面度。超声波探伤，焊缝内部是否存在缺陷。焊接过</w:t>
      </w:r>
      <w:r>
        <w:rPr>
          <w:rFonts w:hint="eastAsia" w:ascii="Times New Roman" w:hAnsi="Times New Roman" w:eastAsia="宋体" w:cs="Times New Roman"/>
          <w:color w:val="auto"/>
          <w:sz w:val="24"/>
          <w:szCs w:val="24"/>
          <w:u w:val="none" w:color="auto"/>
          <w:lang w:eastAsia="zh-CN"/>
        </w:rPr>
        <w:t>程发</w:t>
      </w:r>
      <w:r>
        <w:rPr>
          <w:rFonts w:ascii="Times New Roman" w:hAnsi="Times New Roman" w:eastAsia="宋体" w:cs="Times New Roman"/>
          <w:color w:val="auto"/>
          <w:sz w:val="24"/>
          <w:szCs w:val="24"/>
          <w:u w:val="none" w:color="auto"/>
        </w:rPr>
        <w:t>生的烟尘通过移动式烟尘净化器处理，利余未收集粉尘在车间无组织排放，</w:t>
      </w:r>
      <w:r>
        <w:rPr>
          <w:rFonts w:hint="eastAsia" w:ascii="Times New Roman" w:hAnsi="Times New Roman" w:eastAsia="宋体" w:cs="Times New Roman"/>
          <w:color w:val="auto"/>
          <w:sz w:val="24"/>
          <w:szCs w:val="24"/>
          <w:u w:val="none" w:color="auto"/>
        </w:rPr>
        <w:t>焊接产生的废焊条焊渣收集后外售</w:t>
      </w:r>
      <w:r>
        <w:rPr>
          <w:rFonts w:ascii="Times New Roman" w:hAnsi="Times New Roman" w:eastAsia="宋体" w:cs="Times New Roman"/>
          <w:color w:val="auto"/>
          <w:sz w:val="24"/>
          <w:szCs w:val="24"/>
          <w:u w:val="none" w:color="auto"/>
        </w:rPr>
        <w:t>。</w:t>
      </w:r>
    </w:p>
    <w:p w14:paraId="6FABC52D">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⑤</w:t>
      </w:r>
      <w:r>
        <w:rPr>
          <w:rFonts w:ascii="Times New Roman" w:hAnsi="Times New Roman" w:eastAsia="宋体" w:cs="Times New Roman"/>
          <w:color w:val="auto"/>
          <w:sz w:val="24"/>
          <w:szCs w:val="24"/>
          <w:u w:val="single" w:color="auto"/>
        </w:rPr>
        <w:t>手动喷砂</w:t>
      </w:r>
    </w:p>
    <w:p w14:paraId="5FE1BE2D">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半成品内外表面及法兰连接处须进行表面处理，使</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内外表面及法兰连接处表面出现麻点，增加表面附着力，提高油漆附着效果及年限，同时清除</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内外表面及法兰连接处杂物。表面处理过程为手动喷砂工序，喷砂所用介质为</w:t>
      </w:r>
      <w:r>
        <w:rPr>
          <w:rFonts w:hint="eastAsia" w:ascii="Times New Roman" w:hAnsi="Times New Roman" w:eastAsia="宋体" w:cs="Times New Roman"/>
          <w:color w:val="auto"/>
          <w:sz w:val="24"/>
          <w:szCs w:val="24"/>
          <w:u w:val="single" w:color="auto"/>
        </w:rPr>
        <w:t>钢丸</w:t>
      </w:r>
      <w:r>
        <w:rPr>
          <w:rFonts w:ascii="Times New Roman" w:hAnsi="Times New Roman" w:eastAsia="宋体" w:cs="Times New Roman"/>
          <w:color w:val="auto"/>
          <w:sz w:val="24"/>
          <w:szCs w:val="24"/>
          <w:u w:val="single" w:color="auto"/>
        </w:rPr>
        <w:t>。</w:t>
      </w:r>
    </w:p>
    <w:p w14:paraId="48C42023">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本项目手动</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房为全封闭车间，喷砂废气G4经</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1</w:t>
      </w:r>
      <w:r>
        <w:rPr>
          <w:rFonts w:ascii="Times New Roman" w:hAnsi="Times New Roman" w:eastAsia="宋体" w:cs="Times New Roman"/>
          <w:color w:val="auto"/>
          <w:sz w:val="24"/>
          <w:szCs w:val="24"/>
          <w:u w:val="single" w:color="auto"/>
        </w:rPr>
        <w:t>)排放。</w:t>
      </w:r>
    </w:p>
    <w:p w14:paraId="2A21B6B0">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⑥</w:t>
      </w:r>
      <w:r>
        <w:rPr>
          <w:rFonts w:ascii="Times New Roman" w:hAnsi="Times New Roman" w:eastAsia="宋体" w:cs="Times New Roman"/>
          <w:color w:val="auto"/>
          <w:sz w:val="24"/>
          <w:szCs w:val="24"/>
          <w:u w:val="single" w:color="auto"/>
        </w:rPr>
        <w:t>涂装</w:t>
      </w:r>
    </w:p>
    <w:p w14:paraId="2D725124">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经过喷砂后的</w:t>
      </w:r>
      <w:r>
        <w:rPr>
          <w:rFonts w:hint="eastAsia" w:ascii="Times New Roman" w:hAnsi="Times New Roman" w:eastAsia="宋体" w:cs="Times New Roman"/>
          <w:color w:val="auto"/>
          <w:sz w:val="24"/>
          <w:szCs w:val="24"/>
          <w:u w:val="single" w:color="auto"/>
        </w:rPr>
        <w:t>导管架</w:t>
      </w:r>
      <w:r>
        <w:rPr>
          <w:rFonts w:ascii="Times New Roman" w:hAnsi="Times New Roman" w:eastAsia="宋体" w:cs="Times New Roman"/>
          <w:color w:val="auto"/>
          <w:sz w:val="24"/>
          <w:szCs w:val="24"/>
          <w:u w:val="single" w:color="auto"/>
        </w:rPr>
        <w:t>方可进</w:t>
      </w:r>
      <w:r>
        <w:rPr>
          <w:rFonts w:hint="eastAsia" w:ascii="Times New Roman" w:hAnsi="Times New Roman" w:eastAsia="宋体" w:cs="Times New Roman"/>
          <w:color w:val="auto"/>
          <w:sz w:val="24"/>
          <w:szCs w:val="24"/>
          <w:u w:val="single" w:color="auto"/>
          <w:lang w:val="en-US" w:eastAsia="zh-CN"/>
        </w:rPr>
        <w:t>密闭的涂装车间</w:t>
      </w:r>
      <w:r>
        <w:rPr>
          <w:rFonts w:ascii="Times New Roman" w:hAnsi="Times New Roman" w:eastAsia="宋体" w:cs="Times New Roman"/>
          <w:color w:val="auto"/>
          <w:sz w:val="24"/>
          <w:szCs w:val="24"/>
          <w:u w:val="single" w:color="auto"/>
        </w:rPr>
        <w:t>喷漆，采用无气喷涂进行喷漆</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其原理通过高压泵将涂料加压，使其从喷嘴高速喷出，与空气剧烈碰撞破碎成微粒，形成均匀的雾化涂料，喷涂在工件表面</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喷涂</w:t>
      </w:r>
      <w:r>
        <w:rPr>
          <w:rFonts w:ascii="Times New Roman" w:hAnsi="Times New Roman" w:eastAsia="宋体" w:cs="Times New Roman"/>
          <w:color w:val="auto"/>
          <w:sz w:val="24"/>
          <w:szCs w:val="24"/>
          <w:u w:val="single" w:color="auto"/>
        </w:rPr>
        <w:t>主要流程是</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法兰面和法兰孔→进行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外表面第一层→进行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内表面第一层→进行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外表面第二层→</w:t>
      </w:r>
      <w:r>
        <w:rPr>
          <w:rFonts w:hint="eastAsia" w:ascii="Times New Roman" w:hAnsi="Times New Roman" w:eastAsia="宋体" w:cs="Times New Roman"/>
          <w:color w:val="auto"/>
          <w:sz w:val="24"/>
          <w:szCs w:val="24"/>
          <w:u w:val="single" w:color="auto"/>
          <w:lang w:val="en-US" w:eastAsia="zh-CN"/>
        </w:rPr>
        <w:t>进行</w:t>
      </w:r>
      <w:r>
        <w:rPr>
          <w:rFonts w:ascii="Times New Roman" w:hAnsi="Times New Roman" w:eastAsia="宋体" w:cs="Times New Roman"/>
          <w:color w:val="auto"/>
          <w:sz w:val="24"/>
          <w:szCs w:val="24"/>
          <w:u w:val="single" w:color="auto"/>
        </w:rPr>
        <w:t>支架和工件内部难以到达的部分→进行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内表面第二层→进行</w:t>
      </w:r>
      <w:r>
        <w:rPr>
          <w:rFonts w:hint="eastAsia" w:ascii="Times New Roman" w:hAnsi="Times New Roman" w:eastAsia="宋体" w:cs="Times New Roman"/>
          <w:color w:val="auto"/>
          <w:sz w:val="24"/>
          <w:szCs w:val="24"/>
          <w:u w:val="single" w:color="auto"/>
        </w:rPr>
        <w:t>管桩</w:t>
      </w:r>
      <w:r>
        <w:rPr>
          <w:rFonts w:ascii="Times New Roman" w:hAnsi="Times New Roman" w:eastAsia="宋体" w:cs="Times New Roman"/>
          <w:color w:val="auto"/>
          <w:sz w:val="24"/>
          <w:szCs w:val="24"/>
          <w:u w:val="single" w:color="auto"/>
        </w:rPr>
        <w:t>外表面第</w:t>
      </w:r>
      <w:r>
        <w:rPr>
          <w:rFonts w:hint="eastAsia" w:ascii="Times New Roman" w:hAnsi="Times New Roman" w:eastAsia="宋体" w:cs="Times New Roman"/>
          <w:color w:val="auto"/>
          <w:sz w:val="24"/>
          <w:szCs w:val="24"/>
          <w:u w:val="single" w:color="auto"/>
        </w:rPr>
        <w:t>三</w:t>
      </w:r>
      <w:r>
        <w:rPr>
          <w:rFonts w:ascii="Times New Roman" w:hAnsi="Times New Roman" w:eastAsia="宋体" w:cs="Times New Roman"/>
          <w:color w:val="auto"/>
          <w:sz w:val="24"/>
          <w:szCs w:val="24"/>
          <w:u w:val="single" w:color="auto"/>
        </w:rPr>
        <w:t>层→干燥。</w:t>
      </w:r>
    </w:p>
    <w:p w14:paraId="372063FC">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调漆、</w:t>
      </w:r>
      <w:r>
        <w:rPr>
          <w:rFonts w:ascii="Times New Roman" w:hAnsi="Times New Roman" w:eastAsia="宋体" w:cs="Times New Roman"/>
          <w:color w:val="auto"/>
          <w:sz w:val="24"/>
          <w:szCs w:val="24"/>
          <w:u w:val="single" w:color="auto"/>
        </w:rPr>
        <w:t>喷涂、</w:t>
      </w:r>
      <w:r>
        <w:rPr>
          <w:rFonts w:hint="eastAsia" w:ascii="Times New Roman" w:hAnsi="Times New Roman" w:eastAsia="宋体" w:cs="Times New Roman"/>
          <w:color w:val="auto"/>
          <w:sz w:val="24"/>
          <w:szCs w:val="24"/>
          <w:u w:val="single" w:color="auto"/>
          <w:lang w:val="en-US" w:eastAsia="zh-CN"/>
        </w:rPr>
        <w:t>晾干</w:t>
      </w:r>
      <w:r>
        <w:rPr>
          <w:rFonts w:ascii="Times New Roman" w:hAnsi="Times New Roman" w:eastAsia="宋体" w:cs="Times New Roman"/>
          <w:color w:val="auto"/>
          <w:sz w:val="24"/>
          <w:szCs w:val="24"/>
          <w:u w:val="single" w:color="auto"/>
        </w:rPr>
        <w:t>均在密闭的</w:t>
      </w:r>
      <w:r>
        <w:rPr>
          <w:rFonts w:hint="eastAsia" w:ascii="Times New Roman" w:hAnsi="Times New Roman" w:eastAsia="宋体" w:cs="Times New Roman"/>
          <w:color w:val="auto"/>
          <w:sz w:val="24"/>
          <w:szCs w:val="24"/>
          <w:u w:val="single" w:color="auto"/>
          <w:lang w:val="en-US" w:eastAsia="zh-CN"/>
        </w:rPr>
        <w:t>涂装车间</w:t>
      </w:r>
      <w:r>
        <w:rPr>
          <w:rFonts w:ascii="Times New Roman" w:hAnsi="Times New Roman" w:eastAsia="宋体" w:cs="Times New Roman"/>
          <w:color w:val="auto"/>
          <w:sz w:val="24"/>
          <w:szCs w:val="24"/>
          <w:u w:val="single" w:color="auto"/>
        </w:rPr>
        <w:t>内进行，喷漆废气G5经废气处理装置</w:t>
      </w:r>
      <w:r>
        <w:rPr>
          <w:rFonts w:hint="eastAsia" w:ascii="Times New Roman" w:hAnsi="Times New Roman" w:eastAsia="宋体" w:cs="Times New Roman"/>
          <w:color w:val="auto"/>
          <w:sz w:val="24"/>
          <w:szCs w:val="24"/>
          <w:u w:val="single" w:color="auto"/>
        </w:rPr>
        <w:t>（干式过滤+活性炭吸附+解吸脱附+催化燃烧）</w:t>
      </w:r>
      <w:r>
        <w:rPr>
          <w:rFonts w:ascii="Times New Roman" w:hAnsi="Times New Roman" w:eastAsia="宋体" w:cs="Times New Roman"/>
          <w:color w:val="auto"/>
          <w:sz w:val="24"/>
          <w:szCs w:val="24"/>
          <w:u w:val="single" w:color="auto"/>
        </w:rPr>
        <w:t>处理后，通过</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r>
        <w:rPr>
          <w:rFonts w:ascii="Times New Roman" w:hAnsi="Times New Roman" w:eastAsia="宋体" w:cs="Times New Roman"/>
          <w:color w:val="auto"/>
          <w:sz w:val="24"/>
          <w:szCs w:val="24"/>
          <w:u w:val="single" w:color="auto"/>
        </w:rPr>
        <w:t>。</w:t>
      </w:r>
    </w:p>
    <w:p w14:paraId="74B58AA6">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⑦</w:t>
      </w:r>
      <w:r>
        <w:rPr>
          <w:rFonts w:ascii="Times New Roman" w:hAnsi="Times New Roman" w:eastAsia="宋体" w:cs="Times New Roman"/>
          <w:color w:val="auto"/>
          <w:sz w:val="24"/>
          <w:szCs w:val="24"/>
          <w:u w:val="none" w:color="auto"/>
        </w:rPr>
        <w:t>总拼组装、焊接</w:t>
      </w:r>
    </w:p>
    <w:p w14:paraId="139CA47B">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根据图纸要求进行总组装，特别要控制端口及横隔板处的组装精度，将各单元件</w:t>
      </w:r>
      <w:r>
        <w:rPr>
          <w:rFonts w:hint="eastAsia" w:ascii="Times New Roman" w:hAnsi="Times New Roman" w:eastAsia="宋体" w:cs="Times New Roman"/>
          <w:color w:val="auto"/>
          <w:sz w:val="24"/>
          <w:szCs w:val="24"/>
          <w:u w:val="none" w:color="auto"/>
          <w:lang w:eastAsia="zh-CN"/>
        </w:rPr>
        <w:t>置于</w:t>
      </w:r>
      <w:r>
        <w:rPr>
          <w:rFonts w:ascii="Times New Roman" w:hAnsi="Times New Roman" w:eastAsia="宋体" w:cs="Times New Roman"/>
          <w:color w:val="auto"/>
          <w:sz w:val="24"/>
          <w:szCs w:val="24"/>
          <w:u w:val="none" w:color="auto"/>
        </w:rPr>
        <w:t>反变形船形摇摆焊接台架上进行焊接。焊接过程产生的烟尘G2通过项目设置的移动式烟尘净化器处理，剩余未收集粉尘在车间无组织排放，</w:t>
      </w:r>
      <w:r>
        <w:rPr>
          <w:rFonts w:hint="eastAsia" w:ascii="Times New Roman" w:hAnsi="Times New Roman" w:eastAsia="宋体" w:cs="Times New Roman"/>
          <w:color w:val="auto"/>
          <w:sz w:val="24"/>
          <w:szCs w:val="24"/>
          <w:u w:val="none" w:color="auto"/>
        </w:rPr>
        <w:t>焊接产生的废焊条焊渣收集后外售</w:t>
      </w:r>
      <w:r>
        <w:rPr>
          <w:rFonts w:ascii="Times New Roman" w:hAnsi="Times New Roman" w:eastAsia="宋体" w:cs="Times New Roman"/>
          <w:color w:val="auto"/>
          <w:sz w:val="24"/>
          <w:szCs w:val="24"/>
          <w:u w:val="none" w:color="auto"/>
        </w:rPr>
        <w:t>。</w:t>
      </w:r>
    </w:p>
    <w:p w14:paraId="6198EB5B">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⑧附件</w:t>
      </w:r>
      <w:r>
        <w:rPr>
          <w:rFonts w:ascii="Times New Roman" w:hAnsi="Times New Roman" w:eastAsia="宋体" w:cs="Times New Roman"/>
          <w:color w:val="auto"/>
          <w:sz w:val="24"/>
          <w:szCs w:val="24"/>
          <w:u w:val="none" w:color="auto"/>
        </w:rPr>
        <w:t>组装、焊接</w:t>
      </w:r>
    </w:p>
    <w:p w14:paraId="3BE76F3B">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根据图纸要求进行</w:t>
      </w:r>
      <w:r>
        <w:rPr>
          <w:rFonts w:hint="eastAsia" w:ascii="Times New Roman" w:hAnsi="Times New Roman" w:eastAsia="宋体" w:cs="Times New Roman"/>
          <w:color w:val="auto"/>
          <w:sz w:val="24"/>
          <w:szCs w:val="24"/>
          <w:u w:val="none" w:color="auto"/>
        </w:rPr>
        <w:t>附件</w:t>
      </w:r>
      <w:r>
        <w:rPr>
          <w:rFonts w:ascii="Times New Roman" w:hAnsi="Times New Roman" w:eastAsia="宋体" w:cs="Times New Roman"/>
          <w:color w:val="auto"/>
          <w:sz w:val="24"/>
          <w:szCs w:val="24"/>
          <w:u w:val="none" w:color="auto"/>
        </w:rPr>
        <w:t>组装，将各单元件</w:t>
      </w:r>
      <w:r>
        <w:rPr>
          <w:rFonts w:hint="eastAsia" w:ascii="Times New Roman" w:hAnsi="Times New Roman" w:eastAsia="宋体" w:cs="Times New Roman"/>
          <w:color w:val="auto"/>
          <w:sz w:val="24"/>
          <w:szCs w:val="24"/>
          <w:u w:val="none" w:color="auto"/>
          <w:lang w:eastAsia="zh-CN"/>
        </w:rPr>
        <w:t>置于</w:t>
      </w:r>
      <w:r>
        <w:rPr>
          <w:rFonts w:ascii="Times New Roman" w:hAnsi="Times New Roman" w:eastAsia="宋体" w:cs="Times New Roman"/>
          <w:color w:val="auto"/>
          <w:sz w:val="24"/>
          <w:szCs w:val="24"/>
          <w:u w:val="none" w:color="auto"/>
        </w:rPr>
        <w:t>反变形船形摇摆焊接台架上进行焊接。焊接过程产生的烟尘G2通过移动式烟尘净化器处理，剩余未收集粉尘在车间无组织排放，</w:t>
      </w:r>
      <w:r>
        <w:rPr>
          <w:rFonts w:hint="eastAsia" w:ascii="Times New Roman" w:hAnsi="Times New Roman" w:eastAsia="宋体" w:cs="Times New Roman"/>
          <w:color w:val="auto"/>
          <w:sz w:val="24"/>
          <w:szCs w:val="24"/>
          <w:u w:val="none" w:color="auto"/>
        </w:rPr>
        <w:t>焊接产生的废焊条焊渣收集后外售</w:t>
      </w:r>
      <w:r>
        <w:rPr>
          <w:rFonts w:ascii="Times New Roman" w:hAnsi="Times New Roman" w:eastAsia="宋体" w:cs="Times New Roman"/>
          <w:color w:val="auto"/>
          <w:sz w:val="24"/>
          <w:szCs w:val="24"/>
          <w:u w:val="none" w:color="auto"/>
        </w:rPr>
        <w:t>。</w:t>
      </w:r>
    </w:p>
    <w:p w14:paraId="077210EF">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⑨包装发货</w:t>
      </w:r>
    </w:p>
    <w:p w14:paraId="66C5DB45">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最终检验合格后，将</w:t>
      </w:r>
      <w:r>
        <w:rPr>
          <w:rFonts w:hint="eastAsia" w:ascii="Times New Roman" w:hAnsi="Times New Roman" w:eastAsia="宋体" w:cs="Times New Roman"/>
          <w:color w:val="auto"/>
          <w:sz w:val="24"/>
          <w:szCs w:val="24"/>
          <w:u w:val="none" w:color="auto"/>
        </w:rPr>
        <w:t>管桩</w:t>
      </w:r>
      <w:r>
        <w:rPr>
          <w:rFonts w:ascii="Times New Roman" w:hAnsi="Times New Roman" w:eastAsia="宋体" w:cs="Times New Roman"/>
          <w:color w:val="auto"/>
          <w:sz w:val="24"/>
          <w:szCs w:val="24"/>
          <w:u w:val="none" w:color="auto"/>
        </w:rPr>
        <w:t>包装，并做好防变形措施</w:t>
      </w:r>
      <w:r>
        <w:rPr>
          <w:rFonts w:hint="eastAsia" w:ascii="Times New Roman" w:hAnsi="Times New Roman" w:eastAsia="宋体" w:cs="Times New Roman"/>
          <w:color w:val="auto"/>
          <w:sz w:val="24"/>
          <w:szCs w:val="24"/>
          <w:u w:val="none" w:color="auto"/>
        </w:rPr>
        <w:t>，并通过项目租用的位于生产区西侧的钦州北港物流有限公司码头发货</w:t>
      </w:r>
      <w:r>
        <w:rPr>
          <w:rFonts w:ascii="Times New Roman" w:hAnsi="Times New Roman" w:eastAsia="宋体" w:cs="Times New Roman"/>
          <w:color w:val="auto"/>
          <w:sz w:val="24"/>
          <w:szCs w:val="24"/>
          <w:u w:val="none" w:color="auto"/>
        </w:rPr>
        <w:t>。</w:t>
      </w:r>
    </w:p>
    <w:p w14:paraId="6E9213A9">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切割废气经集气罩收集由移动式烟(粉)尘净化器处理后车间无组织排放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焊接废气经集气罩收集由移动式烟(粉)尘净化器处理后车间无组织排放</w:t>
      </w:r>
      <w:r>
        <w:rPr>
          <w:rFonts w:hint="eastAsia" w:ascii="Times New Roman" w:hAnsi="Times New Roman" w:eastAsia="宋体" w:cs="Times New Roman"/>
          <w:color w:val="auto"/>
          <w:sz w:val="24"/>
          <w:szCs w:val="24"/>
          <w:u w:val="single" w:color="auto"/>
          <w:lang w:eastAsia="zh-CN"/>
        </w:rPr>
        <w:t>。</w:t>
      </w:r>
    </w:p>
    <w:p w14:paraId="64F41D87">
      <w:pPr>
        <w:snapToGrid w:val="0"/>
        <w:spacing w:line="360" w:lineRule="auto"/>
        <w:ind w:firstLine="480" w:firstLineChars="200"/>
        <w:rPr>
          <w:rFonts w:hint="default" w:ascii="Times New Roman" w:hAnsi="Times New Roman" w:eastAsia="宋体" w:cs="Times New Roman"/>
          <w:color w:val="auto"/>
          <w:sz w:val="24"/>
          <w:szCs w:val="24"/>
          <w:u w:val="single" w:color="auto"/>
          <w:lang w:val="en-US" w:eastAsia="zh-CN"/>
        </w:rPr>
      </w:pPr>
      <w:r>
        <w:rPr>
          <w:rFonts w:ascii="Times New Roman" w:hAnsi="Times New Roman" w:eastAsia="宋体" w:cs="Times New Roman"/>
          <w:color w:val="auto"/>
          <w:sz w:val="24"/>
          <w:szCs w:val="24"/>
          <w:u w:val="single" w:color="auto"/>
        </w:rPr>
        <w:t>抛丸废气</w:t>
      </w:r>
      <w:r>
        <w:rPr>
          <w:rFonts w:hint="eastAsia" w:ascii="Times New Roman" w:hAnsi="Times New Roman" w:eastAsia="宋体" w:cs="Times New Roman"/>
          <w:color w:val="auto"/>
          <w:sz w:val="24"/>
          <w:szCs w:val="24"/>
          <w:u w:val="single" w:color="auto"/>
        </w:rPr>
        <w:t>和喷砂废气</w:t>
      </w:r>
      <w:r>
        <w:rPr>
          <w:rFonts w:ascii="Times New Roman" w:hAnsi="Times New Roman" w:eastAsia="宋体" w:cs="Times New Roman"/>
          <w:color w:val="auto"/>
          <w:sz w:val="24"/>
          <w:szCs w:val="24"/>
          <w:u w:val="single" w:color="auto"/>
        </w:rPr>
        <w:t>经负压收集由</w:t>
      </w:r>
      <w:r>
        <w:rPr>
          <w:rFonts w:hint="eastAsia" w:ascii="宋体" w:hAnsi="宋体" w:eastAsia="宋体" w:cs="宋体"/>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滤筒除尘器处理，通过</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0</w:t>
      </w:r>
      <w:r>
        <w:rPr>
          <w:rFonts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rPr>
        <w:t>高</w:t>
      </w:r>
      <w:r>
        <w:rPr>
          <w:rFonts w:ascii="Times New Roman" w:hAnsi="Times New Roman" w:eastAsia="宋体" w:cs="Times New Roman"/>
          <w:color w:val="auto"/>
          <w:sz w:val="24"/>
          <w:szCs w:val="24"/>
          <w:u w:val="single" w:color="auto"/>
        </w:rPr>
        <w:t>排气筒（DA001）排放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p>
    <w:p w14:paraId="7A671822">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喷漆废气经负压收集由“干式漆雾过滤+活性炭吸附</w:t>
      </w:r>
      <w:r>
        <w:rPr>
          <w:rFonts w:hint="eastAsia" w:ascii="Times New Roman" w:hAnsi="Times New Roman" w:eastAsia="宋体" w:cs="Times New Roman"/>
          <w:color w:val="auto"/>
          <w:sz w:val="24"/>
          <w:szCs w:val="24"/>
          <w:u w:val="single" w:color="auto"/>
        </w:rPr>
        <w:t>+催化燃烧</w:t>
      </w:r>
      <w:r>
        <w:rPr>
          <w:rFonts w:ascii="Times New Roman" w:hAnsi="Times New Roman" w:eastAsia="宋体" w:cs="Times New Roman"/>
          <w:color w:val="auto"/>
          <w:sz w:val="24"/>
          <w:szCs w:val="24"/>
          <w:u w:val="single" w:color="auto"/>
        </w:rPr>
        <w:t>”处理</w:t>
      </w:r>
      <w:r>
        <w:rPr>
          <w:rFonts w:hint="eastAsia" w:ascii="Times New Roman" w:hAnsi="Times New Roman" w:eastAsia="宋体" w:cs="Times New Roman"/>
          <w:color w:val="auto"/>
          <w:sz w:val="24"/>
          <w:szCs w:val="24"/>
          <w:u w:val="single" w:color="auto"/>
        </w:rPr>
        <w:t>装置处理后</w:t>
      </w:r>
      <w:r>
        <w:rPr>
          <w:rFonts w:ascii="Times New Roman" w:hAnsi="Times New Roman" w:eastAsia="宋体" w:cs="Times New Roman"/>
          <w:color w:val="auto"/>
          <w:sz w:val="24"/>
          <w:szCs w:val="24"/>
          <w:u w:val="single" w:color="auto"/>
        </w:rPr>
        <w:t>，通过</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0</w:t>
      </w:r>
      <w:r>
        <w:rPr>
          <w:rFonts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rPr>
        <w:t>高</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设计风量为60000m</w:t>
      </w:r>
      <w:r>
        <w:rPr>
          <w:rFonts w:hint="eastAsia" w:ascii="Times New Roman" w:hAnsi="Times New Roman" w:eastAsia="宋体" w:cs="Times New Roman"/>
          <w:color w:val="auto"/>
          <w:sz w:val="24"/>
          <w:szCs w:val="24"/>
          <w:u w:val="single" w:color="auto"/>
          <w:vertAlign w:val="superscript"/>
          <w:lang w:val="en-US" w:eastAsia="zh-CN"/>
        </w:rPr>
        <w:t>3</w:t>
      </w:r>
      <w:r>
        <w:rPr>
          <w:rFonts w:hint="eastAsia" w:ascii="Times New Roman" w:hAnsi="Times New Roman" w:eastAsia="宋体" w:cs="Times New Roman"/>
          <w:color w:val="auto"/>
          <w:sz w:val="24"/>
          <w:szCs w:val="24"/>
          <w:u w:val="single" w:color="auto"/>
          <w:lang w:val="en-US" w:eastAsia="zh-CN"/>
        </w:rPr>
        <w:t>/h。</w:t>
      </w:r>
    </w:p>
    <w:p w14:paraId="49843F59">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根据生产工艺特点，本项目运营期主要产污环节见表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-1。</w:t>
      </w:r>
    </w:p>
    <w:p w14:paraId="5FFE2B34">
      <w:pPr>
        <w:snapToGrid w:val="0"/>
        <w:spacing w:before="156" w:beforeLines="50"/>
        <w:jc w:val="center"/>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表</w:t>
      </w:r>
      <w:r>
        <w:rPr>
          <w:rFonts w:hint="eastAsia" w:ascii="Times New Roman" w:hAnsi="Times New Roman" w:eastAsia="宋体" w:cs="Times New Roman"/>
          <w:b/>
          <w:bCs/>
          <w:color w:val="auto"/>
          <w:sz w:val="24"/>
          <w:szCs w:val="24"/>
          <w:u w:val="none" w:color="auto"/>
        </w:rPr>
        <w:t>2.2</w:t>
      </w:r>
      <w:r>
        <w:rPr>
          <w:rFonts w:ascii="Times New Roman" w:hAnsi="Times New Roman" w:eastAsia="宋体" w:cs="Times New Roman"/>
          <w:b/>
          <w:bCs/>
          <w:color w:val="auto"/>
          <w:sz w:val="24"/>
          <w:szCs w:val="24"/>
          <w:u w:val="none" w:color="auto"/>
        </w:rPr>
        <w:t>-1主要产污环节</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188"/>
        <w:gridCol w:w="2448"/>
        <w:gridCol w:w="2132"/>
      </w:tblGrid>
      <w:tr w14:paraId="69C0E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Align w:val="center"/>
          </w:tcPr>
          <w:p w14:paraId="189CC46B">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类别</w:t>
            </w:r>
          </w:p>
        </w:tc>
        <w:tc>
          <w:tcPr>
            <w:tcW w:w="3188" w:type="dxa"/>
            <w:vAlign w:val="center"/>
          </w:tcPr>
          <w:p w14:paraId="45340782">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产污环节</w:t>
            </w:r>
          </w:p>
        </w:tc>
        <w:tc>
          <w:tcPr>
            <w:tcW w:w="2448" w:type="dxa"/>
            <w:vAlign w:val="center"/>
          </w:tcPr>
          <w:p w14:paraId="12821051">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污染源名称及代号</w:t>
            </w:r>
          </w:p>
        </w:tc>
        <w:tc>
          <w:tcPr>
            <w:tcW w:w="2132" w:type="dxa"/>
            <w:vAlign w:val="center"/>
          </w:tcPr>
          <w:p w14:paraId="5422662D">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主要污染物</w:t>
            </w:r>
          </w:p>
        </w:tc>
      </w:tr>
      <w:tr w14:paraId="4A083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restart"/>
            <w:vAlign w:val="center"/>
          </w:tcPr>
          <w:p w14:paraId="03C63B9F">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废气</w:t>
            </w:r>
          </w:p>
        </w:tc>
        <w:tc>
          <w:tcPr>
            <w:tcW w:w="3188" w:type="dxa"/>
            <w:vAlign w:val="center"/>
          </w:tcPr>
          <w:p w14:paraId="5951F97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切割及机加工</w:t>
            </w:r>
          </w:p>
        </w:tc>
        <w:tc>
          <w:tcPr>
            <w:tcW w:w="2448" w:type="dxa"/>
            <w:vAlign w:val="center"/>
          </w:tcPr>
          <w:p w14:paraId="04922353">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切割废气G1</w:t>
            </w:r>
          </w:p>
        </w:tc>
        <w:tc>
          <w:tcPr>
            <w:tcW w:w="2132" w:type="dxa"/>
            <w:vAlign w:val="center"/>
          </w:tcPr>
          <w:p w14:paraId="274B7CC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颗粒物</w:t>
            </w:r>
          </w:p>
        </w:tc>
      </w:tr>
      <w:tr w14:paraId="550CF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30A7A106">
            <w:pPr>
              <w:snapToGrid w:val="0"/>
              <w:jc w:val="center"/>
              <w:rPr>
                <w:rFonts w:ascii="Times New Roman" w:hAnsi="Times New Roman" w:eastAsia="宋体" w:cs="Times New Roman"/>
                <w:color w:val="auto"/>
                <w:szCs w:val="21"/>
                <w:u w:val="none" w:color="auto"/>
              </w:rPr>
            </w:pPr>
          </w:p>
        </w:tc>
        <w:tc>
          <w:tcPr>
            <w:tcW w:w="3188" w:type="dxa"/>
            <w:vAlign w:val="center"/>
          </w:tcPr>
          <w:p w14:paraId="0B0F5E40">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焊接</w:t>
            </w:r>
          </w:p>
        </w:tc>
        <w:tc>
          <w:tcPr>
            <w:tcW w:w="2448" w:type="dxa"/>
            <w:vAlign w:val="center"/>
          </w:tcPr>
          <w:p w14:paraId="18E0445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焊接废气G2</w:t>
            </w:r>
          </w:p>
        </w:tc>
        <w:tc>
          <w:tcPr>
            <w:tcW w:w="2132" w:type="dxa"/>
            <w:vAlign w:val="center"/>
          </w:tcPr>
          <w:p w14:paraId="2B0120DB">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颗粒物</w:t>
            </w:r>
          </w:p>
        </w:tc>
      </w:tr>
      <w:tr w14:paraId="502A4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0FAFA838">
            <w:pPr>
              <w:snapToGrid w:val="0"/>
              <w:jc w:val="center"/>
              <w:rPr>
                <w:rFonts w:ascii="Times New Roman" w:hAnsi="Times New Roman" w:eastAsia="宋体" w:cs="Times New Roman"/>
                <w:color w:val="auto"/>
                <w:szCs w:val="21"/>
                <w:u w:val="none" w:color="auto"/>
              </w:rPr>
            </w:pPr>
          </w:p>
        </w:tc>
        <w:tc>
          <w:tcPr>
            <w:tcW w:w="3188" w:type="dxa"/>
            <w:vAlign w:val="center"/>
          </w:tcPr>
          <w:p w14:paraId="13D1524C">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抛丸</w:t>
            </w:r>
          </w:p>
        </w:tc>
        <w:tc>
          <w:tcPr>
            <w:tcW w:w="2448" w:type="dxa"/>
            <w:vAlign w:val="center"/>
          </w:tcPr>
          <w:p w14:paraId="137CBCC0">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抛丸废气G3</w:t>
            </w:r>
          </w:p>
        </w:tc>
        <w:tc>
          <w:tcPr>
            <w:tcW w:w="2132" w:type="dxa"/>
            <w:vAlign w:val="center"/>
          </w:tcPr>
          <w:p w14:paraId="61D05B9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颗粒物</w:t>
            </w:r>
          </w:p>
        </w:tc>
      </w:tr>
      <w:tr w14:paraId="53FA7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0F04E79B">
            <w:pPr>
              <w:snapToGrid w:val="0"/>
              <w:jc w:val="center"/>
              <w:rPr>
                <w:rFonts w:ascii="Times New Roman" w:hAnsi="Times New Roman" w:eastAsia="宋体" w:cs="Times New Roman"/>
                <w:color w:val="auto"/>
                <w:szCs w:val="21"/>
                <w:u w:val="none" w:color="auto"/>
              </w:rPr>
            </w:pPr>
          </w:p>
        </w:tc>
        <w:tc>
          <w:tcPr>
            <w:tcW w:w="3188" w:type="dxa"/>
            <w:vAlign w:val="center"/>
          </w:tcPr>
          <w:p w14:paraId="66BB22CC">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喷砂</w:t>
            </w:r>
          </w:p>
        </w:tc>
        <w:tc>
          <w:tcPr>
            <w:tcW w:w="2448" w:type="dxa"/>
            <w:vAlign w:val="center"/>
          </w:tcPr>
          <w:p w14:paraId="5676998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喷砂废气G4</w:t>
            </w:r>
          </w:p>
        </w:tc>
        <w:tc>
          <w:tcPr>
            <w:tcW w:w="2132" w:type="dxa"/>
            <w:vAlign w:val="center"/>
          </w:tcPr>
          <w:p w14:paraId="7AB4F240">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颗粒物</w:t>
            </w:r>
          </w:p>
        </w:tc>
      </w:tr>
      <w:tr w14:paraId="399E9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1F1AF4CB">
            <w:pPr>
              <w:snapToGrid w:val="0"/>
              <w:jc w:val="center"/>
              <w:rPr>
                <w:rFonts w:ascii="Times New Roman" w:hAnsi="Times New Roman" w:eastAsia="宋体" w:cs="Times New Roman"/>
                <w:color w:val="auto"/>
                <w:szCs w:val="21"/>
                <w:u w:val="none" w:color="auto"/>
              </w:rPr>
            </w:pPr>
          </w:p>
        </w:tc>
        <w:tc>
          <w:tcPr>
            <w:tcW w:w="3188" w:type="dxa"/>
            <w:vAlign w:val="center"/>
          </w:tcPr>
          <w:p w14:paraId="080AF2C7">
            <w:pPr>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调漆、</w:t>
            </w:r>
            <w:r>
              <w:rPr>
                <w:rFonts w:ascii="Times New Roman" w:hAnsi="Times New Roman" w:eastAsia="宋体" w:cs="Times New Roman"/>
                <w:color w:val="auto"/>
                <w:szCs w:val="21"/>
                <w:u w:val="none" w:color="auto"/>
              </w:rPr>
              <w:t>喷漆</w:t>
            </w:r>
            <w:r>
              <w:rPr>
                <w:rFonts w:hint="eastAsia" w:ascii="Times New Roman" w:hAnsi="Times New Roman" w:eastAsia="宋体" w:cs="Times New Roman"/>
                <w:color w:val="auto"/>
                <w:szCs w:val="21"/>
                <w:u w:val="none" w:color="auto"/>
              </w:rPr>
              <w:t>、晾干工序</w:t>
            </w:r>
          </w:p>
        </w:tc>
        <w:tc>
          <w:tcPr>
            <w:tcW w:w="2448" w:type="dxa"/>
            <w:vAlign w:val="center"/>
          </w:tcPr>
          <w:p w14:paraId="0AE0198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喷漆废气G5</w:t>
            </w:r>
          </w:p>
        </w:tc>
        <w:tc>
          <w:tcPr>
            <w:tcW w:w="2132" w:type="dxa"/>
            <w:vAlign w:val="center"/>
          </w:tcPr>
          <w:p w14:paraId="5F4AC7D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颗粒物、甲苯、二甲苯、</w:t>
            </w:r>
            <w:r>
              <w:rPr>
                <w:rFonts w:hint="eastAsia" w:ascii="Times New Roman" w:hAnsi="Times New Roman" w:eastAsia="宋体" w:cs="Times New Roman"/>
                <w:color w:val="auto"/>
                <w:szCs w:val="21"/>
                <w:u w:val="none" w:color="auto"/>
              </w:rPr>
              <w:t>非甲烷总烃</w:t>
            </w:r>
          </w:p>
        </w:tc>
      </w:tr>
      <w:tr w14:paraId="5B896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Align w:val="center"/>
          </w:tcPr>
          <w:p w14:paraId="2EE3CA7D">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废水</w:t>
            </w:r>
          </w:p>
        </w:tc>
        <w:tc>
          <w:tcPr>
            <w:tcW w:w="3188" w:type="dxa"/>
            <w:vAlign w:val="center"/>
          </w:tcPr>
          <w:p w14:paraId="7E89C35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生活办公</w:t>
            </w:r>
          </w:p>
        </w:tc>
        <w:tc>
          <w:tcPr>
            <w:tcW w:w="2448" w:type="dxa"/>
            <w:vAlign w:val="center"/>
          </w:tcPr>
          <w:p w14:paraId="637CF8D1">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生活污水Wl</w:t>
            </w:r>
          </w:p>
        </w:tc>
        <w:tc>
          <w:tcPr>
            <w:tcW w:w="2132" w:type="dxa"/>
            <w:vAlign w:val="center"/>
          </w:tcPr>
          <w:p w14:paraId="19FF8E74">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COD、BOD、</w:t>
            </w:r>
            <w:r>
              <w:rPr>
                <w:rFonts w:hint="eastAsia" w:ascii="Times New Roman" w:hAnsi="Times New Roman" w:eastAsia="宋体" w:cs="Times New Roman"/>
                <w:color w:val="auto"/>
                <w:szCs w:val="21"/>
                <w:u w:val="none" w:color="auto"/>
              </w:rPr>
              <w:t>氨氮</w:t>
            </w:r>
            <w:r>
              <w:rPr>
                <w:rFonts w:ascii="Times New Roman" w:hAnsi="Times New Roman" w:eastAsia="宋体" w:cs="Times New Roman"/>
                <w:color w:val="auto"/>
                <w:szCs w:val="21"/>
                <w:u w:val="none" w:color="auto"/>
              </w:rPr>
              <w:t>、SS等</w:t>
            </w:r>
          </w:p>
        </w:tc>
      </w:tr>
      <w:tr w14:paraId="0BF8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Align w:val="center"/>
          </w:tcPr>
          <w:p w14:paraId="5F85B53E">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噪声</w:t>
            </w:r>
          </w:p>
        </w:tc>
        <w:tc>
          <w:tcPr>
            <w:tcW w:w="3188" w:type="dxa"/>
            <w:vAlign w:val="center"/>
          </w:tcPr>
          <w:p w14:paraId="19EFE8EA">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各种生产设备、空压机及风机</w:t>
            </w:r>
          </w:p>
        </w:tc>
        <w:tc>
          <w:tcPr>
            <w:tcW w:w="2448" w:type="dxa"/>
            <w:vAlign w:val="center"/>
          </w:tcPr>
          <w:p w14:paraId="74EA17C4">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噪声N</w:t>
            </w:r>
          </w:p>
        </w:tc>
        <w:tc>
          <w:tcPr>
            <w:tcW w:w="2132" w:type="dxa"/>
            <w:vAlign w:val="center"/>
          </w:tcPr>
          <w:p w14:paraId="0D342B79">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连续等效A声级</w:t>
            </w:r>
          </w:p>
        </w:tc>
      </w:tr>
      <w:tr w14:paraId="7C24E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restart"/>
            <w:vAlign w:val="center"/>
          </w:tcPr>
          <w:p w14:paraId="3D2A0655">
            <w:pPr>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固废</w:t>
            </w:r>
          </w:p>
        </w:tc>
        <w:tc>
          <w:tcPr>
            <w:tcW w:w="3188" w:type="dxa"/>
            <w:vAlign w:val="center"/>
          </w:tcPr>
          <w:p w14:paraId="528E8A1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切割及机加工</w:t>
            </w:r>
          </w:p>
        </w:tc>
        <w:tc>
          <w:tcPr>
            <w:tcW w:w="2448" w:type="dxa"/>
            <w:vAlign w:val="center"/>
          </w:tcPr>
          <w:p w14:paraId="5EF6F9A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切割下脚料S1</w:t>
            </w:r>
          </w:p>
        </w:tc>
        <w:tc>
          <w:tcPr>
            <w:tcW w:w="2132" w:type="dxa"/>
            <w:vAlign w:val="center"/>
          </w:tcPr>
          <w:p w14:paraId="19D0CB3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钢材</w:t>
            </w:r>
          </w:p>
        </w:tc>
      </w:tr>
      <w:tr w14:paraId="73D04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09C38D21">
            <w:pPr>
              <w:snapToGrid w:val="0"/>
              <w:jc w:val="center"/>
              <w:rPr>
                <w:rFonts w:ascii="Times New Roman" w:hAnsi="Times New Roman" w:eastAsia="宋体" w:cs="Times New Roman"/>
                <w:color w:val="auto"/>
                <w:szCs w:val="21"/>
                <w:u w:val="none" w:color="auto"/>
              </w:rPr>
            </w:pPr>
          </w:p>
        </w:tc>
        <w:tc>
          <w:tcPr>
            <w:tcW w:w="3188" w:type="dxa"/>
            <w:vAlign w:val="center"/>
          </w:tcPr>
          <w:p w14:paraId="14CEBFA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烟（粉）尘净化器</w:t>
            </w:r>
          </w:p>
        </w:tc>
        <w:tc>
          <w:tcPr>
            <w:tcW w:w="2448" w:type="dxa"/>
            <w:vAlign w:val="center"/>
          </w:tcPr>
          <w:p w14:paraId="64AD08B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净化器除尘灰S2</w:t>
            </w:r>
          </w:p>
        </w:tc>
        <w:tc>
          <w:tcPr>
            <w:tcW w:w="2132" w:type="dxa"/>
            <w:vAlign w:val="center"/>
          </w:tcPr>
          <w:p w14:paraId="12531DB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铁粉</w:t>
            </w:r>
          </w:p>
        </w:tc>
      </w:tr>
      <w:tr w14:paraId="05431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07F2CE8C">
            <w:pPr>
              <w:snapToGrid w:val="0"/>
              <w:jc w:val="center"/>
              <w:rPr>
                <w:rFonts w:ascii="Times New Roman" w:hAnsi="Times New Roman" w:eastAsia="宋体" w:cs="Times New Roman"/>
                <w:color w:val="auto"/>
                <w:szCs w:val="21"/>
                <w:u w:val="none" w:color="auto"/>
              </w:rPr>
            </w:pPr>
          </w:p>
        </w:tc>
        <w:tc>
          <w:tcPr>
            <w:tcW w:w="3188" w:type="dxa"/>
            <w:vAlign w:val="center"/>
          </w:tcPr>
          <w:p w14:paraId="56012B3D">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废气滤筒</w:t>
            </w:r>
          </w:p>
        </w:tc>
        <w:tc>
          <w:tcPr>
            <w:tcW w:w="2448" w:type="dxa"/>
            <w:vAlign w:val="center"/>
          </w:tcPr>
          <w:p w14:paraId="1BF5381B">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滤筒除尘灰S3</w:t>
            </w:r>
          </w:p>
        </w:tc>
        <w:tc>
          <w:tcPr>
            <w:tcW w:w="2132" w:type="dxa"/>
            <w:vAlign w:val="center"/>
          </w:tcPr>
          <w:p w14:paraId="356E2A0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铁粉</w:t>
            </w:r>
          </w:p>
        </w:tc>
      </w:tr>
      <w:tr w14:paraId="15D5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2C6D6B35">
            <w:pPr>
              <w:snapToGrid w:val="0"/>
              <w:jc w:val="center"/>
              <w:rPr>
                <w:rFonts w:ascii="Times New Roman" w:hAnsi="Times New Roman" w:eastAsia="宋体" w:cs="Times New Roman"/>
                <w:color w:val="auto"/>
                <w:szCs w:val="21"/>
                <w:u w:val="none" w:color="auto"/>
              </w:rPr>
            </w:pPr>
          </w:p>
        </w:tc>
        <w:tc>
          <w:tcPr>
            <w:tcW w:w="3188" w:type="dxa"/>
            <w:vAlign w:val="center"/>
          </w:tcPr>
          <w:p w14:paraId="18D676E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焊接</w:t>
            </w:r>
          </w:p>
        </w:tc>
        <w:tc>
          <w:tcPr>
            <w:tcW w:w="2448" w:type="dxa"/>
            <w:vAlign w:val="center"/>
          </w:tcPr>
          <w:p w14:paraId="55055E5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废焊条焊渣S4</w:t>
            </w:r>
          </w:p>
        </w:tc>
        <w:tc>
          <w:tcPr>
            <w:tcW w:w="2132" w:type="dxa"/>
            <w:vAlign w:val="center"/>
          </w:tcPr>
          <w:p w14:paraId="64D726E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焊条焊渣</w:t>
            </w:r>
          </w:p>
        </w:tc>
      </w:tr>
      <w:tr w14:paraId="75A0B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19DC083C">
            <w:pPr>
              <w:snapToGrid w:val="0"/>
              <w:jc w:val="center"/>
              <w:rPr>
                <w:rFonts w:ascii="Times New Roman" w:hAnsi="Times New Roman" w:eastAsia="宋体" w:cs="Times New Roman"/>
                <w:color w:val="auto"/>
                <w:szCs w:val="21"/>
                <w:u w:val="none" w:color="auto"/>
              </w:rPr>
            </w:pPr>
          </w:p>
        </w:tc>
        <w:tc>
          <w:tcPr>
            <w:tcW w:w="3188" w:type="dxa"/>
            <w:vAlign w:val="center"/>
          </w:tcPr>
          <w:p w14:paraId="5AD8A0BD">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抛丸</w:t>
            </w:r>
          </w:p>
        </w:tc>
        <w:tc>
          <w:tcPr>
            <w:tcW w:w="2448" w:type="dxa"/>
            <w:vAlign w:val="center"/>
          </w:tcPr>
          <w:p w14:paraId="36076083">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废钢丸S5</w:t>
            </w:r>
          </w:p>
        </w:tc>
        <w:tc>
          <w:tcPr>
            <w:tcW w:w="2132" w:type="dxa"/>
            <w:vAlign w:val="center"/>
          </w:tcPr>
          <w:p w14:paraId="7B94ADB9">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钢材</w:t>
            </w:r>
          </w:p>
        </w:tc>
      </w:tr>
      <w:tr w14:paraId="3A02A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35EB07B2">
            <w:pPr>
              <w:snapToGrid w:val="0"/>
              <w:jc w:val="center"/>
              <w:rPr>
                <w:rFonts w:ascii="Times New Roman" w:hAnsi="Times New Roman" w:eastAsia="宋体" w:cs="Times New Roman"/>
                <w:color w:val="auto"/>
                <w:szCs w:val="21"/>
                <w:u w:val="none" w:color="auto"/>
              </w:rPr>
            </w:pPr>
          </w:p>
        </w:tc>
        <w:tc>
          <w:tcPr>
            <w:tcW w:w="3188" w:type="dxa"/>
            <w:vAlign w:val="center"/>
          </w:tcPr>
          <w:p w14:paraId="523B6E5F">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粉尘沉降</w:t>
            </w:r>
          </w:p>
        </w:tc>
        <w:tc>
          <w:tcPr>
            <w:tcW w:w="2448" w:type="dxa"/>
            <w:vAlign w:val="center"/>
          </w:tcPr>
          <w:p w14:paraId="2086F7AE">
            <w:pPr>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rPr>
              <w:t>沉降粉尘</w:t>
            </w:r>
            <w:r>
              <w:rPr>
                <w:rFonts w:ascii="Times New Roman" w:hAnsi="Times New Roman" w:eastAsia="宋体" w:cs="Times New Roman"/>
                <w:color w:val="auto"/>
                <w:szCs w:val="21"/>
                <w:u w:val="none" w:color="auto"/>
              </w:rPr>
              <w:t>S</w:t>
            </w:r>
            <w:r>
              <w:rPr>
                <w:rFonts w:hint="eastAsia" w:ascii="Times New Roman" w:hAnsi="Times New Roman" w:eastAsia="宋体" w:cs="Times New Roman"/>
                <w:color w:val="auto"/>
                <w:szCs w:val="21"/>
                <w:u w:val="none" w:color="auto"/>
                <w:lang w:val="en-US" w:eastAsia="zh-CN"/>
              </w:rPr>
              <w:t>6</w:t>
            </w:r>
          </w:p>
        </w:tc>
        <w:tc>
          <w:tcPr>
            <w:tcW w:w="2132" w:type="dxa"/>
            <w:vAlign w:val="center"/>
          </w:tcPr>
          <w:p w14:paraId="3A9B952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铁粉</w:t>
            </w:r>
          </w:p>
        </w:tc>
      </w:tr>
      <w:tr w14:paraId="2815A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75EC0914">
            <w:pPr>
              <w:snapToGrid w:val="0"/>
              <w:jc w:val="center"/>
              <w:rPr>
                <w:rFonts w:ascii="Times New Roman" w:hAnsi="Times New Roman" w:eastAsia="宋体" w:cs="Times New Roman"/>
                <w:color w:val="auto"/>
                <w:szCs w:val="21"/>
                <w:u w:val="none" w:color="auto"/>
              </w:rPr>
            </w:pPr>
          </w:p>
        </w:tc>
        <w:tc>
          <w:tcPr>
            <w:tcW w:w="3188" w:type="dxa"/>
            <w:vAlign w:val="center"/>
          </w:tcPr>
          <w:p w14:paraId="1F6CB72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干式漆雾过滤器</w:t>
            </w:r>
          </w:p>
        </w:tc>
        <w:tc>
          <w:tcPr>
            <w:tcW w:w="2448" w:type="dxa"/>
            <w:vAlign w:val="center"/>
          </w:tcPr>
          <w:p w14:paraId="6A09EA92">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废过滤棉S</w:t>
            </w:r>
            <w:r>
              <w:rPr>
                <w:rFonts w:hint="eastAsia" w:ascii="Times New Roman" w:hAnsi="Times New Roman" w:eastAsia="宋体" w:cs="Times New Roman"/>
                <w:color w:val="auto"/>
                <w:szCs w:val="21"/>
                <w:u w:val="none" w:color="auto"/>
                <w:lang w:val="en-US" w:eastAsia="zh-CN"/>
              </w:rPr>
              <w:t>7</w:t>
            </w:r>
          </w:p>
        </w:tc>
        <w:tc>
          <w:tcPr>
            <w:tcW w:w="2132" w:type="dxa"/>
            <w:vAlign w:val="center"/>
          </w:tcPr>
          <w:p w14:paraId="1882637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漆渣及过滤棉</w:t>
            </w:r>
          </w:p>
        </w:tc>
      </w:tr>
      <w:tr w14:paraId="4F5F7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754" w:type="dxa"/>
            <w:vMerge w:val="continue"/>
            <w:vAlign w:val="center"/>
          </w:tcPr>
          <w:p w14:paraId="2A47BEE5">
            <w:pPr>
              <w:snapToGrid w:val="0"/>
              <w:jc w:val="center"/>
              <w:rPr>
                <w:rFonts w:ascii="Times New Roman" w:hAnsi="Times New Roman" w:eastAsia="宋体" w:cs="Times New Roman"/>
                <w:color w:val="auto"/>
                <w:szCs w:val="21"/>
                <w:u w:val="none" w:color="auto"/>
              </w:rPr>
            </w:pPr>
          </w:p>
        </w:tc>
        <w:tc>
          <w:tcPr>
            <w:tcW w:w="3188" w:type="dxa"/>
            <w:vAlign w:val="center"/>
          </w:tcPr>
          <w:p w14:paraId="1241919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活性炭吸附</w:t>
            </w:r>
          </w:p>
        </w:tc>
        <w:tc>
          <w:tcPr>
            <w:tcW w:w="2448" w:type="dxa"/>
            <w:vAlign w:val="center"/>
          </w:tcPr>
          <w:p w14:paraId="713A0273">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废活性炭S</w:t>
            </w:r>
            <w:r>
              <w:rPr>
                <w:rFonts w:hint="eastAsia" w:ascii="Times New Roman" w:hAnsi="Times New Roman" w:eastAsia="宋体" w:cs="Times New Roman"/>
                <w:color w:val="auto"/>
                <w:szCs w:val="21"/>
                <w:u w:val="none" w:color="auto"/>
                <w:lang w:val="en-US" w:eastAsia="zh-CN"/>
              </w:rPr>
              <w:t>8</w:t>
            </w:r>
          </w:p>
        </w:tc>
        <w:tc>
          <w:tcPr>
            <w:tcW w:w="2132" w:type="dxa"/>
            <w:vAlign w:val="center"/>
          </w:tcPr>
          <w:p w14:paraId="00AF550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活性炭</w:t>
            </w:r>
          </w:p>
        </w:tc>
      </w:tr>
      <w:tr w14:paraId="76E5D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787F079E">
            <w:pPr>
              <w:snapToGrid w:val="0"/>
              <w:jc w:val="center"/>
              <w:rPr>
                <w:rFonts w:ascii="Times New Roman" w:hAnsi="Times New Roman" w:eastAsia="宋体" w:cs="Times New Roman"/>
                <w:color w:val="auto"/>
                <w:szCs w:val="21"/>
                <w:u w:val="none" w:color="auto"/>
              </w:rPr>
            </w:pPr>
          </w:p>
        </w:tc>
        <w:tc>
          <w:tcPr>
            <w:tcW w:w="3188" w:type="dxa"/>
            <w:vAlign w:val="center"/>
          </w:tcPr>
          <w:p w14:paraId="7515654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废气处理</w:t>
            </w:r>
          </w:p>
        </w:tc>
        <w:tc>
          <w:tcPr>
            <w:tcW w:w="2448" w:type="dxa"/>
            <w:vAlign w:val="center"/>
          </w:tcPr>
          <w:p w14:paraId="48C162A4">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废催化剂S</w:t>
            </w:r>
            <w:r>
              <w:rPr>
                <w:rFonts w:hint="eastAsia" w:ascii="Times New Roman" w:hAnsi="Times New Roman" w:eastAsia="宋体" w:cs="Times New Roman"/>
                <w:color w:val="auto"/>
                <w:szCs w:val="21"/>
                <w:u w:val="none" w:color="auto"/>
                <w:lang w:val="en-US" w:eastAsia="zh-CN"/>
              </w:rPr>
              <w:t>9</w:t>
            </w:r>
          </w:p>
        </w:tc>
        <w:tc>
          <w:tcPr>
            <w:tcW w:w="2132" w:type="dxa"/>
            <w:vAlign w:val="center"/>
          </w:tcPr>
          <w:p w14:paraId="7F952218">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废催化剂</w:t>
            </w:r>
          </w:p>
        </w:tc>
      </w:tr>
      <w:tr w14:paraId="6B8FF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754" w:type="dxa"/>
            <w:vMerge w:val="continue"/>
            <w:vAlign w:val="center"/>
          </w:tcPr>
          <w:p w14:paraId="3CE8185C">
            <w:pPr>
              <w:snapToGrid w:val="0"/>
              <w:jc w:val="center"/>
              <w:rPr>
                <w:rFonts w:ascii="Times New Roman" w:hAnsi="Times New Roman" w:eastAsia="宋体" w:cs="Times New Roman"/>
                <w:color w:val="auto"/>
                <w:szCs w:val="21"/>
                <w:u w:val="none" w:color="auto"/>
              </w:rPr>
            </w:pPr>
          </w:p>
        </w:tc>
        <w:tc>
          <w:tcPr>
            <w:tcW w:w="3188" w:type="dxa"/>
            <w:vMerge w:val="restart"/>
            <w:vAlign w:val="center"/>
          </w:tcPr>
          <w:p w14:paraId="4F6E9082">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原料包装</w:t>
            </w:r>
          </w:p>
        </w:tc>
        <w:tc>
          <w:tcPr>
            <w:tcW w:w="2448" w:type="dxa"/>
            <w:vAlign w:val="center"/>
          </w:tcPr>
          <w:p w14:paraId="1586CBA3">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废油漆桶S1</w:t>
            </w:r>
            <w:r>
              <w:rPr>
                <w:rFonts w:hint="eastAsia" w:ascii="Times New Roman" w:hAnsi="Times New Roman" w:eastAsia="宋体" w:cs="Times New Roman"/>
                <w:color w:val="auto"/>
                <w:szCs w:val="21"/>
                <w:u w:val="none" w:color="auto"/>
                <w:lang w:val="en-US" w:eastAsia="zh-CN"/>
              </w:rPr>
              <w:t>0</w:t>
            </w:r>
          </w:p>
        </w:tc>
        <w:tc>
          <w:tcPr>
            <w:tcW w:w="2132" w:type="dxa"/>
            <w:vAlign w:val="center"/>
          </w:tcPr>
          <w:p w14:paraId="7AD8031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油漆及金属</w:t>
            </w:r>
          </w:p>
        </w:tc>
      </w:tr>
      <w:tr w14:paraId="297BE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754" w:type="dxa"/>
            <w:vMerge w:val="continue"/>
            <w:vAlign w:val="center"/>
          </w:tcPr>
          <w:p w14:paraId="37CD2A27">
            <w:pPr>
              <w:jc w:val="center"/>
              <w:rPr>
                <w:color w:val="auto"/>
                <w:u w:val="none" w:color="auto"/>
              </w:rPr>
            </w:pPr>
          </w:p>
        </w:tc>
        <w:tc>
          <w:tcPr>
            <w:tcW w:w="3188" w:type="dxa"/>
            <w:vMerge w:val="continue"/>
            <w:vAlign w:val="center"/>
          </w:tcPr>
          <w:p w14:paraId="18F32919">
            <w:pPr>
              <w:jc w:val="center"/>
              <w:rPr>
                <w:color w:val="auto"/>
                <w:u w:val="none" w:color="auto"/>
              </w:rPr>
            </w:pPr>
          </w:p>
        </w:tc>
        <w:tc>
          <w:tcPr>
            <w:tcW w:w="2448" w:type="dxa"/>
            <w:vAlign w:val="center"/>
          </w:tcPr>
          <w:p w14:paraId="7F87DE6C">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固化剂桶</w:t>
            </w:r>
            <w:r>
              <w:rPr>
                <w:rFonts w:ascii="Times New Roman" w:hAnsi="Times New Roman" w:eastAsia="宋体" w:cs="Times New Roman"/>
                <w:color w:val="auto"/>
                <w:szCs w:val="21"/>
                <w:u w:val="none" w:color="auto"/>
              </w:rPr>
              <w:t>S1</w:t>
            </w:r>
            <w:r>
              <w:rPr>
                <w:rFonts w:hint="eastAsia" w:ascii="Times New Roman" w:hAnsi="Times New Roman" w:eastAsia="宋体" w:cs="Times New Roman"/>
                <w:color w:val="auto"/>
                <w:szCs w:val="21"/>
                <w:u w:val="none" w:color="auto"/>
                <w:lang w:val="en-US" w:eastAsia="zh-CN"/>
              </w:rPr>
              <w:t>1</w:t>
            </w:r>
          </w:p>
        </w:tc>
        <w:tc>
          <w:tcPr>
            <w:tcW w:w="2132" w:type="dxa"/>
            <w:vAlign w:val="center"/>
          </w:tcPr>
          <w:p w14:paraId="1B254294">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固化剂</w:t>
            </w:r>
            <w:r>
              <w:rPr>
                <w:rFonts w:ascii="Times New Roman" w:hAnsi="Times New Roman" w:eastAsia="宋体" w:cs="Times New Roman"/>
                <w:color w:val="auto"/>
                <w:szCs w:val="21"/>
                <w:u w:val="none" w:color="auto"/>
              </w:rPr>
              <w:t>及金属</w:t>
            </w:r>
          </w:p>
        </w:tc>
      </w:tr>
      <w:tr w14:paraId="7C068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754" w:type="dxa"/>
            <w:vMerge w:val="continue"/>
            <w:vAlign w:val="center"/>
          </w:tcPr>
          <w:p w14:paraId="5FDAC5C9">
            <w:pPr>
              <w:jc w:val="center"/>
              <w:rPr>
                <w:rFonts w:ascii="Times New Roman" w:hAnsi="Times New Roman" w:eastAsia="宋体" w:cs="Times New Roman"/>
                <w:color w:val="auto"/>
                <w:szCs w:val="21"/>
                <w:u w:val="none" w:color="auto"/>
              </w:rPr>
            </w:pPr>
          </w:p>
        </w:tc>
        <w:tc>
          <w:tcPr>
            <w:tcW w:w="3188" w:type="dxa"/>
            <w:vMerge w:val="continue"/>
            <w:vAlign w:val="center"/>
          </w:tcPr>
          <w:p w14:paraId="69236708">
            <w:pPr>
              <w:jc w:val="center"/>
              <w:rPr>
                <w:rFonts w:ascii="Times New Roman" w:hAnsi="Times New Roman" w:eastAsia="宋体" w:cs="Times New Roman"/>
                <w:color w:val="auto"/>
                <w:szCs w:val="21"/>
                <w:u w:val="none" w:color="auto"/>
              </w:rPr>
            </w:pPr>
          </w:p>
        </w:tc>
        <w:tc>
          <w:tcPr>
            <w:tcW w:w="2448" w:type="dxa"/>
            <w:vAlign w:val="center"/>
          </w:tcPr>
          <w:p w14:paraId="6BB0979E">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稀释剂</w:t>
            </w:r>
            <w:r>
              <w:rPr>
                <w:rFonts w:ascii="Times New Roman" w:hAnsi="Times New Roman" w:eastAsia="宋体" w:cs="Times New Roman"/>
                <w:color w:val="auto"/>
                <w:szCs w:val="21"/>
                <w:u w:val="none" w:color="auto"/>
              </w:rPr>
              <w:t>桶S1</w:t>
            </w:r>
            <w:r>
              <w:rPr>
                <w:rFonts w:hint="eastAsia" w:ascii="Times New Roman" w:hAnsi="Times New Roman" w:eastAsia="宋体" w:cs="Times New Roman"/>
                <w:color w:val="auto"/>
                <w:szCs w:val="21"/>
                <w:u w:val="none" w:color="auto"/>
                <w:lang w:val="en-US" w:eastAsia="zh-CN"/>
              </w:rPr>
              <w:t>2</w:t>
            </w:r>
          </w:p>
        </w:tc>
        <w:tc>
          <w:tcPr>
            <w:tcW w:w="2132" w:type="dxa"/>
            <w:vAlign w:val="center"/>
          </w:tcPr>
          <w:p w14:paraId="39C703A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稀释剂</w:t>
            </w:r>
            <w:r>
              <w:rPr>
                <w:rFonts w:ascii="Times New Roman" w:hAnsi="Times New Roman" w:eastAsia="宋体" w:cs="Times New Roman"/>
                <w:color w:val="auto"/>
                <w:szCs w:val="21"/>
                <w:u w:val="none" w:color="auto"/>
              </w:rPr>
              <w:t>及金属</w:t>
            </w:r>
          </w:p>
        </w:tc>
      </w:tr>
      <w:tr w14:paraId="689F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754" w:type="dxa"/>
            <w:vMerge w:val="continue"/>
            <w:vAlign w:val="center"/>
          </w:tcPr>
          <w:p w14:paraId="781447E9">
            <w:pPr>
              <w:jc w:val="center"/>
              <w:rPr>
                <w:rFonts w:ascii="Times New Roman" w:hAnsi="Times New Roman" w:eastAsia="宋体" w:cs="Times New Roman"/>
                <w:color w:val="auto"/>
                <w:szCs w:val="21"/>
                <w:u w:val="none" w:color="auto"/>
              </w:rPr>
            </w:pPr>
          </w:p>
        </w:tc>
        <w:tc>
          <w:tcPr>
            <w:tcW w:w="3188" w:type="dxa"/>
            <w:vMerge w:val="continue"/>
            <w:vAlign w:val="center"/>
          </w:tcPr>
          <w:p w14:paraId="7DC80E97">
            <w:pPr>
              <w:jc w:val="center"/>
              <w:rPr>
                <w:rFonts w:ascii="Times New Roman" w:hAnsi="Times New Roman" w:eastAsia="宋体" w:cs="Times New Roman"/>
                <w:color w:val="auto"/>
                <w:szCs w:val="21"/>
                <w:u w:val="none" w:color="auto"/>
              </w:rPr>
            </w:pPr>
          </w:p>
        </w:tc>
        <w:tc>
          <w:tcPr>
            <w:tcW w:w="2448" w:type="dxa"/>
            <w:vAlign w:val="center"/>
          </w:tcPr>
          <w:p w14:paraId="56FEFA22">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润滑油</w:t>
            </w:r>
            <w:r>
              <w:rPr>
                <w:rFonts w:ascii="Times New Roman" w:hAnsi="Times New Roman" w:eastAsia="宋体" w:cs="Times New Roman"/>
                <w:color w:val="auto"/>
                <w:szCs w:val="21"/>
                <w:u w:val="none" w:color="auto"/>
              </w:rPr>
              <w:t>桶S1</w:t>
            </w:r>
            <w:r>
              <w:rPr>
                <w:rFonts w:hint="eastAsia" w:ascii="Times New Roman" w:hAnsi="Times New Roman" w:eastAsia="宋体" w:cs="Times New Roman"/>
                <w:color w:val="auto"/>
                <w:szCs w:val="21"/>
                <w:u w:val="none" w:color="auto"/>
                <w:lang w:val="en-US" w:eastAsia="zh-CN"/>
              </w:rPr>
              <w:t>3</w:t>
            </w:r>
          </w:p>
        </w:tc>
        <w:tc>
          <w:tcPr>
            <w:tcW w:w="2132" w:type="dxa"/>
            <w:vAlign w:val="center"/>
          </w:tcPr>
          <w:p w14:paraId="4F58281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润滑油</w:t>
            </w:r>
            <w:r>
              <w:rPr>
                <w:rFonts w:ascii="Times New Roman" w:hAnsi="Times New Roman" w:eastAsia="宋体" w:cs="Times New Roman"/>
                <w:color w:val="auto"/>
                <w:szCs w:val="21"/>
                <w:u w:val="none" w:color="auto"/>
              </w:rPr>
              <w:t>及金属</w:t>
            </w:r>
          </w:p>
        </w:tc>
      </w:tr>
      <w:tr w14:paraId="6C92E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793CAAA2">
            <w:pPr>
              <w:snapToGrid w:val="0"/>
              <w:jc w:val="center"/>
              <w:rPr>
                <w:rFonts w:ascii="Times New Roman" w:hAnsi="Times New Roman" w:eastAsia="宋体" w:cs="Times New Roman"/>
                <w:color w:val="auto"/>
                <w:szCs w:val="21"/>
                <w:u w:val="none" w:color="auto"/>
              </w:rPr>
            </w:pPr>
          </w:p>
        </w:tc>
        <w:tc>
          <w:tcPr>
            <w:tcW w:w="3188" w:type="dxa"/>
            <w:vAlign w:val="center"/>
          </w:tcPr>
          <w:p w14:paraId="5DB8EC29">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维修保养</w:t>
            </w:r>
          </w:p>
        </w:tc>
        <w:tc>
          <w:tcPr>
            <w:tcW w:w="2448" w:type="dxa"/>
            <w:vAlign w:val="center"/>
          </w:tcPr>
          <w:p w14:paraId="3F0DC72C">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废润滑油S1</w:t>
            </w:r>
            <w:r>
              <w:rPr>
                <w:rFonts w:hint="eastAsia" w:ascii="Times New Roman" w:hAnsi="Times New Roman" w:eastAsia="宋体" w:cs="Times New Roman"/>
                <w:color w:val="auto"/>
                <w:szCs w:val="21"/>
                <w:u w:val="none" w:color="auto"/>
                <w:lang w:val="en-US" w:eastAsia="zh-CN"/>
              </w:rPr>
              <w:t>4</w:t>
            </w:r>
          </w:p>
        </w:tc>
        <w:tc>
          <w:tcPr>
            <w:tcW w:w="2132" w:type="dxa"/>
            <w:vAlign w:val="center"/>
          </w:tcPr>
          <w:p w14:paraId="7FC8C48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矿物质油</w:t>
            </w:r>
          </w:p>
        </w:tc>
      </w:tr>
      <w:tr w14:paraId="3FB25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0CF003EB">
            <w:pPr>
              <w:snapToGrid w:val="0"/>
              <w:jc w:val="center"/>
              <w:rPr>
                <w:rFonts w:ascii="Times New Roman" w:hAnsi="Times New Roman" w:eastAsia="宋体" w:cs="Times New Roman"/>
                <w:color w:val="auto"/>
                <w:szCs w:val="21"/>
                <w:u w:val="none" w:color="auto"/>
              </w:rPr>
            </w:pPr>
          </w:p>
        </w:tc>
        <w:tc>
          <w:tcPr>
            <w:tcW w:w="3188" w:type="dxa"/>
            <w:vAlign w:val="center"/>
          </w:tcPr>
          <w:p w14:paraId="1E7EE26E">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维修保养</w:t>
            </w:r>
          </w:p>
        </w:tc>
        <w:tc>
          <w:tcPr>
            <w:tcW w:w="2448" w:type="dxa"/>
            <w:vAlign w:val="center"/>
          </w:tcPr>
          <w:p w14:paraId="4AFF31D2">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废含油抹布S1</w:t>
            </w:r>
            <w:r>
              <w:rPr>
                <w:rFonts w:hint="eastAsia" w:ascii="Times New Roman" w:hAnsi="Times New Roman" w:eastAsia="宋体" w:cs="Times New Roman"/>
                <w:color w:val="auto"/>
                <w:szCs w:val="21"/>
                <w:u w:val="none" w:color="auto"/>
                <w:lang w:val="en-US" w:eastAsia="zh-CN"/>
              </w:rPr>
              <w:t>5</w:t>
            </w:r>
          </w:p>
        </w:tc>
        <w:tc>
          <w:tcPr>
            <w:tcW w:w="2132" w:type="dxa"/>
            <w:vAlign w:val="center"/>
          </w:tcPr>
          <w:p w14:paraId="1400528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矿物质油及废布</w:t>
            </w:r>
          </w:p>
        </w:tc>
      </w:tr>
      <w:tr w14:paraId="6ADFC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vMerge w:val="continue"/>
            <w:vAlign w:val="center"/>
          </w:tcPr>
          <w:p w14:paraId="38CC13B6">
            <w:pPr>
              <w:snapToGrid w:val="0"/>
              <w:jc w:val="center"/>
              <w:rPr>
                <w:rFonts w:ascii="Times New Roman" w:hAnsi="Times New Roman" w:eastAsia="宋体" w:cs="Times New Roman"/>
                <w:color w:val="auto"/>
                <w:szCs w:val="21"/>
                <w:u w:val="none" w:color="auto"/>
              </w:rPr>
            </w:pPr>
          </w:p>
        </w:tc>
        <w:tc>
          <w:tcPr>
            <w:tcW w:w="3188" w:type="dxa"/>
            <w:vAlign w:val="center"/>
          </w:tcPr>
          <w:p w14:paraId="0F6C9C8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生活办公</w:t>
            </w:r>
          </w:p>
        </w:tc>
        <w:tc>
          <w:tcPr>
            <w:tcW w:w="2448" w:type="dxa"/>
            <w:vAlign w:val="center"/>
          </w:tcPr>
          <w:p w14:paraId="65C423EF">
            <w:pPr>
              <w:jc w:val="center"/>
              <w:rPr>
                <w:rFonts w:hint="eastAsia" w:ascii="Times New Roman" w:hAnsi="Times New Roman" w:eastAsia="宋体" w:cs="Times New Roman"/>
                <w:color w:val="auto"/>
                <w:szCs w:val="21"/>
                <w:u w:val="none" w:color="auto"/>
                <w:lang w:eastAsia="zh-CN"/>
              </w:rPr>
            </w:pPr>
            <w:r>
              <w:rPr>
                <w:rFonts w:ascii="Times New Roman" w:hAnsi="Times New Roman" w:eastAsia="宋体" w:cs="Times New Roman"/>
                <w:color w:val="auto"/>
                <w:szCs w:val="21"/>
                <w:u w:val="none" w:color="auto"/>
              </w:rPr>
              <w:t>生活垃圾S1</w:t>
            </w:r>
            <w:r>
              <w:rPr>
                <w:rFonts w:hint="eastAsia" w:ascii="Times New Roman" w:hAnsi="Times New Roman" w:eastAsia="宋体" w:cs="Times New Roman"/>
                <w:color w:val="auto"/>
                <w:szCs w:val="21"/>
                <w:u w:val="none" w:color="auto"/>
                <w:lang w:val="en-US" w:eastAsia="zh-CN"/>
              </w:rPr>
              <w:t>6</w:t>
            </w:r>
          </w:p>
        </w:tc>
        <w:tc>
          <w:tcPr>
            <w:tcW w:w="2132" w:type="dxa"/>
            <w:vAlign w:val="center"/>
          </w:tcPr>
          <w:p w14:paraId="4DB063C9">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纸张、果皮等</w:t>
            </w:r>
          </w:p>
        </w:tc>
      </w:tr>
    </w:tbl>
    <w:p w14:paraId="220DD4A8">
      <w:pPr>
        <w:snapToGrid w:val="0"/>
        <w:spacing w:line="360" w:lineRule="auto"/>
        <w:ind w:firstLine="480" w:firstLineChars="200"/>
        <w:jc w:val="left"/>
        <w:rPr>
          <w:rFonts w:ascii="Times New Roman" w:hAnsi="Times New Roman" w:eastAsia="宋体" w:cs="Times New Roman"/>
          <w:color w:val="auto"/>
          <w:sz w:val="24"/>
          <w:u w:val="none" w:color="auto"/>
        </w:rPr>
      </w:pPr>
    </w:p>
    <w:p w14:paraId="0C60728A">
      <w:pPr>
        <w:snapToGrid w:val="0"/>
        <w:spacing w:line="360" w:lineRule="auto"/>
        <w:ind w:firstLine="480" w:firstLineChars="200"/>
        <w:jc w:val="left"/>
        <w:rPr>
          <w:rFonts w:ascii="Times New Roman" w:hAnsi="Times New Roman" w:eastAsia="宋体" w:cs="Times New Roman"/>
          <w:color w:val="auto"/>
          <w:sz w:val="24"/>
          <w:szCs w:val="24"/>
          <w:u w:val="none" w:color="auto"/>
        </w:rPr>
      </w:pPr>
    </w:p>
    <w:p w14:paraId="45E0F762">
      <w:pPr>
        <w:autoSpaceDE w:val="0"/>
        <w:autoSpaceDN w:val="0"/>
        <w:spacing w:line="360" w:lineRule="auto"/>
        <w:ind w:firstLine="480" w:firstLineChars="200"/>
        <w:jc w:val="left"/>
        <w:rPr>
          <w:rFonts w:ascii="宋体" w:hAnsi="宋体" w:eastAsia="宋体" w:cs="Times New Roman"/>
          <w:color w:val="auto"/>
          <w:sz w:val="24"/>
          <w:u w:val="none" w:color="auto"/>
        </w:rPr>
      </w:pPr>
    </w:p>
    <w:p w14:paraId="45E6D99A">
      <w:pPr>
        <w:autoSpaceDE w:val="0"/>
        <w:autoSpaceDN w:val="0"/>
        <w:spacing w:line="360" w:lineRule="auto"/>
        <w:ind w:firstLine="480" w:firstLineChars="200"/>
        <w:jc w:val="left"/>
        <w:rPr>
          <w:rFonts w:ascii="宋体" w:hAnsi="宋体" w:eastAsia="宋体" w:cs="Times New Roman"/>
          <w:color w:val="auto"/>
          <w:sz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3E54E56">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47" w:name="_Toc3728174"/>
      <w:bookmarkStart w:id="148" w:name="_Hlk1205236"/>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.2.</w:t>
      </w:r>
      <w:r>
        <w:rPr>
          <w:rFonts w:hint="eastAsia" w:ascii="Times New Roman" w:hAnsi="Times New Roman" w:eastAsia="宋体" w:cs="Times New Roman"/>
          <w:b/>
          <w:color w:val="auto"/>
          <w:kern w:val="0"/>
          <w:sz w:val="28"/>
          <w:szCs w:val="20"/>
          <w:u w:val="none" w:color="auto"/>
        </w:rPr>
        <w:t xml:space="preserve">3 </w:t>
      </w:r>
      <w:r>
        <w:rPr>
          <w:rFonts w:ascii="Times New Roman" w:hAnsi="宋体" w:eastAsia="宋体" w:cs="Times New Roman"/>
          <w:b/>
          <w:color w:val="auto"/>
          <w:kern w:val="0"/>
          <w:sz w:val="28"/>
          <w:szCs w:val="20"/>
          <w:u w:val="none" w:color="auto"/>
        </w:rPr>
        <w:t>平衡分析</w:t>
      </w:r>
      <w:bookmarkEnd w:id="147"/>
    </w:p>
    <w:p w14:paraId="23C685B0">
      <w:pPr>
        <w:tabs>
          <w:tab w:val="left" w:pos="1288"/>
        </w:tabs>
        <w:autoSpaceDE w:val="0"/>
        <w:autoSpaceDN w:val="0"/>
        <w:adjustRightInd w:val="0"/>
        <w:snapToGrid w:val="0"/>
        <w:spacing w:line="360" w:lineRule="auto"/>
        <w:ind w:firstLine="482" w:firstLineChars="200"/>
        <w:jc w:val="left"/>
        <w:textAlignment w:val="baseline"/>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1</w:t>
      </w:r>
      <w:r>
        <w:rPr>
          <w:rFonts w:ascii="Times New Roman" w:hAnsi="宋体" w:eastAsia="宋体" w:cs="Times New Roman"/>
          <w:b/>
          <w:color w:val="auto"/>
          <w:kern w:val="0"/>
          <w:sz w:val="24"/>
          <w:szCs w:val="20"/>
          <w:u w:val="none" w:color="auto"/>
        </w:rPr>
        <w:t>、物料平衡</w:t>
      </w:r>
    </w:p>
    <w:p w14:paraId="55A303D8">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（1）项目油漆物料平衡</w:t>
      </w:r>
    </w:p>
    <w:p w14:paraId="417B330B">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调漆、喷漆、晾干及喷枪清洗在</w:t>
      </w:r>
      <w:r>
        <w:rPr>
          <w:rFonts w:hint="eastAsia" w:ascii="Times New Roman" w:hAnsi="Times New Roman" w:eastAsia="宋体" w:cs="Times New Roman"/>
          <w:color w:val="auto"/>
          <w:sz w:val="24"/>
          <w:szCs w:val="24"/>
          <w:u w:val="single" w:color="auto"/>
          <w:lang w:eastAsia="zh-CN"/>
        </w:rPr>
        <w:t>涂装车间</w:t>
      </w:r>
      <w:r>
        <w:rPr>
          <w:rFonts w:ascii="Times New Roman" w:hAnsi="Times New Roman" w:eastAsia="宋体" w:cs="Times New Roman"/>
          <w:color w:val="auto"/>
          <w:sz w:val="24"/>
          <w:szCs w:val="24"/>
          <w:u w:val="single" w:color="auto"/>
        </w:rPr>
        <w:t>内进行，为封闭车间。</w:t>
      </w:r>
    </w:p>
    <w:p w14:paraId="77A0FB81">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项目油漆用量为</w:t>
      </w:r>
      <w:r>
        <w:rPr>
          <w:rFonts w:hint="eastAsia" w:ascii="Times New Roman" w:hAnsi="Times New Roman" w:eastAsia="宋体" w:cs="Times New Roman"/>
          <w:color w:val="auto"/>
          <w:sz w:val="24"/>
          <w:szCs w:val="24"/>
          <w:u w:val="single" w:color="auto"/>
          <w:lang w:val="en-US" w:eastAsia="zh-CN"/>
        </w:rPr>
        <w:t>205.585</w:t>
      </w:r>
      <w:r>
        <w:rPr>
          <w:rFonts w:ascii="Times New Roman" w:hAnsi="Times New Roman" w:eastAsia="宋体" w:cs="Times New Roman"/>
          <w:color w:val="auto"/>
          <w:sz w:val="24"/>
          <w:szCs w:val="24"/>
          <w:u w:val="single" w:color="auto"/>
        </w:rPr>
        <w:t>t/a（底漆</w:t>
      </w:r>
      <w:r>
        <w:rPr>
          <w:rFonts w:hint="eastAsia" w:ascii="Times New Roman" w:hAnsi="Times New Roman" w:eastAsia="宋体" w:cs="Times New Roman"/>
          <w:color w:val="auto"/>
          <w:sz w:val="24"/>
          <w:szCs w:val="24"/>
          <w:u w:val="single" w:color="auto"/>
          <w:lang w:val="en-US" w:eastAsia="zh-CN"/>
        </w:rPr>
        <w:t>57.436</w:t>
      </w:r>
      <w:r>
        <w:rPr>
          <w:rFonts w:ascii="Times New Roman" w:hAnsi="Times New Roman" w:eastAsia="宋体" w:cs="Times New Roman"/>
          <w:color w:val="auto"/>
          <w:sz w:val="24"/>
          <w:szCs w:val="24"/>
          <w:u w:val="single" w:color="auto"/>
        </w:rPr>
        <w:t>t/a、中漆</w:t>
      </w:r>
      <w:r>
        <w:rPr>
          <w:rFonts w:hint="eastAsia" w:ascii="Times New Roman" w:hAnsi="Times New Roman" w:eastAsia="宋体" w:cs="Times New Roman"/>
          <w:color w:val="auto"/>
          <w:sz w:val="24"/>
          <w:szCs w:val="24"/>
          <w:u w:val="single" w:color="auto"/>
          <w:lang w:val="en-US" w:eastAsia="zh-CN"/>
        </w:rPr>
        <w:t>122.493t</w:t>
      </w:r>
      <w:r>
        <w:rPr>
          <w:rFonts w:ascii="Times New Roman" w:hAnsi="Times New Roman" w:eastAsia="宋体" w:cs="Times New Roman"/>
          <w:color w:val="auto"/>
          <w:sz w:val="24"/>
          <w:szCs w:val="24"/>
          <w:u w:val="single" w:color="auto"/>
        </w:rPr>
        <w:t>/a、面漆</w:t>
      </w:r>
      <w:r>
        <w:rPr>
          <w:rFonts w:hint="eastAsia" w:ascii="Times New Roman" w:hAnsi="Times New Roman" w:eastAsia="宋体" w:cs="Times New Roman"/>
          <w:color w:val="auto"/>
          <w:sz w:val="24"/>
          <w:szCs w:val="24"/>
          <w:u w:val="single" w:color="auto"/>
          <w:lang w:val="en-US" w:eastAsia="zh-CN"/>
        </w:rPr>
        <w:t>25.656</w:t>
      </w:r>
      <w:r>
        <w:rPr>
          <w:rFonts w:ascii="Times New Roman" w:hAnsi="Times New Roman" w:eastAsia="宋体" w:cs="Times New Roman"/>
          <w:color w:val="auto"/>
          <w:sz w:val="24"/>
          <w:szCs w:val="24"/>
          <w:u w:val="single" w:color="auto"/>
        </w:rPr>
        <w:t>t/a）、固化剂用量为</w:t>
      </w:r>
      <w:r>
        <w:rPr>
          <w:rFonts w:hint="eastAsia" w:ascii="Times New Roman" w:hAnsi="Times New Roman" w:eastAsia="宋体" w:cs="Times New Roman"/>
          <w:color w:val="auto"/>
          <w:sz w:val="24"/>
          <w:szCs w:val="24"/>
          <w:u w:val="single" w:color="auto"/>
          <w:lang w:val="en-US" w:eastAsia="zh-CN"/>
        </w:rPr>
        <w:t>16.383</w:t>
      </w:r>
      <w:r>
        <w:rPr>
          <w:rFonts w:ascii="Times New Roman" w:hAnsi="Times New Roman" w:eastAsia="宋体" w:cs="Times New Roman"/>
          <w:color w:val="auto"/>
          <w:sz w:val="24"/>
          <w:szCs w:val="24"/>
          <w:u w:val="single" w:color="auto"/>
        </w:rPr>
        <w:t>t/a、稀释剂用量为</w:t>
      </w:r>
      <w:r>
        <w:rPr>
          <w:rFonts w:hint="eastAsia" w:ascii="Times New Roman" w:hAnsi="Times New Roman" w:eastAsia="宋体" w:cs="Times New Roman"/>
          <w:color w:val="auto"/>
          <w:sz w:val="24"/>
          <w:szCs w:val="24"/>
          <w:u w:val="single" w:color="auto"/>
          <w:lang w:val="en-US" w:eastAsia="zh-CN"/>
        </w:rPr>
        <w:t>16.468</w:t>
      </w:r>
      <w:r>
        <w:rPr>
          <w:rFonts w:ascii="Times New Roman" w:hAnsi="Times New Roman" w:eastAsia="宋体" w:cs="Times New Roman"/>
          <w:color w:val="auto"/>
          <w:sz w:val="24"/>
          <w:szCs w:val="24"/>
          <w:u w:val="single" w:color="auto"/>
        </w:rPr>
        <w:t>t/a（其中</w:t>
      </w:r>
      <w:r>
        <w:rPr>
          <w:rFonts w:hint="eastAsia" w:ascii="Times New Roman" w:hAnsi="Times New Roman" w:eastAsia="宋体" w:cs="Times New Roman"/>
          <w:color w:val="auto"/>
          <w:sz w:val="24"/>
          <w:szCs w:val="24"/>
          <w:u w:val="single" w:color="auto"/>
          <w:lang w:val="en-US" w:eastAsia="zh-CN"/>
        </w:rPr>
        <w:t>15.808</w:t>
      </w:r>
      <w:r>
        <w:rPr>
          <w:rFonts w:ascii="Times New Roman" w:hAnsi="Times New Roman" w:eastAsia="宋体" w:cs="Times New Roman"/>
          <w:color w:val="auto"/>
          <w:sz w:val="24"/>
          <w:szCs w:val="24"/>
          <w:u w:val="single" w:color="auto"/>
        </w:rPr>
        <w:t>t/a用于喷漆工序，</w:t>
      </w:r>
      <w:r>
        <w:rPr>
          <w:rFonts w:hint="eastAsia" w:ascii="Times New Roman" w:hAnsi="Times New Roman" w:eastAsia="宋体" w:cs="Times New Roman"/>
          <w:color w:val="auto"/>
          <w:sz w:val="24"/>
          <w:szCs w:val="24"/>
          <w:u w:val="single" w:color="auto"/>
        </w:rPr>
        <w:t>0.66</w:t>
      </w:r>
      <w:r>
        <w:rPr>
          <w:rFonts w:ascii="Times New Roman" w:hAnsi="Times New Roman" w:eastAsia="宋体" w:cs="Times New Roman"/>
          <w:color w:val="auto"/>
          <w:sz w:val="24"/>
          <w:szCs w:val="24"/>
          <w:u w:val="single" w:color="auto"/>
        </w:rPr>
        <w:t>t/a用于清洗喷枪）。本项目使用高压无气喷涂机，附着率较高，该项目取漆中固组分</w:t>
      </w:r>
      <w:r>
        <w:rPr>
          <w:rFonts w:hint="eastAsia" w:ascii="Times New Roman" w:hAnsi="Times New Roman" w:eastAsia="宋体" w:cs="Times New Roman"/>
          <w:color w:val="auto"/>
          <w:sz w:val="24"/>
          <w:szCs w:val="24"/>
          <w:u w:val="single" w:color="auto"/>
          <w:lang w:val="en-US" w:eastAsia="zh-CN"/>
        </w:rPr>
        <w:t>60</w:t>
      </w:r>
      <w:r>
        <w:rPr>
          <w:rFonts w:ascii="Times New Roman" w:hAnsi="Times New Roman" w:eastAsia="宋体" w:cs="Times New Roman"/>
          <w:color w:val="auto"/>
          <w:sz w:val="24"/>
          <w:szCs w:val="24"/>
          <w:u w:val="single" w:color="auto"/>
        </w:rPr>
        <w:t>%附着于工件上，漆雾产生量以固体分的</w:t>
      </w:r>
      <w:r>
        <w:rPr>
          <w:rFonts w:hint="eastAsia" w:ascii="Times New Roman" w:hAnsi="Times New Roman" w:eastAsia="宋体" w:cs="Times New Roman"/>
          <w:color w:val="auto"/>
          <w:sz w:val="24"/>
          <w:szCs w:val="24"/>
          <w:u w:val="single" w:color="auto"/>
          <w:lang w:val="en-US" w:eastAsia="zh-CN"/>
        </w:rPr>
        <w:t>40</w:t>
      </w:r>
      <w:r>
        <w:rPr>
          <w:rFonts w:ascii="Times New Roman" w:hAnsi="Times New Roman" w:eastAsia="宋体" w:cs="Times New Roman"/>
          <w:color w:val="auto"/>
          <w:sz w:val="24"/>
          <w:szCs w:val="24"/>
          <w:u w:val="single" w:color="auto"/>
        </w:rPr>
        <w:t>%计，有机成分几乎全部挥发，油漆中含有少量有机成分，可忽略不计。</w:t>
      </w:r>
    </w:p>
    <w:p w14:paraId="44196F2E">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lang w:val="en-US" w:eastAsia="zh-CN"/>
        </w:rPr>
        <w:t>涂装车间</w:t>
      </w:r>
      <w:r>
        <w:rPr>
          <w:rFonts w:ascii="Times New Roman" w:hAnsi="Times New Roman" w:eastAsia="宋体" w:cs="Times New Roman"/>
          <w:color w:val="auto"/>
          <w:sz w:val="24"/>
          <w:szCs w:val="24"/>
          <w:u w:val="single" w:color="auto"/>
        </w:rPr>
        <w:t>封闭，</w:t>
      </w:r>
      <w:r>
        <w:rPr>
          <w:rFonts w:hint="eastAsia" w:ascii="Times New Roman" w:hAnsi="Times New Roman" w:eastAsia="宋体" w:cs="Times New Roman"/>
          <w:color w:val="auto"/>
          <w:sz w:val="24"/>
          <w:szCs w:val="24"/>
          <w:u w:val="single" w:color="auto"/>
          <w:lang w:eastAsia="zh-CN"/>
        </w:rPr>
        <w:t>涂装车间</w:t>
      </w:r>
      <w:r>
        <w:rPr>
          <w:rFonts w:ascii="Times New Roman" w:hAnsi="Times New Roman" w:eastAsia="宋体" w:cs="Times New Roman"/>
          <w:color w:val="auto"/>
          <w:sz w:val="24"/>
          <w:szCs w:val="24"/>
          <w:u w:val="single" w:color="auto"/>
        </w:rPr>
        <w:t>采用抽风口收集废气，未收集的有机废气以无组织形式挥发。</w:t>
      </w:r>
      <w:r>
        <w:rPr>
          <w:rFonts w:hint="eastAsia" w:ascii="Times New Roman" w:hAnsi="Times New Roman" w:eastAsia="宋体" w:cs="Times New Roman"/>
          <w:color w:val="auto"/>
          <w:sz w:val="24"/>
          <w:szCs w:val="24"/>
          <w:u w:val="single" w:color="auto"/>
          <w:lang w:eastAsia="zh-CN"/>
        </w:rPr>
        <w:t>涂装车间</w:t>
      </w:r>
      <w:r>
        <w:rPr>
          <w:rFonts w:ascii="Times New Roman" w:hAnsi="Times New Roman" w:eastAsia="宋体" w:cs="Times New Roman"/>
          <w:color w:val="auto"/>
          <w:sz w:val="24"/>
          <w:szCs w:val="24"/>
          <w:u w:val="single" w:color="auto"/>
        </w:rPr>
        <w:t>产生的喷漆和晾干废气经收集后通过</w:t>
      </w:r>
      <w:r>
        <w:rPr>
          <w:rFonts w:hint="eastAsia" w:ascii="Times New Roman" w:hAnsi="Times New Roman" w:eastAsia="宋体" w:cs="Times New Roman"/>
          <w:color w:val="auto"/>
          <w:sz w:val="24"/>
          <w:szCs w:val="24"/>
          <w:u w:val="single" w:color="auto"/>
        </w:rPr>
        <w:t>干式过滤</w:t>
      </w:r>
      <w:r>
        <w:rPr>
          <w:rFonts w:ascii="Times New Roman" w:hAnsi="Times New Roman" w:eastAsia="宋体" w:cs="Times New Roman"/>
          <w:color w:val="auto"/>
          <w:sz w:val="24"/>
          <w:szCs w:val="24"/>
          <w:u w:val="single" w:color="auto"/>
        </w:rPr>
        <w:t>+活性炭吸附+解吸脱附+催化燃烧处理装置处理后由1根</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高排气筒</w:t>
      </w:r>
      <w:r>
        <w:rPr>
          <w:rFonts w:hint="eastAsia" w:ascii="Times New Roman" w:hAnsi="Times New Roman" w:eastAsia="宋体" w:cs="Times New Roman"/>
          <w:color w:val="auto"/>
          <w:sz w:val="24"/>
          <w:szCs w:val="24"/>
          <w:u w:val="single" w:color="auto"/>
        </w:rPr>
        <w:t>（DA002）</w:t>
      </w:r>
      <w:r>
        <w:rPr>
          <w:rFonts w:ascii="Times New Roman" w:hAnsi="Times New Roman" w:eastAsia="宋体" w:cs="Times New Roman"/>
          <w:color w:val="auto"/>
          <w:sz w:val="24"/>
          <w:szCs w:val="24"/>
          <w:u w:val="single" w:color="auto"/>
        </w:rPr>
        <w:t>排放</w:t>
      </w:r>
      <w:r>
        <w:rPr>
          <w:rFonts w:hint="eastAsia" w:ascii="Times New Roman" w:hAnsi="Times New Roman" w:eastAsia="宋体" w:cs="Times New Roman"/>
          <w:color w:val="auto"/>
          <w:sz w:val="24"/>
          <w:szCs w:val="24"/>
          <w:u w:val="single" w:color="auto"/>
        </w:rPr>
        <w:t>油漆平衡见表2.2-2和图2.2-6</w:t>
      </w:r>
    </w:p>
    <w:p w14:paraId="56FC087A">
      <w:pPr>
        <w:snapToGrid w:val="0"/>
        <w:spacing w:before="156" w:beforeLines="50"/>
        <w:jc w:val="center"/>
        <w:rPr>
          <w:rFonts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表2.2-2 油漆物料平衡表</w:t>
      </w:r>
    </w:p>
    <w:tbl>
      <w:tblPr>
        <w:tblStyle w:val="37"/>
        <w:tblW w:w="851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68"/>
        <w:gridCol w:w="1556"/>
        <w:gridCol w:w="1686"/>
        <w:gridCol w:w="3128"/>
        <w:gridCol w:w="1481"/>
      </w:tblGrid>
      <w:tr w14:paraId="2B85BD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5D91376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556" w:type="dxa"/>
            <w:tcBorders>
              <w:tl2br w:val="nil"/>
              <w:tr2bl w:val="nil"/>
            </w:tcBorders>
            <w:vAlign w:val="center"/>
          </w:tcPr>
          <w:p w14:paraId="5E0D653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输入原料</w:t>
            </w:r>
          </w:p>
        </w:tc>
        <w:tc>
          <w:tcPr>
            <w:tcW w:w="1686" w:type="dxa"/>
            <w:tcBorders>
              <w:tl2br w:val="nil"/>
              <w:tr2bl w:val="nil"/>
            </w:tcBorders>
            <w:vAlign w:val="center"/>
          </w:tcPr>
          <w:p w14:paraId="6F279DE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输入量(t/a)</w:t>
            </w:r>
          </w:p>
        </w:tc>
        <w:tc>
          <w:tcPr>
            <w:tcW w:w="3128" w:type="dxa"/>
            <w:tcBorders>
              <w:tl2br w:val="nil"/>
              <w:tr2bl w:val="nil"/>
            </w:tcBorders>
            <w:vAlign w:val="center"/>
          </w:tcPr>
          <w:p w14:paraId="2DE5615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输出项目</w:t>
            </w:r>
          </w:p>
        </w:tc>
        <w:tc>
          <w:tcPr>
            <w:tcW w:w="1481" w:type="dxa"/>
            <w:tcBorders>
              <w:tl2br w:val="nil"/>
              <w:tr2bl w:val="nil"/>
            </w:tcBorders>
            <w:vAlign w:val="center"/>
          </w:tcPr>
          <w:p w14:paraId="3405205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输出量（t/a）</w:t>
            </w:r>
          </w:p>
        </w:tc>
      </w:tr>
      <w:tr w14:paraId="6765C5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10EAE3A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556" w:type="dxa"/>
            <w:tcBorders>
              <w:tl2br w:val="nil"/>
              <w:tr2bl w:val="nil"/>
            </w:tcBorders>
            <w:vAlign w:val="center"/>
          </w:tcPr>
          <w:p w14:paraId="3CAA9340">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油漆</w:t>
            </w:r>
          </w:p>
        </w:tc>
        <w:tc>
          <w:tcPr>
            <w:tcW w:w="1686" w:type="dxa"/>
            <w:tcBorders>
              <w:tl2br w:val="nil"/>
              <w:tr2bl w:val="nil"/>
            </w:tcBorders>
            <w:vAlign w:val="center"/>
          </w:tcPr>
          <w:p w14:paraId="45CC8D80">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3128" w:type="dxa"/>
            <w:tcBorders>
              <w:tl2br w:val="nil"/>
              <w:tr2bl w:val="nil"/>
            </w:tcBorders>
            <w:vAlign w:val="center"/>
          </w:tcPr>
          <w:p w14:paraId="28F6B21C">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工件身</w:t>
            </w:r>
          </w:p>
        </w:tc>
        <w:tc>
          <w:tcPr>
            <w:tcW w:w="1481" w:type="dxa"/>
            <w:tcBorders>
              <w:tl2br w:val="nil"/>
              <w:tr2bl w:val="nil"/>
            </w:tcBorders>
            <w:vAlign w:val="center"/>
          </w:tcPr>
          <w:p w14:paraId="461F868B">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6FFC38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6994FE12">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w:t>
            </w:r>
          </w:p>
        </w:tc>
        <w:tc>
          <w:tcPr>
            <w:tcW w:w="1556" w:type="dxa"/>
            <w:tcBorders>
              <w:tl2br w:val="nil"/>
              <w:tr2bl w:val="nil"/>
            </w:tcBorders>
            <w:vAlign w:val="center"/>
          </w:tcPr>
          <w:p w14:paraId="1983CC5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稀释剂</w:t>
            </w:r>
          </w:p>
        </w:tc>
        <w:tc>
          <w:tcPr>
            <w:tcW w:w="1686" w:type="dxa"/>
            <w:tcBorders>
              <w:tl2br w:val="nil"/>
              <w:tr2bl w:val="nil"/>
            </w:tcBorders>
            <w:vAlign w:val="center"/>
          </w:tcPr>
          <w:p w14:paraId="7A5630D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3128" w:type="dxa"/>
            <w:tcBorders>
              <w:tl2br w:val="nil"/>
              <w:tr2bl w:val="nil"/>
            </w:tcBorders>
            <w:vAlign w:val="center"/>
          </w:tcPr>
          <w:p w14:paraId="30A7013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调漆喷漆晾干可挥发有机物有组织废气</w:t>
            </w:r>
          </w:p>
        </w:tc>
        <w:tc>
          <w:tcPr>
            <w:tcW w:w="1481" w:type="dxa"/>
            <w:tcBorders>
              <w:tl2br w:val="nil"/>
              <w:tr2bl w:val="nil"/>
            </w:tcBorders>
            <w:vAlign w:val="center"/>
          </w:tcPr>
          <w:p w14:paraId="6B986946">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2869FB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006D0328">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w:t>
            </w:r>
          </w:p>
        </w:tc>
        <w:tc>
          <w:tcPr>
            <w:tcW w:w="1556" w:type="dxa"/>
            <w:tcBorders>
              <w:tl2br w:val="nil"/>
              <w:tr2bl w:val="nil"/>
            </w:tcBorders>
            <w:vAlign w:val="center"/>
          </w:tcPr>
          <w:p w14:paraId="0554397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固化剂</w:t>
            </w:r>
          </w:p>
        </w:tc>
        <w:tc>
          <w:tcPr>
            <w:tcW w:w="1686" w:type="dxa"/>
            <w:tcBorders>
              <w:tl2br w:val="nil"/>
              <w:tr2bl w:val="nil"/>
            </w:tcBorders>
            <w:vAlign w:val="center"/>
          </w:tcPr>
          <w:p w14:paraId="0DEB15D9">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3128" w:type="dxa"/>
            <w:tcBorders>
              <w:tl2br w:val="nil"/>
              <w:tr2bl w:val="nil"/>
            </w:tcBorders>
            <w:vAlign w:val="center"/>
          </w:tcPr>
          <w:p w14:paraId="74092BBB">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调漆喷漆晾干清洗可挥发有机物无组织废气</w:t>
            </w:r>
          </w:p>
        </w:tc>
        <w:tc>
          <w:tcPr>
            <w:tcW w:w="1481" w:type="dxa"/>
            <w:tcBorders>
              <w:tl2br w:val="nil"/>
              <w:tr2bl w:val="nil"/>
            </w:tcBorders>
            <w:vAlign w:val="center"/>
          </w:tcPr>
          <w:p w14:paraId="39F4D95E">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64D1B1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382EA60B">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4</w:t>
            </w:r>
          </w:p>
        </w:tc>
        <w:tc>
          <w:tcPr>
            <w:tcW w:w="1556" w:type="dxa"/>
            <w:tcBorders>
              <w:tl2br w:val="nil"/>
              <w:tr2bl w:val="nil"/>
            </w:tcBorders>
            <w:vAlign w:val="center"/>
          </w:tcPr>
          <w:p w14:paraId="2017C3B1">
            <w:pPr>
              <w:jc w:val="center"/>
              <w:rPr>
                <w:rFonts w:ascii="Times New Roman" w:hAnsi="Times New Roman" w:eastAsia="宋体" w:cs="Times New Roman"/>
                <w:color w:val="auto"/>
                <w:szCs w:val="21"/>
                <w:u w:val="single" w:color="auto"/>
              </w:rPr>
            </w:pPr>
          </w:p>
        </w:tc>
        <w:tc>
          <w:tcPr>
            <w:tcW w:w="1686" w:type="dxa"/>
            <w:tcBorders>
              <w:tl2br w:val="nil"/>
              <w:tr2bl w:val="nil"/>
            </w:tcBorders>
            <w:vAlign w:val="center"/>
          </w:tcPr>
          <w:p w14:paraId="71F5A47F">
            <w:pPr>
              <w:jc w:val="center"/>
              <w:rPr>
                <w:rFonts w:ascii="Times New Roman" w:hAnsi="Times New Roman" w:eastAsia="宋体" w:cs="Times New Roman"/>
                <w:color w:val="auto"/>
                <w:szCs w:val="21"/>
                <w:u w:val="single" w:color="auto"/>
              </w:rPr>
            </w:pPr>
          </w:p>
        </w:tc>
        <w:tc>
          <w:tcPr>
            <w:tcW w:w="3128" w:type="dxa"/>
            <w:tcBorders>
              <w:tl2br w:val="nil"/>
              <w:tr2bl w:val="nil"/>
            </w:tcBorders>
            <w:vAlign w:val="center"/>
          </w:tcPr>
          <w:p w14:paraId="268027E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分解废气量</w:t>
            </w:r>
          </w:p>
        </w:tc>
        <w:tc>
          <w:tcPr>
            <w:tcW w:w="1481" w:type="dxa"/>
            <w:tcBorders>
              <w:tl2br w:val="nil"/>
              <w:tr2bl w:val="nil"/>
            </w:tcBorders>
            <w:vAlign w:val="center"/>
          </w:tcPr>
          <w:p w14:paraId="12B208CC">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52F15D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5EFC728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w:t>
            </w:r>
          </w:p>
        </w:tc>
        <w:tc>
          <w:tcPr>
            <w:tcW w:w="1556" w:type="dxa"/>
            <w:tcBorders>
              <w:tl2br w:val="nil"/>
              <w:tr2bl w:val="nil"/>
            </w:tcBorders>
            <w:vAlign w:val="center"/>
          </w:tcPr>
          <w:p w14:paraId="39804B90">
            <w:pPr>
              <w:jc w:val="center"/>
              <w:rPr>
                <w:rFonts w:ascii="Times New Roman" w:hAnsi="Times New Roman" w:eastAsia="宋体" w:cs="Times New Roman"/>
                <w:color w:val="auto"/>
                <w:szCs w:val="21"/>
                <w:u w:val="single" w:color="auto"/>
              </w:rPr>
            </w:pPr>
          </w:p>
        </w:tc>
        <w:tc>
          <w:tcPr>
            <w:tcW w:w="1686" w:type="dxa"/>
            <w:tcBorders>
              <w:tl2br w:val="nil"/>
              <w:tr2bl w:val="nil"/>
            </w:tcBorders>
            <w:vAlign w:val="center"/>
          </w:tcPr>
          <w:p w14:paraId="52CE9050">
            <w:pPr>
              <w:jc w:val="center"/>
              <w:rPr>
                <w:rFonts w:ascii="Times New Roman" w:hAnsi="Times New Roman" w:eastAsia="宋体" w:cs="Times New Roman"/>
                <w:color w:val="auto"/>
                <w:szCs w:val="21"/>
                <w:u w:val="single" w:color="auto"/>
              </w:rPr>
            </w:pPr>
          </w:p>
        </w:tc>
        <w:tc>
          <w:tcPr>
            <w:tcW w:w="3128" w:type="dxa"/>
            <w:tcBorders>
              <w:tl2br w:val="nil"/>
              <w:tr2bl w:val="nil"/>
            </w:tcBorders>
            <w:vAlign w:val="center"/>
          </w:tcPr>
          <w:p w14:paraId="0CF5940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进入过滤棉</w:t>
            </w:r>
          </w:p>
        </w:tc>
        <w:tc>
          <w:tcPr>
            <w:tcW w:w="1481" w:type="dxa"/>
            <w:tcBorders>
              <w:tl2br w:val="nil"/>
              <w:tr2bl w:val="nil"/>
            </w:tcBorders>
            <w:vAlign w:val="center"/>
          </w:tcPr>
          <w:p w14:paraId="10DA7E05">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727426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3D708BD5">
            <w:pPr>
              <w:keepNext w:val="0"/>
              <w:keepLines w:val="0"/>
              <w:widowControl/>
              <w:suppressLineNumbers w:val="0"/>
              <w:jc w:val="center"/>
              <w:textAlignment w:val="center"/>
              <w:rPr>
                <w:rFonts w:ascii="Times New Roman" w:hAnsi="Times New Roman" w:eastAsia="宋体" w:cs="Times New Roman"/>
                <w:color w:val="auto"/>
                <w:kern w:val="0"/>
                <w:szCs w:val="21"/>
                <w:u w:val="single" w:color="auto"/>
                <w:lang w:bidi="ar"/>
              </w:rPr>
            </w:pPr>
            <w:r>
              <w:rPr>
                <w:rFonts w:hint="default" w:ascii="Times New Roman" w:hAnsi="Times New Roman" w:eastAsia="宋体" w:cs="Times New Roman"/>
                <w:i w:val="0"/>
                <w:iCs w:val="0"/>
                <w:color w:val="auto"/>
                <w:kern w:val="0"/>
                <w:sz w:val="21"/>
                <w:szCs w:val="21"/>
                <w:u w:val="single" w:color="auto"/>
                <w:lang w:val="en-US" w:eastAsia="zh-CN" w:bidi="ar"/>
              </w:rPr>
              <w:t>6</w:t>
            </w:r>
          </w:p>
        </w:tc>
        <w:tc>
          <w:tcPr>
            <w:tcW w:w="1556" w:type="dxa"/>
            <w:tcBorders>
              <w:tl2br w:val="nil"/>
              <w:tr2bl w:val="nil"/>
            </w:tcBorders>
            <w:vAlign w:val="center"/>
          </w:tcPr>
          <w:p w14:paraId="0A858BCA">
            <w:pPr>
              <w:jc w:val="center"/>
              <w:rPr>
                <w:rFonts w:ascii="Times New Roman" w:hAnsi="Times New Roman" w:eastAsia="宋体" w:cs="Times New Roman"/>
                <w:color w:val="auto"/>
                <w:szCs w:val="21"/>
                <w:u w:val="single" w:color="auto"/>
              </w:rPr>
            </w:pPr>
          </w:p>
        </w:tc>
        <w:tc>
          <w:tcPr>
            <w:tcW w:w="1686" w:type="dxa"/>
            <w:tcBorders>
              <w:tl2br w:val="nil"/>
              <w:tr2bl w:val="nil"/>
            </w:tcBorders>
            <w:vAlign w:val="center"/>
          </w:tcPr>
          <w:p w14:paraId="2B0230A7">
            <w:pPr>
              <w:jc w:val="center"/>
              <w:rPr>
                <w:rFonts w:ascii="Times New Roman" w:hAnsi="Times New Roman" w:eastAsia="宋体" w:cs="Times New Roman"/>
                <w:color w:val="auto"/>
                <w:szCs w:val="21"/>
                <w:u w:val="single" w:color="auto"/>
              </w:rPr>
            </w:pPr>
          </w:p>
        </w:tc>
        <w:tc>
          <w:tcPr>
            <w:tcW w:w="3128" w:type="dxa"/>
            <w:tcBorders>
              <w:tl2br w:val="nil"/>
              <w:tr2bl w:val="nil"/>
            </w:tcBorders>
            <w:vAlign w:val="center"/>
          </w:tcPr>
          <w:p w14:paraId="4835F588">
            <w:pPr>
              <w:keepNext w:val="0"/>
              <w:keepLines w:val="0"/>
              <w:widowControl/>
              <w:suppressLineNumbers w:val="0"/>
              <w:jc w:val="center"/>
              <w:textAlignment w:val="center"/>
              <w:rPr>
                <w:rFonts w:ascii="Times New Roman" w:hAnsi="Times New Roman" w:eastAsia="宋体" w:cs="Times New Roman"/>
                <w:color w:val="auto"/>
                <w:kern w:val="0"/>
                <w:szCs w:val="21"/>
                <w:u w:val="single" w:color="auto"/>
                <w:lang w:bidi="ar"/>
              </w:rPr>
            </w:pPr>
            <w:r>
              <w:rPr>
                <w:rFonts w:hint="eastAsia" w:ascii="宋体" w:hAnsi="宋体" w:eastAsia="宋体" w:cs="宋体"/>
                <w:i w:val="0"/>
                <w:iCs w:val="0"/>
                <w:color w:val="auto"/>
                <w:kern w:val="0"/>
                <w:sz w:val="21"/>
                <w:szCs w:val="21"/>
                <w:u w:val="single" w:color="auto"/>
                <w:lang w:val="en-US" w:eastAsia="zh-CN" w:bidi="ar"/>
              </w:rPr>
              <w:t>漆渣</w:t>
            </w:r>
          </w:p>
        </w:tc>
        <w:tc>
          <w:tcPr>
            <w:tcW w:w="1481" w:type="dxa"/>
            <w:tcBorders>
              <w:tl2br w:val="nil"/>
              <w:tr2bl w:val="nil"/>
            </w:tcBorders>
            <w:vAlign w:val="center"/>
          </w:tcPr>
          <w:p w14:paraId="67C2D1F3">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bidi="ar"/>
              </w:rPr>
            </w:pPr>
          </w:p>
        </w:tc>
      </w:tr>
      <w:tr w14:paraId="7FD9E9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68" w:type="dxa"/>
            <w:tcBorders>
              <w:tl2br w:val="nil"/>
              <w:tr2bl w:val="nil"/>
            </w:tcBorders>
            <w:vAlign w:val="center"/>
          </w:tcPr>
          <w:p w14:paraId="4676591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7</w:t>
            </w:r>
          </w:p>
        </w:tc>
        <w:tc>
          <w:tcPr>
            <w:tcW w:w="1556" w:type="dxa"/>
            <w:tcBorders>
              <w:tl2br w:val="nil"/>
              <w:tr2bl w:val="nil"/>
            </w:tcBorders>
            <w:vAlign w:val="center"/>
          </w:tcPr>
          <w:p w14:paraId="53719399">
            <w:pPr>
              <w:jc w:val="center"/>
              <w:rPr>
                <w:rFonts w:ascii="Times New Roman" w:hAnsi="Times New Roman" w:eastAsia="宋体" w:cs="Times New Roman"/>
                <w:color w:val="auto"/>
                <w:szCs w:val="21"/>
                <w:u w:val="single" w:color="auto"/>
              </w:rPr>
            </w:pPr>
          </w:p>
        </w:tc>
        <w:tc>
          <w:tcPr>
            <w:tcW w:w="1686" w:type="dxa"/>
            <w:tcBorders>
              <w:tl2br w:val="nil"/>
              <w:tr2bl w:val="nil"/>
            </w:tcBorders>
            <w:vAlign w:val="center"/>
          </w:tcPr>
          <w:p w14:paraId="13ECB8EF">
            <w:pPr>
              <w:jc w:val="center"/>
              <w:rPr>
                <w:rFonts w:ascii="Times New Roman" w:hAnsi="Times New Roman" w:eastAsia="宋体" w:cs="Times New Roman"/>
                <w:color w:val="auto"/>
                <w:szCs w:val="21"/>
                <w:u w:val="single" w:color="auto"/>
              </w:rPr>
            </w:pPr>
          </w:p>
        </w:tc>
        <w:tc>
          <w:tcPr>
            <w:tcW w:w="3128" w:type="dxa"/>
            <w:tcBorders>
              <w:tl2br w:val="nil"/>
              <w:tr2bl w:val="nil"/>
            </w:tcBorders>
            <w:vAlign w:val="center"/>
          </w:tcPr>
          <w:p w14:paraId="3AB02D86">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漆雾颗粒物有组织废气</w:t>
            </w:r>
          </w:p>
        </w:tc>
        <w:tc>
          <w:tcPr>
            <w:tcW w:w="1481" w:type="dxa"/>
            <w:tcBorders>
              <w:tl2br w:val="nil"/>
              <w:tr2bl w:val="nil"/>
            </w:tcBorders>
            <w:vAlign w:val="center"/>
          </w:tcPr>
          <w:p w14:paraId="519C1FB4">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7521DC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2CF6DDBC">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8</w:t>
            </w:r>
          </w:p>
        </w:tc>
        <w:tc>
          <w:tcPr>
            <w:tcW w:w="1556" w:type="dxa"/>
            <w:tcBorders>
              <w:tl2br w:val="nil"/>
              <w:tr2bl w:val="nil"/>
            </w:tcBorders>
            <w:vAlign w:val="center"/>
          </w:tcPr>
          <w:p w14:paraId="5994C235">
            <w:pPr>
              <w:jc w:val="center"/>
              <w:rPr>
                <w:rFonts w:ascii="Times New Roman" w:hAnsi="Times New Roman" w:eastAsia="宋体" w:cs="Times New Roman"/>
                <w:color w:val="auto"/>
                <w:szCs w:val="21"/>
                <w:u w:val="single" w:color="auto"/>
              </w:rPr>
            </w:pPr>
          </w:p>
        </w:tc>
        <w:tc>
          <w:tcPr>
            <w:tcW w:w="1686" w:type="dxa"/>
            <w:tcBorders>
              <w:tl2br w:val="nil"/>
              <w:tr2bl w:val="nil"/>
            </w:tcBorders>
            <w:vAlign w:val="center"/>
          </w:tcPr>
          <w:p w14:paraId="06848B53">
            <w:pPr>
              <w:jc w:val="center"/>
              <w:rPr>
                <w:rFonts w:ascii="Times New Roman" w:hAnsi="Times New Roman" w:eastAsia="宋体" w:cs="Times New Roman"/>
                <w:color w:val="auto"/>
                <w:szCs w:val="21"/>
                <w:u w:val="single" w:color="auto"/>
              </w:rPr>
            </w:pPr>
          </w:p>
        </w:tc>
        <w:tc>
          <w:tcPr>
            <w:tcW w:w="3128" w:type="dxa"/>
            <w:tcBorders>
              <w:tl2br w:val="nil"/>
              <w:tr2bl w:val="nil"/>
            </w:tcBorders>
            <w:vAlign w:val="center"/>
          </w:tcPr>
          <w:p w14:paraId="26225FB0">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漆雾颗粒物无组织废气</w:t>
            </w:r>
          </w:p>
        </w:tc>
        <w:tc>
          <w:tcPr>
            <w:tcW w:w="1481" w:type="dxa"/>
            <w:tcBorders>
              <w:tl2br w:val="nil"/>
              <w:tr2bl w:val="nil"/>
            </w:tcBorders>
            <w:vAlign w:val="center"/>
          </w:tcPr>
          <w:p w14:paraId="4068204E">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4C9526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jc w:val="center"/>
        </w:trPr>
        <w:tc>
          <w:tcPr>
            <w:tcW w:w="668" w:type="dxa"/>
            <w:tcBorders>
              <w:tl2br w:val="nil"/>
              <w:tr2bl w:val="nil"/>
            </w:tcBorders>
            <w:vAlign w:val="center"/>
          </w:tcPr>
          <w:p w14:paraId="003EB387">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9</w:t>
            </w:r>
          </w:p>
        </w:tc>
        <w:tc>
          <w:tcPr>
            <w:tcW w:w="1556" w:type="dxa"/>
            <w:tcBorders>
              <w:tl2br w:val="nil"/>
              <w:tr2bl w:val="nil"/>
            </w:tcBorders>
            <w:vAlign w:val="center"/>
          </w:tcPr>
          <w:p w14:paraId="5262F62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合计</w:t>
            </w:r>
          </w:p>
        </w:tc>
        <w:tc>
          <w:tcPr>
            <w:tcW w:w="1686" w:type="dxa"/>
            <w:tcBorders>
              <w:tl2br w:val="nil"/>
              <w:tr2bl w:val="nil"/>
            </w:tcBorders>
            <w:vAlign w:val="center"/>
          </w:tcPr>
          <w:p w14:paraId="37ED6C2E">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3128" w:type="dxa"/>
            <w:tcBorders>
              <w:tl2br w:val="nil"/>
              <w:tr2bl w:val="nil"/>
            </w:tcBorders>
            <w:vAlign w:val="center"/>
          </w:tcPr>
          <w:p w14:paraId="3C9808CB">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宋体" w:hAnsi="宋体" w:eastAsia="宋体" w:cs="宋体"/>
                <w:i w:val="0"/>
                <w:iCs w:val="0"/>
                <w:color w:val="auto"/>
                <w:kern w:val="0"/>
                <w:sz w:val="21"/>
                <w:szCs w:val="21"/>
                <w:u w:val="single" w:color="auto"/>
                <w:lang w:val="en-US" w:eastAsia="zh-CN" w:bidi="ar"/>
              </w:rPr>
              <w:t>合计</w:t>
            </w:r>
          </w:p>
        </w:tc>
        <w:tc>
          <w:tcPr>
            <w:tcW w:w="1481" w:type="dxa"/>
            <w:tcBorders>
              <w:tl2br w:val="nil"/>
              <w:tr2bl w:val="nil"/>
            </w:tcBorders>
            <w:vAlign w:val="center"/>
          </w:tcPr>
          <w:p w14:paraId="28961555">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bl>
    <w:p w14:paraId="26D3765B">
      <w:pPr>
        <w:snapToGrid w:val="0"/>
        <w:spacing w:line="360" w:lineRule="auto"/>
        <w:rPr>
          <w:rFonts w:ascii="Times New Roman" w:hAnsi="Times New Roman" w:eastAsia="宋体" w:cs="Times New Roman"/>
          <w:color w:val="auto"/>
          <w:sz w:val="24"/>
          <w:szCs w:val="24"/>
          <w:u w:val="single" w:color="auto"/>
        </w:rPr>
      </w:pPr>
    </w:p>
    <w:p w14:paraId="3A8CC4AD">
      <w:pPr>
        <w:snapToGrid w:val="0"/>
        <w:spacing w:line="360" w:lineRule="auto"/>
        <w:rPr>
          <w:rFonts w:ascii="Times New Roman" w:hAnsi="Times New Roman" w:eastAsia="宋体" w:cs="Times New Roman"/>
          <w:color w:val="auto"/>
          <w:sz w:val="24"/>
          <w:szCs w:val="24"/>
          <w:u w:val="single" w:color="auto"/>
        </w:rPr>
      </w:pPr>
    </w:p>
    <w:p w14:paraId="60E8F1BF">
      <w:pPr>
        <w:snapToGrid w:val="0"/>
        <w:spacing w:line="360" w:lineRule="auto"/>
        <w:rPr>
          <w:rFonts w:ascii="Times New Roman" w:hAnsi="Times New Roman" w:eastAsia="宋体" w:cs="Times New Roman"/>
          <w:color w:val="auto"/>
          <w:sz w:val="24"/>
          <w:szCs w:val="24"/>
          <w:u w:val="singl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54AC178">
      <w:pPr>
        <w:autoSpaceDE w:val="0"/>
        <w:autoSpaceDN w:val="0"/>
        <w:spacing w:line="360" w:lineRule="auto"/>
        <w:jc w:val="center"/>
        <w:rPr>
          <w:rFonts w:ascii="Times New Roman" w:hAnsi="Times New Roman" w:eastAsia="宋体" w:cs="Times New Roman"/>
          <w:b/>
          <w:color w:val="auto"/>
          <w:sz w:val="24"/>
          <w:szCs w:val="24"/>
          <w:u w:val="single" w:color="auto"/>
        </w:rPr>
      </w:pPr>
      <w:r>
        <w:rPr>
          <w:rFonts w:hint="eastAsia" w:ascii="Times New Roman" w:hAnsi="Times New Roman" w:eastAsia="宋体" w:cs="Times New Roman"/>
          <w:b/>
          <w:color w:val="auto"/>
          <w:sz w:val="24"/>
          <w:szCs w:val="24"/>
          <w:u w:val="single" w:color="auto"/>
        </w:rPr>
        <w:t>图2.2-6 油漆的物料平衡图（t/a）</w:t>
      </w:r>
    </w:p>
    <w:p w14:paraId="160634C3">
      <w:pPr>
        <w:snapToGrid w:val="0"/>
        <w:spacing w:line="360" w:lineRule="auto"/>
        <w:rPr>
          <w:rFonts w:ascii="Times New Roman" w:hAnsi="Times New Roman" w:eastAsia="宋体" w:cs="Times New Roman"/>
          <w:color w:val="auto"/>
          <w:sz w:val="24"/>
          <w:szCs w:val="24"/>
          <w:u w:val="singl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E3DF2E6">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rPr>
        <w:t>非甲烷总烃</w:t>
      </w:r>
      <w:r>
        <w:rPr>
          <w:rFonts w:ascii="Times New Roman" w:hAnsi="Times New Roman" w:eastAsia="宋体" w:cs="Times New Roman"/>
          <w:color w:val="auto"/>
          <w:sz w:val="24"/>
          <w:szCs w:val="24"/>
          <w:u w:val="single" w:color="auto"/>
        </w:rPr>
        <w:t>物料平衡</w:t>
      </w:r>
    </w:p>
    <w:p w14:paraId="421E3CF1">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本项目调漆、喷漆、晾干非甲烷总烃产生量为</w:t>
      </w:r>
      <w:r>
        <w:rPr>
          <w:rFonts w:hint="eastAsia" w:ascii="Times New Roman" w:hAnsi="Times New Roman" w:eastAsia="宋体" w:cs="Times New Roman"/>
          <w:color w:val="auto"/>
          <w:sz w:val="24"/>
          <w:szCs w:val="24"/>
          <w:u w:val="single" w:color="auto"/>
          <w:lang w:val="en-US" w:eastAsia="zh-CN"/>
        </w:rPr>
        <w:t>54.977</w:t>
      </w:r>
      <w:r>
        <w:rPr>
          <w:rFonts w:hint="eastAsia" w:ascii="Times New Roman" w:hAnsi="Times New Roman" w:eastAsia="宋体" w:cs="Times New Roman"/>
          <w:color w:val="auto"/>
          <w:sz w:val="24"/>
          <w:szCs w:val="24"/>
          <w:u w:val="single" w:color="auto"/>
        </w:rPr>
        <w:t>t/a。根据建设单位提供的资料，用稀释剂清洗喷枪，喷枪清洗剂含非甲烷总烃量为0.66t/a，</w:t>
      </w:r>
      <w:r>
        <w:rPr>
          <w:rFonts w:hint="eastAsia" w:ascii="Times New Roman" w:hAnsi="Times New Roman" w:eastAsia="宋体" w:cs="Times New Roman"/>
          <w:color w:val="auto"/>
          <w:sz w:val="24"/>
          <w:szCs w:val="24"/>
          <w:u w:val="single" w:color="auto"/>
          <w:lang w:val="en-US" w:eastAsia="zh-CN"/>
        </w:rPr>
        <w:t>10</w:t>
      </w:r>
      <w:r>
        <w:rPr>
          <w:rFonts w:hint="eastAsia" w:ascii="Times New Roman" w:hAnsi="Times New Roman" w:eastAsia="宋体" w:cs="Times New Roman"/>
          <w:color w:val="auto"/>
          <w:sz w:val="24"/>
          <w:szCs w:val="24"/>
          <w:u w:val="single" w:color="auto"/>
        </w:rPr>
        <w:t>0%挥发成废气。则本项目产生非甲烷总烃量为</w:t>
      </w:r>
      <w:r>
        <w:rPr>
          <w:rFonts w:hint="eastAsia" w:ascii="Times New Roman" w:hAnsi="Times New Roman" w:eastAsia="宋体" w:cs="Times New Roman"/>
          <w:color w:val="auto"/>
          <w:sz w:val="24"/>
          <w:szCs w:val="24"/>
          <w:u w:val="single" w:color="auto"/>
          <w:lang w:val="en-US" w:eastAsia="zh-CN"/>
        </w:rPr>
        <w:t>55.637</w:t>
      </w:r>
      <w:r>
        <w:rPr>
          <w:rFonts w:hint="eastAsia" w:ascii="Times New Roman" w:hAnsi="Times New Roman" w:eastAsia="宋体" w:cs="Times New Roman"/>
          <w:color w:val="auto"/>
          <w:sz w:val="24"/>
          <w:szCs w:val="24"/>
          <w:u w:val="single" w:color="auto"/>
        </w:rPr>
        <w:t>t/a。</w:t>
      </w:r>
    </w:p>
    <w:p w14:paraId="2E702864">
      <w:pPr>
        <w:jc w:val="center"/>
        <w:rPr>
          <w:color w:val="auto"/>
          <w:u w:val="single" w:color="auto"/>
        </w:rPr>
      </w:pPr>
    </w:p>
    <w:p w14:paraId="38897091">
      <w:pPr>
        <w:autoSpaceDE w:val="0"/>
        <w:autoSpaceDN w:val="0"/>
        <w:spacing w:line="360" w:lineRule="auto"/>
        <w:jc w:val="center"/>
        <w:rPr>
          <w:rFonts w:ascii="Times New Roman" w:hAnsi="Times New Roman" w:eastAsia="宋体" w:cs="Times New Roman"/>
          <w:b/>
          <w:color w:val="auto"/>
          <w:sz w:val="24"/>
          <w:szCs w:val="24"/>
          <w:u w:val="single" w:color="auto"/>
        </w:rPr>
      </w:pPr>
      <w:r>
        <w:rPr>
          <w:rFonts w:hint="eastAsia" w:ascii="Times New Roman" w:hAnsi="Times New Roman" w:eastAsia="宋体" w:cs="Times New Roman"/>
          <w:b/>
          <w:color w:val="auto"/>
          <w:sz w:val="24"/>
          <w:szCs w:val="24"/>
          <w:u w:val="single" w:color="auto"/>
        </w:rPr>
        <w:t>图2.2-7 非甲烷总烃的物料平衡图（t/a）</w:t>
      </w:r>
    </w:p>
    <w:p w14:paraId="6F5FAEF7">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3</w:t>
      </w:r>
      <w:r>
        <w:rPr>
          <w:rFonts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rPr>
        <w:t>二甲苯</w:t>
      </w:r>
      <w:r>
        <w:rPr>
          <w:rFonts w:ascii="Times New Roman" w:hAnsi="Times New Roman" w:eastAsia="宋体" w:cs="Times New Roman"/>
          <w:color w:val="auto"/>
          <w:sz w:val="24"/>
          <w:szCs w:val="24"/>
          <w:u w:val="single" w:color="auto"/>
        </w:rPr>
        <w:t>物料平衡</w:t>
      </w:r>
    </w:p>
    <w:p w14:paraId="7F9148E1">
      <w:pPr>
        <w:snapToGrid w:val="0"/>
        <w:spacing w:line="360" w:lineRule="auto"/>
        <w:ind w:firstLine="480" w:firstLineChars="200"/>
        <w:rPr>
          <w:rFonts w:ascii="Times New Roman" w:hAnsi="Times New Roman" w:eastAsia="宋体" w:cs="Times New Roman"/>
          <w:b/>
          <w:color w:val="auto"/>
          <w:sz w:val="24"/>
          <w:szCs w:val="24"/>
          <w:u w:val="single" w:color="auto"/>
        </w:rPr>
      </w:pPr>
      <w:r>
        <w:rPr>
          <w:rFonts w:hint="eastAsia" w:ascii="Times New Roman" w:hAnsi="Times New Roman" w:eastAsia="宋体" w:cs="Times New Roman"/>
          <w:color w:val="auto"/>
          <w:sz w:val="24"/>
          <w:szCs w:val="24"/>
          <w:u w:val="single" w:color="auto"/>
        </w:rPr>
        <w:t>本项目调漆、喷漆、晾干二甲苯产生量为</w:t>
      </w:r>
      <w:r>
        <w:rPr>
          <w:rFonts w:hint="eastAsia" w:ascii="Times New Roman" w:hAnsi="Times New Roman" w:eastAsia="宋体" w:cs="Times New Roman"/>
          <w:color w:val="auto"/>
          <w:sz w:val="24"/>
          <w:szCs w:val="24"/>
          <w:u w:val="single" w:color="auto"/>
          <w:lang w:val="en-US" w:eastAsia="zh-CN"/>
        </w:rPr>
        <w:t>30.448</w:t>
      </w:r>
      <w:r>
        <w:rPr>
          <w:rFonts w:hint="eastAsia" w:ascii="Times New Roman" w:hAnsi="Times New Roman" w:eastAsia="宋体" w:cs="Times New Roman"/>
          <w:color w:val="auto"/>
          <w:sz w:val="24"/>
          <w:szCs w:val="24"/>
          <w:u w:val="single" w:color="auto"/>
        </w:rPr>
        <w:t>t/a。根据建设单位提供的资料，用环氧稀释剂清洗喷枪，喷枪清洗剂含二甲苯量为</w:t>
      </w:r>
      <w:r>
        <w:rPr>
          <w:rFonts w:hint="eastAsia" w:ascii="Times New Roman" w:hAnsi="Times New Roman" w:eastAsia="宋体" w:cs="Times New Roman"/>
          <w:color w:val="auto"/>
          <w:sz w:val="24"/>
          <w:szCs w:val="24"/>
          <w:u w:val="single" w:color="auto"/>
          <w:lang w:val="en-US" w:eastAsia="zh-CN"/>
        </w:rPr>
        <w:t>0.363</w:t>
      </w:r>
      <w:r>
        <w:rPr>
          <w:rFonts w:hint="eastAsia"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10</w:t>
      </w:r>
      <w:r>
        <w:rPr>
          <w:rFonts w:hint="eastAsia" w:ascii="Times New Roman" w:hAnsi="Times New Roman" w:eastAsia="宋体" w:cs="Times New Roman"/>
          <w:color w:val="auto"/>
          <w:sz w:val="24"/>
          <w:szCs w:val="24"/>
          <w:u w:val="single" w:color="auto"/>
        </w:rPr>
        <w:t>0%挥发成废气。则本项目产生</w:t>
      </w:r>
      <w:r>
        <w:rPr>
          <w:rFonts w:hint="eastAsia" w:ascii="Times New Roman" w:hAnsi="Times New Roman" w:eastAsia="宋体" w:cs="Times New Roman"/>
          <w:color w:val="auto"/>
          <w:sz w:val="24"/>
          <w:szCs w:val="24"/>
          <w:u w:val="single" w:color="auto"/>
          <w:lang w:val="en-US" w:eastAsia="zh-CN"/>
        </w:rPr>
        <w:t>二甲苯</w:t>
      </w:r>
      <w:r>
        <w:rPr>
          <w:rFonts w:hint="eastAsia" w:ascii="Times New Roman" w:hAnsi="Times New Roman" w:eastAsia="宋体" w:cs="Times New Roman"/>
          <w:color w:val="auto"/>
          <w:sz w:val="24"/>
          <w:szCs w:val="24"/>
          <w:u w:val="single" w:color="auto"/>
        </w:rPr>
        <w:t>量为</w:t>
      </w:r>
      <w:r>
        <w:rPr>
          <w:rFonts w:hint="eastAsia" w:ascii="Times New Roman" w:hAnsi="Times New Roman" w:eastAsia="宋体" w:cs="Times New Roman"/>
          <w:color w:val="auto"/>
          <w:sz w:val="24"/>
          <w:szCs w:val="24"/>
          <w:u w:val="single" w:color="auto"/>
          <w:lang w:val="en-US" w:eastAsia="zh-CN"/>
        </w:rPr>
        <w:t>30.811</w:t>
      </w:r>
      <w:r>
        <w:rPr>
          <w:rFonts w:hint="eastAsia" w:ascii="Times New Roman" w:hAnsi="Times New Roman" w:eastAsia="宋体" w:cs="Times New Roman"/>
          <w:color w:val="auto"/>
          <w:sz w:val="24"/>
          <w:szCs w:val="24"/>
          <w:u w:val="single" w:color="auto"/>
        </w:rPr>
        <w:t>t/a。</w:t>
      </w:r>
    </w:p>
    <w:p w14:paraId="26A953FF">
      <w:pPr>
        <w:jc w:val="center"/>
        <w:rPr>
          <w:color w:val="auto"/>
          <w:u w:val="single" w:color="auto"/>
        </w:rPr>
      </w:pPr>
    </w:p>
    <w:p w14:paraId="2C8826E0">
      <w:pPr>
        <w:autoSpaceDE w:val="0"/>
        <w:autoSpaceDN w:val="0"/>
        <w:spacing w:line="360" w:lineRule="auto"/>
        <w:jc w:val="center"/>
        <w:rPr>
          <w:rFonts w:ascii="Times New Roman" w:hAnsi="Times New Roman" w:eastAsia="宋体" w:cs="Times New Roman"/>
          <w:b/>
          <w:color w:val="auto"/>
          <w:sz w:val="24"/>
          <w:szCs w:val="24"/>
          <w:u w:val="single" w:color="auto"/>
        </w:rPr>
      </w:pPr>
      <w:r>
        <w:rPr>
          <w:rFonts w:hint="eastAsia" w:ascii="Times New Roman" w:hAnsi="Times New Roman" w:eastAsia="宋体" w:cs="Times New Roman"/>
          <w:b/>
          <w:color w:val="auto"/>
          <w:sz w:val="24"/>
          <w:szCs w:val="24"/>
          <w:u w:val="single" w:color="auto"/>
        </w:rPr>
        <w:t>图2.2-8 二甲苯的物料平衡图（单位：t/a）</w:t>
      </w:r>
    </w:p>
    <w:p w14:paraId="7B08F8BA">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4</w:t>
      </w:r>
      <w:r>
        <w:rPr>
          <w:rFonts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rPr>
        <w:t>甲苯</w:t>
      </w:r>
      <w:r>
        <w:rPr>
          <w:rFonts w:ascii="Times New Roman" w:hAnsi="Times New Roman" w:eastAsia="宋体" w:cs="Times New Roman"/>
          <w:color w:val="auto"/>
          <w:sz w:val="24"/>
          <w:szCs w:val="24"/>
          <w:u w:val="single" w:color="auto"/>
        </w:rPr>
        <w:t>物料平衡</w:t>
      </w:r>
    </w:p>
    <w:p w14:paraId="01E5EF92">
      <w:pPr>
        <w:snapToGrid w:val="0"/>
        <w:spacing w:line="360" w:lineRule="auto"/>
        <w:ind w:firstLine="480" w:firstLineChars="200"/>
        <w:rPr>
          <w:rFonts w:hint="eastAsia"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本项目调漆、喷漆、晾干甲苯产生量为</w:t>
      </w:r>
      <w:r>
        <w:rPr>
          <w:rFonts w:hint="eastAsia" w:ascii="Times New Roman" w:hAnsi="Times New Roman" w:eastAsia="宋体" w:cs="Times New Roman"/>
          <w:color w:val="auto"/>
          <w:sz w:val="24"/>
          <w:szCs w:val="24"/>
          <w:u w:val="single" w:color="auto"/>
          <w:lang w:val="en-US" w:eastAsia="zh-CN"/>
        </w:rPr>
        <w:t>0.077</w:t>
      </w:r>
      <w:r>
        <w:rPr>
          <w:rFonts w:hint="eastAsia" w:ascii="Times New Roman" w:hAnsi="Times New Roman" w:eastAsia="宋体" w:cs="Times New Roman"/>
          <w:color w:val="auto"/>
          <w:sz w:val="24"/>
          <w:szCs w:val="24"/>
          <w:u w:val="single" w:color="auto"/>
        </w:rPr>
        <w:t>t/a。</w:t>
      </w:r>
    </w:p>
    <w:p w14:paraId="2285DBD3">
      <w:pPr>
        <w:jc w:val="center"/>
        <w:rPr>
          <w:color w:val="auto"/>
          <w:u w:val="none" w:color="auto"/>
        </w:rPr>
      </w:pPr>
    </w:p>
    <w:p w14:paraId="015E1006">
      <w:pPr>
        <w:autoSpaceDE w:val="0"/>
        <w:autoSpaceDN w:val="0"/>
        <w:spacing w:line="360" w:lineRule="auto"/>
        <w:jc w:val="center"/>
        <w:rPr>
          <w:rFonts w:ascii="Times New Roman" w:hAnsi="Times New Roman" w:eastAsia="宋体" w:cs="Times New Roman"/>
          <w:b/>
          <w:color w:val="auto"/>
          <w:sz w:val="24"/>
          <w:szCs w:val="24"/>
          <w:u w:val="single" w:color="auto"/>
        </w:rPr>
      </w:pPr>
      <w:r>
        <w:rPr>
          <w:rFonts w:hint="eastAsia" w:ascii="Times New Roman" w:hAnsi="Times New Roman" w:eastAsia="宋体" w:cs="Times New Roman"/>
          <w:b/>
          <w:color w:val="auto"/>
          <w:sz w:val="24"/>
          <w:szCs w:val="24"/>
          <w:u w:val="single" w:color="auto"/>
        </w:rPr>
        <w:t>图2.2-9 甲苯的物料平衡图（单位：t/a）</w:t>
      </w:r>
    </w:p>
    <w:p w14:paraId="03955CEE">
      <w:pPr>
        <w:snapToGrid w:val="0"/>
        <w:spacing w:line="360" w:lineRule="auto"/>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5</w:t>
      </w:r>
      <w:r>
        <w:rPr>
          <w:rFonts w:ascii="Times New Roman" w:hAnsi="Times New Roman" w:eastAsia="宋体" w:cs="Times New Roman"/>
          <w:color w:val="auto"/>
          <w:sz w:val="24"/>
          <w:szCs w:val="24"/>
          <w:u w:val="none" w:color="auto"/>
        </w:rPr>
        <w:t>）水平衡</w:t>
      </w:r>
    </w:p>
    <w:p w14:paraId="141B0A9A">
      <w:pPr>
        <w:snapToGrid w:val="0"/>
        <w:spacing w:line="360" w:lineRule="auto"/>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本项目用水平衡见表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.2-</w:t>
      </w:r>
      <w:r>
        <w:rPr>
          <w:rFonts w:hint="eastAsia" w:ascii="Times New Roman" w:hAnsi="Times New Roman" w:eastAsia="宋体" w:cs="Times New Roman"/>
          <w:color w:val="auto"/>
          <w:sz w:val="24"/>
          <w:szCs w:val="24"/>
          <w:u w:val="none" w:color="auto"/>
          <w:lang w:val="en-US" w:eastAsia="zh-CN"/>
        </w:rPr>
        <w:t>6</w:t>
      </w:r>
      <w:r>
        <w:rPr>
          <w:rFonts w:ascii="Times New Roman" w:hAnsi="Times New Roman" w:eastAsia="宋体" w:cs="Times New Roman"/>
          <w:color w:val="auto"/>
          <w:sz w:val="24"/>
          <w:szCs w:val="24"/>
          <w:u w:val="none" w:color="auto"/>
        </w:rPr>
        <w:t>及图</w:t>
      </w:r>
      <w:r>
        <w:rPr>
          <w:rFonts w:hint="eastAsia" w:ascii="Times New Roman" w:hAnsi="Times New Roman" w:eastAsia="宋体" w:cs="Times New Roman"/>
          <w:color w:val="auto"/>
          <w:sz w:val="24"/>
          <w:szCs w:val="24"/>
          <w:u w:val="none" w:color="auto"/>
        </w:rPr>
        <w:t>2.2-</w:t>
      </w:r>
      <w:r>
        <w:rPr>
          <w:rFonts w:hint="eastAsia" w:ascii="Times New Roman" w:hAnsi="Times New Roman" w:eastAsia="宋体" w:cs="Times New Roman"/>
          <w:color w:val="auto"/>
          <w:sz w:val="24"/>
          <w:szCs w:val="24"/>
          <w:u w:val="none" w:color="auto"/>
          <w:lang w:val="en-US" w:eastAsia="zh-CN"/>
        </w:rPr>
        <w:t>11</w:t>
      </w:r>
      <w:r>
        <w:rPr>
          <w:rFonts w:ascii="Times New Roman" w:hAnsi="Times New Roman" w:eastAsia="宋体" w:cs="Times New Roman"/>
          <w:color w:val="auto"/>
          <w:sz w:val="24"/>
          <w:szCs w:val="24"/>
          <w:u w:val="none" w:color="auto"/>
        </w:rPr>
        <w:t>。</w:t>
      </w:r>
    </w:p>
    <w:p w14:paraId="4C20DD8E">
      <w:pPr>
        <w:jc w:val="center"/>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图</w:t>
      </w:r>
      <w:r>
        <w:rPr>
          <w:rFonts w:hint="eastAsia" w:ascii="Times New Roman" w:hAnsi="Times New Roman" w:eastAsia="宋体" w:cs="Times New Roman"/>
          <w:b/>
          <w:bCs/>
          <w:color w:val="auto"/>
          <w:sz w:val="24"/>
          <w:szCs w:val="24"/>
          <w:u w:val="none" w:color="auto"/>
        </w:rPr>
        <w:t>2.2-11水平衡</w:t>
      </w:r>
      <w:r>
        <w:rPr>
          <w:rFonts w:ascii="Times New Roman" w:hAnsi="Times New Roman" w:eastAsia="宋体" w:cs="Times New Roman"/>
          <w:b/>
          <w:bCs/>
          <w:color w:val="auto"/>
          <w:sz w:val="24"/>
          <w:szCs w:val="24"/>
          <w:u w:val="none" w:color="auto"/>
        </w:rPr>
        <w:t>图</w:t>
      </w:r>
      <w:r>
        <w:rPr>
          <w:rFonts w:hint="eastAsia" w:ascii="Times New Roman" w:hAnsi="Times New Roman" w:eastAsia="宋体" w:cs="Times New Roman"/>
          <w:b/>
          <w:bCs/>
          <w:color w:val="auto"/>
          <w:sz w:val="24"/>
          <w:szCs w:val="24"/>
          <w:u w:val="none" w:color="auto"/>
        </w:rPr>
        <w:t>（m</w:t>
      </w:r>
      <w:r>
        <w:rPr>
          <w:rFonts w:hint="eastAsia" w:ascii="Times New Roman" w:hAnsi="Times New Roman" w:eastAsia="宋体" w:cs="Times New Roman"/>
          <w:b/>
          <w:bCs/>
          <w:color w:val="auto"/>
          <w:sz w:val="24"/>
          <w:szCs w:val="24"/>
          <w:u w:val="none" w:color="auto"/>
          <w:vertAlign w:val="superscript"/>
        </w:rPr>
        <w:t>3</w:t>
      </w:r>
      <w:r>
        <w:rPr>
          <w:rFonts w:hint="eastAsia" w:ascii="Times New Roman" w:hAnsi="Times New Roman" w:eastAsia="宋体" w:cs="Times New Roman"/>
          <w:b/>
          <w:bCs/>
          <w:color w:val="auto"/>
          <w:sz w:val="24"/>
          <w:szCs w:val="24"/>
          <w:u w:val="none" w:color="auto"/>
        </w:rPr>
        <w:t>/a）</w:t>
      </w:r>
    </w:p>
    <w:p w14:paraId="0D7F79DB">
      <w:pPr>
        <w:jc w:val="center"/>
        <w:rPr>
          <w:rFonts w:ascii="Times New Roman" w:hAnsi="Times New Roman" w:eastAsia="宋体" w:cs="Times New Roman"/>
          <w:b/>
          <w:bCs/>
          <w:color w:val="auto"/>
          <w:sz w:val="24"/>
          <w:szCs w:val="24"/>
          <w:u w:val="none" w:color="auto"/>
        </w:rPr>
      </w:pPr>
    </w:p>
    <w:p w14:paraId="7618FC19">
      <w:pPr>
        <w:snapToGrid w:val="0"/>
        <w:spacing w:line="360" w:lineRule="auto"/>
        <w:rPr>
          <w:rFonts w:ascii="Times New Roman" w:hAnsi="Times New Roman" w:eastAsia="宋体" w:cs="Times New Roman"/>
          <w:color w:val="auto"/>
          <w:sz w:val="24"/>
          <w:szCs w:val="24"/>
          <w:u w:val="none" w:color="auto"/>
        </w:rPr>
      </w:pPr>
    </w:p>
    <w:p w14:paraId="2925D494">
      <w:pPr>
        <w:tabs>
          <w:tab w:val="left" w:pos="1288"/>
        </w:tabs>
        <w:autoSpaceDE w:val="0"/>
        <w:autoSpaceDN w:val="0"/>
        <w:adjustRightInd w:val="0"/>
        <w:snapToGrid w:val="0"/>
        <w:spacing w:line="360" w:lineRule="auto"/>
        <w:ind w:firstLine="482" w:firstLineChars="200"/>
        <w:jc w:val="center"/>
        <w:textAlignment w:val="baseline"/>
        <w:rPr>
          <w:rFonts w:ascii="Times New Roman" w:hAnsi="Times New Roman" w:eastAsia="宋体" w:cs="Times New Roman"/>
          <w:b/>
          <w:bCs/>
          <w:color w:val="auto"/>
          <w:kern w:val="0"/>
          <w:sz w:val="24"/>
          <w:szCs w:val="24"/>
          <w:u w:val="none" w:color="auto"/>
        </w:rPr>
      </w:pPr>
    </w:p>
    <w:p w14:paraId="78D9ED34">
      <w:pPr>
        <w:autoSpaceDE w:val="0"/>
        <w:autoSpaceDN w:val="0"/>
        <w:spacing w:line="360" w:lineRule="auto"/>
        <w:rPr>
          <w:rFonts w:ascii="Times New Roman" w:hAnsi="Times New Roman" w:eastAsia="宋体" w:cs="Times New Roman"/>
          <w:b/>
          <w:bCs/>
          <w:color w:val="auto"/>
          <w:sz w:val="24"/>
          <w:szCs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148"/>
    <w:p w14:paraId="7F51B8CD">
      <w:pPr>
        <w:autoSpaceDE w:val="0"/>
        <w:autoSpaceDN w:val="0"/>
        <w:snapToGrid w:val="0"/>
        <w:spacing w:line="360" w:lineRule="auto"/>
        <w:jc w:val="left"/>
        <w:outlineLvl w:val="1"/>
        <w:rPr>
          <w:rFonts w:ascii="Times New Roman" w:hAnsi="Times New Roman" w:eastAsia="宋体" w:cs="Times New Roman"/>
          <w:b/>
          <w:color w:val="auto"/>
          <w:kern w:val="0"/>
          <w:sz w:val="32"/>
          <w:szCs w:val="32"/>
          <w:u w:val="none" w:color="auto"/>
        </w:rPr>
      </w:pPr>
      <w:bookmarkStart w:id="149" w:name="_Toc3728175"/>
      <w:bookmarkStart w:id="150" w:name="_Toc28591"/>
      <w:bookmarkStart w:id="151" w:name="_Toc6858285"/>
      <w:r>
        <w:rPr>
          <w:rFonts w:hint="eastAsia" w:ascii="Times New Roman" w:hAnsi="Times New Roman" w:eastAsia="宋体" w:cs="Times New Roman"/>
          <w:b/>
          <w:color w:val="auto"/>
          <w:kern w:val="0"/>
          <w:sz w:val="32"/>
          <w:szCs w:val="32"/>
          <w:u w:val="none" w:color="auto"/>
        </w:rPr>
        <w:t>2</w:t>
      </w:r>
      <w:r>
        <w:rPr>
          <w:rFonts w:ascii="Times New Roman" w:hAnsi="Times New Roman" w:eastAsia="宋体" w:cs="Times New Roman"/>
          <w:b/>
          <w:color w:val="auto"/>
          <w:kern w:val="0"/>
          <w:sz w:val="32"/>
          <w:szCs w:val="32"/>
          <w:u w:val="none" w:color="auto"/>
        </w:rPr>
        <w:t>.3污染物排放量统计</w:t>
      </w:r>
      <w:bookmarkEnd w:id="149"/>
      <w:bookmarkEnd w:id="150"/>
      <w:bookmarkEnd w:id="151"/>
    </w:p>
    <w:p w14:paraId="4C92B0F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52" w:name="_Toc3728176"/>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.3.1</w:t>
      </w:r>
      <w:r>
        <w:rPr>
          <w:rFonts w:hint="eastAsia" w:ascii="Times New Roman" w:hAnsi="Times New Roman" w:eastAsia="宋体" w:cs="Times New Roman"/>
          <w:b/>
          <w:color w:val="auto"/>
          <w:kern w:val="0"/>
          <w:sz w:val="28"/>
          <w:szCs w:val="20"/>
          <w:u w:val="none" w:color="auto"/>
        </w:rPr>
        <w:t>施工期污染源分析</w:t>
      </w:r>
      <w:bookmarkEnd w:id="152"/>
    </w:p>
    <w:p w14:paraId="650CB93F">
      <w:pPr>
        <w:snapToGrid w:val="0"/>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（1）废水</w:t>
      </w:r>
    </w:p>
    <w:p w14:paraId="5B5E0FE0">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施工人员的生活污水，施工人员均为本地居民，工地无住宿，施工人员及工地管理人员按50人计，工地生活用水按50L/人·d计，用水量为2.5m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/d，以排放系数0.8计，产生约2m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/d的生活污水，主要污染物COD250mg/L，BOD</w:t>
      </w:r>
      <w:r>
        <w:rPr>
          <w:rFonts w:hint="default" w:ascii="Times New Roman" w:hAnsi="Times New Roman" w:eastAsia="宋体" w:cs="Times New Roman"/>
          <w:color w:val="auto"/>
          <w:sz w:val="24"/>
          <w:szCs w:val="24"/>
          <w:u w:val="none" w:color="auto"/>
          <w:vertAlign w:val="subscript"/>
        </w:rPr>
        <w:t>5</w:t>
      </w:r>
      <w:r>
        <w:rPr>
          <w:rFonts w:hint="default" w:ascii="Times New Roman" w:hAnsi="Times New Roman" w:eastAsia="宋体" w:cs="Times New Roman"/>
          <w:color w:val="auto"/>
          <w:sz w:val="24"/>
          <w:szCs w:val="24"/>
          <w:u w:val="none" w:color="auto"/>
        </w:rPr>
        <w:t>150mg/L，NH</w:t>
      </w:r>
      <w:r>
        <w:rPr>
          <w:rFonts w:hint="default" w:ascii="Times New Roman" w:hAnsi="Times New Roman" w:eastAsia="宋体" w:cs="Times New Roman"/>
          <w:color w:val="auto"/>
          <w:sz w:val="24"/>
          <w:szCs w:val="24"/>
          <w:u w:val="none" w:color="auto"/>
          <w:vertAlign w:val="subscript"/>
        </w:rPr>
        <w:t>3</w:t>
      </w:r>
      <w:r>
        <w:rPr>
          <w:rFonts w:hint="default" w:ascii="Times New Roman" w:hAnsi="Times New Roman" w:eastAsia="宋体" w:cs="Times New Roman"/>
          <w:color w:val="auto"/>
          <w:sz w:val="24"/>
          <w:szCs w:val="24"/>
          <w:u w:val="none" w:color="auto"/>
        </w:rPr>
        <w:t>-N25mg/L，SS200mg/L，生活污水经三级化粪池预处理达到</w:t>
      </w:r>
      <w:r>
        <w:rPr>
          <w:rFonts w:hint="eastAsia" w:ascii="Times New Roman" w:hAnsi="Times New Roman" w:eastAsia="宋体" w:cs="Times New Roman"/>
          <w:color w:val="auto"/>
          <w:sz w:val="24"/>
          <w:szCs w:val="24"/>
          <w:u w:val="none" w:color="auto"/>
          <w:lang w:eastAsia="zh-CN"/>
        </w:rPr>
        <w:t>大榄坪污水处理厂接管标准</w:t>
      </w:r>
      <w:r>
        <w:rPr>
          <w:rFonts w:hint="default" w:ascii="Times New Roman" w:hAnsi="Times New Roman" w:eastAsia="宋体" w:cs="Times New Roman"/>
          <w:color w:val="auto"/>
          <w:sz w:val="24"/>
          <w:szCs w:val="24"/>
          <w:u w:val="none" w:color="auto"/>
        </w:rPr>
        <w:t>要求后，经市政管网排入大榄坪污水处理厂。施工废水主要包括打桩阶段的泥浆废水、结构阶段混凝土养护废水及各种车辆冲洗水。施工废水主要污染物有COD、石油类、SS，含量分别为100~200mg/L、10~40mg/L、500~4000mg/L。施工废水随意排放会造成城市排水系统堵塞，必须妥善处置，施工废水经沉淀池沉淀后回用于现场的抑尘。</w:t>
      </w:r>
    </w:p>
    <w:p w14:paraId="54E1C6A3">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（2）废气</w:t>
      </w:r>
    </w:p>
    <w:p w14:paraId="6F152665">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阶段的废气污染源主要来自施工场地内扬尘（土地开挖平整等施工土石方扬尘和细砂、水泥等易扬尘材料堆场扬尘）、汽车行驶产生的道路扬尘、施工机械及运输车辆燃油废气等。施工期场地不设置食堂，施工人员附近就餐。</w:t>
      </w:r>
    </w:p>
    <w:p w14:paraId="59279CA8">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①施工场地扬尘</w:t>
      </w:r>
    </w:p>
    <w:p w14:paraId="42DC0B11">
      <w:pPr>
        <w:adjustRightInd w:val="0"/>
        <w:snapToGrid w:val="0"/>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w:t>
      </w:r>
      <w:r>
        <w:rPr>
          <w:rFonts w:hint="default" w:ascii="Times New Roman" w:hAnsi="Times New Roman" w:eastAsia="宋体" w:cs="Times New Roman"/>
          <w:color w:val="auto"/>
          <w:sz w:val="24"/>
          <w:szCs w:val="24"/>
          <w:u w:val="single"/>
          <w:lang w:val="en-US" w:eastAsia="zh-CN"/>
        </w:rPr>
        <w:t>《广西壮族自治区生态环境厅关于发布广西环境保护税应税污染物施工扬尘排污特征值系数及排放量计算方法的通告》（桂环规范〔2025〕1号）</w:t>
      </w:r>
      <w:r>
        <w:rPr>
          <w:rFonts w:hint="default" w:ascii="Times New Roman" w:hAnsi="Times New Roman" w:eastAsia="宋体" w:cs="Times New Roman"/>
          <w:color w:val="auto"/>
          <w:sz w:val="24"/>
          <w:szCs w:val="24"/>
          <w:u w:val="none" w:color="auto"/>
        </w:rPr>
        <w:t>可知：施工扬尘是指本地区所有进行建筑工程、市政工程和拆迁工程等施工活动过程中产生的对大气造成污染的总悬浮颗粒物、可吸入颗粒物和细颗粒物等粉尘的总称。</w:t>
      </w:r>
    </w:p>
    <w:p w14:paraId="77ACD66E">
      <w:pPr>
        <w:adjustRightInd w:val="0"/>
        <w:snapToGrid w:val="0"/>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扬尘排放量（千克）=（扬尘产生量系数-扬尘排放量削减系数）（千克/平方米·月）×月建筑面积或施工面积（平方米）。</w:t>
      </w:r>
    </w:p>
    <w:p w14:paraId="25141BFC">
      <w:pPr>
        <w:adjustRightInd w:val="0"/>
        <w:snapToGrid w:val="0"/>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对于建筑工地按建筑面积计算，施工工地必须采取道路硬化措施、边界围挡、裸露地面（含土方）覆盖、易扬尘物料覆盖、持续洒水降尘、运输车辆冲洗装置等措施，并按控制措施达标与否，扣除削减量。</w:t>
      </w:r>
    </w:p>
    <w:p w14:paraId="24C55DCE">
      <w:pPr>
        <w:snapToGrid w:val="0"/>
        <w:spacing w:before="156" w:beforeLines="50"/>
        <w:jc w:val="center"/>
        <w:rPr>
          <w:rFonts w:hint="default"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w:t>
      </w:r>
      <w:r>
        <w:rPr>
          <w:rFonts w:hint="eastAsia" w:ascii="Times New Roman" w:hAnsi="Times New Roman" w:eastAsia="宋体" w:cs="Times New Roman"/>
          <w:b/>
          <w:bCs/>
          <w:color w:val="auto"/>
          <w:sz w:val="24"/>
          <w:szCs w:val="24"/>
          <w:u w:val="none" w:color="auto"/>
          <w:lang w:val="en-US" w:eastAsia="zh-CN"/>
        </w:rPr>
        <w:t xml:space="preserve">2.3-1 </w:t>
      </w:r>
      <w:r>
        <w:rPr>
          <w:rFonts w:hint="default" w:ascii="Times New Roman" w:hAnsi="Times New Roman" w:eastAsia="宋体" w:cs="Times New Roman"/>
          <w:b/>
          <w:bCs/>
          <w:color w:val="auto"/>
          <w:sz w:val="24"/>
          <w:szCs w:val="24"/>
          <w:u w:val="none" w:color="auto"/>
        </w:rPr>
        <w:t>施工扬尘产生、削减系数表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6"/>
        <w:gridCol w:w="1857"/>
        <w:gridCol w:w="1856"/>
        <w:gridCol w:w="1857"/>
        <w:gridCol w:w="1859"/>
      </w:tblGrid>
      <w:tr w14:paraId="55FE2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713" w:type="dxa"/>
            <w:gridSpan w:val="2"/>
            <w:vAlign w:val="center"/>
          </w:tcPr>
          <w:p w14:paraId="372D6590">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工地类型</w:t>
            </w:r>
          </w:p>
        </w:tc>
        <w:tc>
          <w:tcPr>
            <w:tcW w:w="5572" w:type="dxa"/>
            <w:gridSpan w:val="3"/>
            <w:vAlign w:val="center"/>
          </w:tcPr>
          <w:p w14:paraId="43D99B53">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扬尘产生量系数（千克/平方米·月）</w:t>
            </w:r>
          </w:p>
        </w:tc>
      </w:tr>
      <w:tr w14:paraId="13929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3" w:type="dxa"/>
            <w:gridSpan w:val="2"/>
            <w:vAlign w:val="center"/>
          </w:tcPr>
          <w:p w14:paraId="1E3A2D5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建筑施工</w:t>
            </w:r>
          </w:p>
        </w:tc>
        <w:tc>
          <w:tcPr>
            <w:tcW w:w="5572" w:type="dxa"/>
            <w:gridSpan w:val="3"/>
            <w:vAlign w:val="center"/>
          </w:tcPr>
          <w:p w14:paraId="6503663B">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1.01</w:t>
            </w:r>
          </w:p>
        </w:tc>
      </w:tr>
      <w:tr w14:paraId="6D12D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3" w:type="dxa"/>
            <w:gridSpan w:val="2"/>
            <w:vAlign w:val="center"/>
          </w:tcPr>
          <w:p w14:paraId="683718F6">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市政（拆迁）施工</w:t>
            </w:r>
          </w:p>
        </w:tc>
        <w:tc>
          <w:tcPr>
            <w:tcW w:w="5572" w:type="dxa"/>
            <w:gridSpan w:val="3"/>
            <w:vAlign w:val="center"/>
          </w:tcPr>
          <w:p w14:paraId="793B6801">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1.64</w:t>
            </w:r>
          </w:p>
        </w:tc>
      </w:tr>
      <w:tr w14:paraId="580A9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restart"/>
            <w:vAlign w:val="center"/>
          </w:tcPr>
          <w:p w14:paraId="0000F3D9">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工地类型</w:t>
            </w:r>
          </w:p>
        </w:tc>
        <w:tc>
          <w:tcPr>
            <w:tcW w:w="1857" w:type="dxa"/>
            <w:vMerge w:val="restart"/>
            <w:vAlign w:val="center"/>
          </w:tcPr>
          <w:p w14:paraId="31271DEC">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扬尘类型</w:t>
            </w:r>
          </w:p>
        </w:tc>
        <w:tc>
          <w:tcPr>
            <w:tcW w:w="1856" w:type="dxa"/>
            <w:vMerge w:val="restart"/>
            <w:vAlign w:val="center"/>
          </w:tcPr>
          <w:p w14:paraId="1962D6AE">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扬尘污染控制措施</w:t>
            </w:r>
          </w:p>
        </w:tc>
        <w:tc>
          <w:tcPr>
            <w:tcW w:w="3716" w:type="dxa"/>
            <w:gridSpan w:val="2"/>
            <w:vAlign w:val="center"/>
          </w:tcPr>
          <w:p w14:paraId="390683FB">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扬尘排放量削减系数</w:t>
            </w:r>
          </w:p>
        </w:tc>
      </w:tr>
      <w:tr w14:paraId="3DFF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1D64E4D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72932AC7">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Merge w:val="continue"/>
            <w:vAlign w:val="center"/>
          </w:tcPr>
          <w:p w14:paraId="348CE8AC">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716" w:type="dxa"/>
            <w:gridSpan w:val="2"/>
            <w:vAlign w:val="center"/>
          </w:tcPr>
          <w:p w14:paraId="793C391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措施达标</w:t>
            </w:r>
          </w:p>
        </w:tc>
      </w:tr>
      <w:tr w14:paraId="7ED11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416CB52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6B665533">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Merge w:val="continue"/>
            <w:vAlign w:val="center"/>
          </w:tcPr>
          <w:p w14:paraId="0FCA7FD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Align w:val="center"/>
          </w:tcPr>
          <w:p w14:paraId="69D9201A">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是</w:t>
            </w:r>
          </w:p>
        </w:tc>
        <w:tc>
          <w:tcPr>
            <w:tcW w:w="1859" w:type="dxa"/>
            <w:vAlign w:val="center"/>
          </w:tcPr>
          <w:p w14:paraId="43F2B056">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否</w:t>
            </w:r>
          </w:p>
        </w:tc>
      </w:tr>
      <w:tr w14:paraId="5145B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restart"/>
            <w:vAlign w:val="center"/>
          </w:tcPr>
          <w:p w14:paraId="203FFD03">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建筑工地</w:t>
            </w:r>
          </w:p>
        </w:tc>
        <w:tc>
          <w:tcPr>
            <w:tcW w:w="1857" w:type="dxa"/>
            <w:vMerge w:val="restart"/>
            <w:vAlign w:val="center"/>
          </w:tcPr>
          <w:p w14:paraId="082A2CDF">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一次扬尘</w:t>
            </w:r>
          </w:p>
        </w:tc>
        <w:tc>
          <w:tcPr>
            <w:tcW w:w="1856" w:type="dxa"/>
            <w:vAlign w:val="center"/>
          </w:tcPr>
          <w:p w14:paraId="28E2E237">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道路硬化措施</w:t>
            </w:r>
          </w:p>
        </w:tc>
        <w:tc>
          <w:tcPr>
            <w:tcW w:w="1857" w:type="dxa"/>
            <w:vAlign w:val="center"/>
          </w:tcPr>
          <w:p w14:paraId="3E09D0A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0.071</w:t>
            </w:r>
          </w:p>
        </w:tc>
        <w:tc>
          <w:tcPr>
            <w:tcW w:w="1859" w:type="dxa"/>
            <w:vAlign w:val="center"/>
          </w:tcPr>
          <w:p w14:paraId="7F80A0F1">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57075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23A971A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0BD39E81">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Align w:val="center"/>
          </w:tcPr>
          <w:p w14:paraId="28200763">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边界围挡</w:t>
            </w:r>
          </w:p>
        </w:tc>
        <w:tc>
          <w:tcPr>
            <w:tcW w:w="1857" w:type="dxa"/>
            <w:vAlign w:val="center"/>
          </w:tcPr>
          <w:p w14:paraId="2ED5ECD2">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0.047</w:t>
            </w:r>
          </w:p>
        </w:tc>
        <w:tc>
          <w:tcPr>
            <w:tcW w:w="1859" w:type="dxa"/>
            <w:vAlign w:val="center"/>
          </w:tcPr>
          <w:p w14:paraId="39F8938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348D0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3FBD5DC7">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71D38D36">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Align w:val="center"/>
          </w:tcPr>
          <w:p w14:paraId="59A2FCC0">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裸露地面覆盖</w:t>
            </w:r>
          </w:p>
        </w:tc>
        <w:tc>
          <w:tcPr>
            <w:tcW w:w="1857" w:type="dxa"/>
            <w:vAlign w:val="center"/>
          </w:tcPr>
          <w:p w14:paraId="1CA7226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0.047</w:t>
            </w:r>
          </w:p>
        </w:tc>
        <w:tc>
          <w:tcPr>
            <w:tcW w:w="1859" w:type="dxa"/>
            <w:vAlign w:val="center"/>
          </w:tcPr>
          <w:p w14:paraId="2D081D7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51635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68CCF58C">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7EF1332F">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Align w:val="center"/>
          </w:tcPr>
          <w:p w14:paraId="49B89B6C">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易扬尘物料覆盖</w:t>
            </w:r>
          </w:p>
        </w:tc>
        <w:tc>
          <w:tcPr>
            <w:tcW w:w="1857" w:type="dxa"/>
            <w:vAlign w:val="center"/>
          </w:tcPr>
          <w:p w14:paraId="3E35BBFA">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0.025</w:t>
            </w:r>
          </w:p>
        </w:tc>
        <w:tc>
          <w:tcPr>
            <w:tcW w:w="1859" w:type="dxa"/>
            <w:vAlign w:val="center"/>
          </w:tcPr>
          <w:p w14:paraId="71135CFA">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51B9C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41DADE5A">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64FCB42D">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Align w:val="center"/>
          </w:tcPr>
          <w:p w14:paraId="400BDB8C">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定期喷洒抑制剂</w:t>
            </w:r>
          </w:p>
        </w:tc>
        <w:tc>
          <w:tcPr>
            <w:tcW w:w="1857" w:type="dxa"/>
            <w:vAlign w:val="center"/>
          </w:tcPr>
          <w:p w14:paraId="3020C913">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0.03</w:t>
            </w:r>
          </w:p>
        </w:tc>
        <w:tc>
          <w:tcPr>
            <w:tcW w:w="1859" w:type="dxa"/>
            <w:vAlign w:val="center"/>
          </w:tcPr>
          <w:p w14:paraId="1F84AE97">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2805A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259D84D2">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restart"/>
            <w:vAlign w:val="center"/>
          </w:tcPr>
          <w:p w14:paraId="636A24E4">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二次扬尘</w:t>
            </w:r>
          </w:p>
        </w:tc>
        <w:tc>
          <w:tcPr>
            <w:tcW w:w="1856" w:type="dxa"/>
            <w:vAlign w:val="center"/>
          </w:tcPr>
          <w:p w14:paraId="09692C66">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运输车辆机械冲洗装置</w:t>
            </w:r>
          </w:p>
        </w:tc>
        <w:tc>
          <w:tcPr>
            <w:tcW w:w="1857" w:type="dxa"/>
            <w:vAlign w:val="center"/>
          </w:tcPr>
          <w:p w14:paraId="0DB082B8">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0.31</w:t>
            </w:r>
          </w:p>
        </w:tc>
        <w:tc>
          <w:tcPr>
            <w:tcW w:w="1859" w:type="dxa"/>
            <w:vAlign w:val="center"/>
          </w:tcPr>
          <w:p w14:paraId="4EA2D4BA">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r w14:paraId="57AE2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6" w:type="dxa"/>
            <w:vMerge w:val="continue"/>
            <w:vAlign w:val="center"/>
          </w:tcPr>
          <w:p w14:paraId="4C7C1BBB">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7" w:type="dxa"/>
            <w:vMerge w:val="continue"/>
            <w:vAlign w:val="center"/>
          </w:tcPr>
          <w:p w14:paraId="411B0A72">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856" w:type="dxa"/>
            <w:vAlign w:val="center"/>
          </w:tcPr>
          <w:p w14:paraId="6E99C59B">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运输车辆简易冲洗装置</w:t>
            </w:r>
          </w:p>
        </w:tc>
        <w:tc>
          <w:tcPr>
            <w:tcW w:w="1857" w:type="dxa"/>
            <w:vAlign w:val="center"/>
          </w:tcPr>
          <w:p w14:paraId="4AE7AF56">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0.155</w:t>
            </w:r>
          </w:p>
        </w:tc>
        <w:tc>
          <w:tcPr>
            <w:tcW w:w="1859" w:type="dxa"/>
            <w:vAlign w:val="center"/>
          </w:tcPr>
          <w:p w14:paraId="50027203">
            <w:pPr>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r>
    </w:tbl>
    <w:p w14:paraId="350163E6">
      <w:pPr>
        <w:wordWrap w:val="0"/>
        <w:adjustRightInd w:val="0"/>
        <w:snapToGrid w:val="0"/>
        <w:spacing w:line="240" w:lineRule="auto"/>
        <w:ind w:firstLine="480"/>
        <w:rPr>
          <w:rFonts w:hint="default" w:ascii="Times New Roman" w:hAnsi="Times New Roman" w:eastAsia="宋体" w:cs="Times New Roman"/>
          <w:bCs/>
          <w:snapToGrid w:val="0"/>
          <w:color w:val="auto"/>
          <w:sz w:val="24"/>
          <w:szCs w:val="24"/>
          <w:u w:val="none" w:color="auto"/>
        </w:rPr>
      </w:pPr>
    </w:p>
    <w:p w14:paraId="198DA033">
      <w:pPr>
        <w:wordWrap w:val="0"/>
        <w:adjustRightInd w:val="0"/>
        <w:snapToGrid w:val="0"/>
        <w:spacing w:line="360" w:lineRule="auto"/>
        <w:ind w:firstLine="480"/>
        <w:rPr>
          <w:rFonts w:hint="default" w:ascii="Times New Roman" w:hAnsi="Times New Roman" w:eastAsia="宋体" w:cs="Times New Roman"/>
          <w:bCs/>
          <w:snapToGrid w:val="0"/>
          <w:color w:val="auto"/>
          <w:sz w:val="24"/>
          <w:szCs w:val="24"/>
          <w:u w:val="none" w:color="auto"/>
        </w:rPr>
      </w:pPr>
      <w:r>
        <w:rPr>
          <w:rFonts w:hint="default" w:ascii="Times New Roman" w:hAnsi="Times New Roman" w:eastAsia="宋体" w:cs="Times New Roman"/>
          <w:bCs/>
          <w:snapToGrid w:val="0"/>
          <w:color w:val="auto"/>
          <w:sz w:val="24"/>
          <w:szCs w:val="24"/>
          <w:u w:val="none" w:color="auto"/>
        </w:rPr>
        <w:t>在施工过程中，土地的平整，建筑垃圾、建材的堆放和清运，运输车辆进出工地，都会产生一定的扬尘，主要污染物为TSP。施工工地采取道路硬化措施、边界围挡、裸露地面（含土方）覆盖、易扬尘物料覆盖、持续洒水降尘、运输车辆冲洗装置等措施，采取措施后根据</w:t>
      </w:r>
      <w:r>
        <w:rPr>
          <w:rFonts w:hint="default" w:ascii="Times New Roman" w:hAnsi="Times New Roman" w:eastAsia="宋体" w:cs="Times New Roman"/>
          <w:color w:val="auto"/>
          <w:sz w:val="24"/>
          <w:szCs w:val="24"/>
          <w:u w:val="single"/>
          <w:lang w:val="en-US" w:eastAsia="zh-CN"/>
        </w:rPr>
        <w:t>《广西壮族自治区生态环境厅关于发布广西环境保护税应税污染物施工扬尘排污特征值系数及排放量计算方法的通告》（桂环规范〔2025〕1号）</w:t>
      </w:r>
      <w:r>
        <w:rPr>
          <w:rFonts w:hint="default" w:ascii="Times New Roman" w:hAnsi="Times New Roman" w:eastAsia="宋体" w:cs="Times New Roman"/>
          <w:bCs/>
          <w:snapToGrid w:val="0"/>
          <w:color w:val="auto"/>
          <w:sz w:val="24"/>
          <w:szCs w:val="24"/>
          <w:u w:val="none" w:color="auto"/>
        </w:rPr>
        <w:t>：扬尘排放量（千克）=（扬尘产生量系数-扬尘排放量削减系数）（千克/平方米·月）×月建筑面积或施工面积（平方米），</w:t>
      </w:r>
      <w:r>
        <w:rPr>
          <w:rFonts w:hint="default" w:ascii="Times New Roman" w:hAnsi="Times New Roman" w:eastAsia="宋体" w:cs="Times New Roman"/>
          <w:color w:val="auto"/>
          <w:sz w:val="24"/>
          <w:szCs w:val="24"/>
          <w:u w:val="none" w:color="auto"/>
        </w:rPr>
        <w:t>本项目总建筑面积为</w:t>
      </w:r>
      <w:r>
        <w:rPr>
          <w:rFonts w:hint="default" w:ascii="Times New Roman" w:hAnsi="Times New Roman" w:eastAsia="宋体" w:cs="Times New Roman"/>
          <w:color w:val="auto"/>
          <w:sz w:val="24"/>
          <w:szCs w:val="24"/>
          <w:u w:val="none" w:color="auto"/>
          <w:lang w:val="en-US" w:eastAsia="zh-CN"/>
        </w:rPr>
        <w:t>67590.03</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bCs/>
          <w:snapToGrid w:val="0"/>
          <w:color w:val="auto"/>
          <w:sz w:val="24"/>
          <w:szCs w:val="24"/>
          <w:u w:val="none" w:color="auto"/>
        </w:rPr>
        <w:t>根据上述计算方法计算项目扬尘排放量为</w:t>
      </w:r>
      <w:r>
        <w:rPr>
          <w:rFonts w:hint="default" w:ascii="Times New Roman" w:hAnsi="Times New Roman" w:eastAsia="宋体" w:cs="Times New Roman"/>
          <w:bCs/>
          <w:snapToGrid w:val="0"/>
          <w:color w:val="auto"/>
          <w:sz w:val="24"/>
          <w:szCs w:val="24"/>
          <w:u w:val="none" w:color="auto"/>
          <w:lang w:val="en-US" w:eastAsia="zh-CN"/>
        </w:rPr>
        <w:t>21.967</w:t>
      </w:r>
      <w:r>
        <w:rPr>
          <w:rFonts w:hint="default" w:ascii="Times New Roman" w:hAnsi="Times New Roman" w:eastAsia="宋体" w:cs="Times New Roman"/>
          <w:bCs/>
          <w:snapToGrid w:val="0"/>
          <w:color w:val="auto"/>
          <w:sz w:val="24"/>
          <w:szCs w:val="24"/>
          <w:u w:val="none" w:color="auto"/>
        </w:rPr>
        <w:t>t。</w:t>
      </w:r>
    </w:p>
    <w:p w14:paraId="28E03907">
      <w:pPr>
        <w:wordWrap w:val="0"/>
        <w:adjustRightInd w:val="0"/>
        <w:snapToGrid w:val="0"/>
        <w:spacing w:line="360" w:lineRule="auto"/>
        <w:ind w:firstLine="480"/>
        <w:rPr>
          <w:rFonts w:hint="default" w:ascii="Times New Roman" w:hAnsi="Times New Roman" w:eastAsia="宋体" w:cs="Times New Roman"/>
          <w:bCs/>
          <w:snapToGrid w:val="0"/>
          <w:color w:val="auto"/>
          <w:sz w:val="24"/>
          <w:szCs w:val="24"/>
          <w:u w:val="none" w:color="auto"/>
        </w:rPr>
      </w:pPr>
      <w:r>
        <w:rPr>
          <w:rFonts w:hint="default" w:ascii="Times New Roman" w:hAnsi="Times New Roman" w:eastAsia="宋体" w:cs="Times New Roman"/>
          <w:bCs/>
          <w:snapToGrid w:val="0"/>
          <w:color w:val="auto"/>
          <w:sz w:val="24"/>
          <w:szCs w:val="24"/>
          <w:u w:val="none" w:color="auto"/>
        </w:rPr>
        <w:t>项目工程施工期较短，施工单位落实好扬尘防治措施后，可减轻施工扬尘排放量以及</w:t>
      </w:r>
      <w:r>
        <w:rPr>
          <w:rFonts w:hint="eastAsia" w:ascii="Times New Roman" w:hAnsi="Times New Roman" w:eastAsia="宋体" w:cs="Times New Roman"/>
          <w:bCs/>
          <w:snapToGrid w:val="0"/>
          <w:color w:val="auto"/>
          <w:sz w:val="24"/>
          <w:szCs w:val="24"/>
          <w:u w:val="none" w:color="auto"/>
          <w:lang w:eastAsia="zh-CN"/>
        </w:rPr>
        <w:t>减少</w:t>
      </w:r>
      <w:r>
        <w:rPr>
          <w:rFonts w:hint="default" w:ascii="Times New Roman" w:hAnsi="Times New Roman" w:eastAsia="宋体" w:cs="Times New Roman"/>
          <w:bCs/>
          <w:snapToGrid w:val="0"/>
          <w:color w:val="auto"/>
          <w:sz w:val="24"/>
          <w:szCs w:val="24"/>
          <w:u w:val="none" w:color="auto"/>
        </w:rPr>
        <w:t>对周边环境的影响。</w:t>
      </w:r>
    </w:p>
    <w:p w14:paraId="61B1F332">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③施工机械及运输车辆燃油废气</w:t>
      </w:r>
    </w:p>
    <w:p w14:paraId="030E6EAF">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主要来源于土建施工时运输车辆、挖掘机等产生的燃油废气。施工期间，使用机动车运送原材料、设备和建筑机械设备的运转，均会排放一定量的CO、NOx以及未完全燃烧的THC等，其特点是排放量小且属间断性无组织排放。由于其排放量小且属间断性无组织排放，加之施工场地开阔，扩散条件良好，因此对其不加处理后可达到相应的排放标准，在施工期间应多加注意施工设备的维护，使其能够正常的运行，提高设备原料的利用率。</w:t>
      </w:r>
    </w:p>
    <w:p w14:paraId="20B0D7CA">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（3）噪声</w:t>
      </w:r>
    </w:p>
    <w:p w14:paraId="6C4C110E">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施工阶段的噪声主要来自施工机械噪声、施工作业噪声和运输车辆噪声。施工机械噪声由施工机械造成，如挖土机械、打桩机械、</w:t>
      </w:r>
      <w:r>
        <w:rPr>
          <w:rFonts w:hint="eastAsia" w:ascii="Times New Roman" w:hAnsi="Times New Roman" w:eastAsia="宋体" w:cs="Times New Roman"/>
          <w:color w:val="auto"/>
          <w:sz w:val="24"/>
          <w:szCs w:val="24"/>
          <w:u w:val="none" w:color="auto"/>
          <w:lang w:eastAsia="zh-CN"/>
        </w:rPr>
        <w:t>混凝土</w:t>
      </w:r>
      <w:r>
        <w:rPr>
          <w:rFonts w:hint="default" w:ascii="Times New Roman" w:hAnsi="Times New Roman" w:eastAsia="宋体" w:cs="Times New Roman"/>
          <w:color w:val="auto"/>
          <w:sz w:val="24"/>
          <w:szCs w:val="24"/>
          <w:u w:val="none" w:color="auto"/>
        </w:rPr>
        <w:t>搅拌机、升降机等，多为点声源；施工作业噪声主要指一些零星的敲打声、建筑物砌筑时的锤打声、装卸建材的撞击声、施工人员的吆喝声、拆装模板的撞击声等，多为瞬间噪声；运输车辆的噪声属于交通噪声。在这些施工噪声中对声环境影响最大的是施工机械噪声以及振动。</w:t>
      </w:r>
    </w:p>
    <w:p w14:paraId="23CD1817">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物料运输车辆类型及其声级值见表2.3-</w:t>
      </w:r>
      <w:r>
        <w:rPr>
          <w:rFonts w:hint="eastAsia"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w:t>
      </w:r>
    </w:p>
    <w:p w14:paraId="7754810F">
      <w:pPr>
        <w:snapToGrid w:val="0"/>
        <w:spacing w:before="156" w:beforeLines="5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表2.3-</w:t>
      </w:r>
      <w:r>
        <w:rPr>
          <w:rFonts w:hint="eastAsia" w:ascii="Times New Roman" w:hAnsi="Times New Roman" w:eastAsia="宋体" w:cs="Times New Roman"/>
          <w:b/>
          <w:bCs/>
          <w:color w:val="auto"/>
          <w:sz w:val="24"/>
          <w:szCs w:val="24"/>
          <w:u w:val="none" w:color="auto"/>
          <w:lang w:val="en-US" w:eastAsia="zh-CN"/>
        </w:rPr>
        <w:t>2</w:t>
      </w:r>
      <w:r>
        <w:rPr>
          <w:rFonts w:hint="default" w:ascii="Times New Roman" w:hAnsi="Times New Roman" w:eastAsia="宋体" w:cs="Times New Roman"/>
          <w:b/>
          <w:bCs/>
          <w:color w:val="auto"/>
          <w:sz w:val="24"/>
          <w:szCs w:val="24"/>
          <w:u w:val="none" w:color="auto"/>
        </w:rPr>
        <w:t>交通运输车辆噪声</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2C85E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16C7414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施工阶段</w:t>
            </w:r>
          </w:p>
        </w:tc>
        <w:tc>
          <w:tcPr>
            <w:tcW w:w="2130" w:type="dxa"/>
            <w:vAlign w:val="center"/>
          </w:tcPr>
          <w:p w14:paraId="0265C668">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运输内容</w:t>
            </w:r>
          </w:p>
        </w:tc>
        <w:tc>
          <w:tcPr>
            <w:tcW w:w="2131" w:type="dxa"/>
            <w:vAlign w:val="center"/>
          </w:tcPr>
          <w:p w14:paraId="3D83345B">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车辆类型</w:t>
            </w:r>
          </w:p>
        </w:tc>
        <w:tc>
          <w:tcPr>
            <w:tcW w:w="2131" w:type="dxa"/>
            <w:vAlign w:val="center"/>
          </w:tcPr>
          <w:p w14:paraId="369E7AC2">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声源强度[dB(A)]</w:t>
            </w:r>
          </w:p>
        </w:tc>
      </w:tr>
      <w:tr w14:paraId="08AA2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52E73C17">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土方阶段</w:t>
            </w:r>
          </w:p>
        </w:tc>
        <w:tc>
          <w:tcPr>
            <w:tcW w:w="2130" w:type="dxa"/>
            <w:vAlign w:val="center"/>
          </w:tcPr>
          <w:p w14:paraId="6799C11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填方运输</w:t>
            </w:r>
          </w:p>
        </w:tc>
        <w:tc>
          <w:tcPr>
            <w:tcW w:w="2131" w:type="dxa"/>
            <w:vAlign w:val="center"/>
          </w:tcPr>
          <w:p w14:paraId="6654177A">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大型载重车</w:t>
            </w:r>
          </w:p>
        </w:tc>
        <w:tc>
          <w:tcPr>
            <w:tcW w:w="2131" w:type="dxa"/>
            <w:vAlign w:val="center"/>
          </w:tcPr>
          <w:p w14:paraId="3CEB0F0C">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84~89</w:t>
            </w:r>
          </w:p>
        </w:tc>
      </w:tr>
      <w:tr w14:paraId="66A3E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5A6F7F02">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底板及结构阶段</w:t>
            </w:r>
          </w:p>
        </w:tc>
        <w:tc>
          <w:tcPr>
            <w:tcW w:w="2130" w:type="dxa"/>
            <w:vAlign w:val="center"/>
          </w:tcPr>
          <w:p w14:paraId="1A9098D2">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钢筋、商品混凝土</w:t>
            </w:r>
          </w:p>
        </w:tc>
        <w:tc>
          <w:tcPr>
            <w:tcW w:w="2131" w:type="dxa"/>
            <w:vAlign w:val="center"/>
          </w:tcPr>
          <w:p w14:paraId="066B131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混凝土罐车、载重车</w:t>
            </w:r>
          </w:p>
        </w:tc>
        <w:tc>
          <w:tcPr>
            <w:tcW w:w="2131" w:type="dxa"/>
            <w:vAlign w:val="center"/>
          </w:tcPr>
          <w:p w14:paraId="0CE4E57C">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80~85</w:t>
            </w:r>
          </w:p>
        </w:tc>
      </w:tr>
      <w:tr w14:paraId="681C1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670BD7CD">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装修阶段</w:t>
            </w:r>
          </w:p>
        </w:tc>
        <w:tc>
          <w:tcPr>
            <w:tcW w:w="2130" w:type="dxa"/>
            <w:vAlign w:val="center"/>
          </w:tcPr>
          <w:p w14:paraId="35B1F954">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装修材料及必备设备</w:t>
            </w:r>
          </w:p>
        </w:tc>
        <w:tc>
          <w:tcPr>
            <w:tcW w:w="2131" w:type="dxa"/>
            <w:vAlign w:val="center"/>
          </w:tcPr>
          <w:p w14:paraId="22E5C3B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轻型载重卡车</w:t>
            </w:r>
          </w:p>
        </w:tc>
        <w:tc>
          <w:tcPr>
            <w:tcW w:w="2131" w:type="dxa"/>
            <w:vAlign w:val="center"/>
          </w:tcPr>
          <w:p w14:paraId="1995126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75~80</w:t>
            </w:r>
          </w:p>
        </w:tc>
      </w:tr>
    </w:tbl>
    <w:p w14:paraId="77025935">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施工期主要机械设备噪声源强见表2.3-</w:t>
      </w:r>
      <w:r>
        <w:rPr>
          <w:rFonts w:hint="eastAsia" w:ascii="Times New Roman" w:hAnsi="Times New Roman"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，当多台机械设备同时作业时，产生噪声叠加，根据类比调查，叠加后噪声增加3-8dB（A），一般不超过10dB（A）。</w:t>
      </w:r>
    </w:p>
    <w:p w14:paraId="4C6370DC">
      <w:pPr>
        <w:snapToGrid w:val="0"/>
        <w:spacing w:before="156" w:beforeLines="5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表2.3-</w:t>
      </w:r>
      <w:r>
        <w:rPr>
          <w:rFonts w:hint="eastAsia" w:ascii="Times New Roman" w:hAnsi="Times New Roman" w:eastAsia="宋体" w:cs="Times New Roman"/>
          <w:b/>
          <w:bCs/>
          <w:color w:val="auto"/>
          <w:sz w:val="24"/>
          <w:szCs w:val="24"/>
          <w:u w:val="none" w:color="auto"/>
          <w:lang w:val="en-US" w:eastAsia="zh-CN"/>
        </w:rPr>
        <w:t>3</w:t>
      </w:r>
      <w:r>
        <w:rPr>
          <w:rFonts w:hint="default" w:ascii="Times New Roman" w:hAnsi="Times New Roman" w:eastAsia="宋体" w:cs="Times New Roman"/>
          <w:b/>
          <w:bCs/>
          <w:color w:val="auto"/>
          <w:sz w:val="24"/>
          <w:szCs w:val="24"/>
          <w:u w:val="none" w:color="auto"/>
        </w:rPr>
        <w:t>施工期噪声声源源强表单位：dB（A）</w:t>
      </w:r>
    </w:p>
    <w:tbl>
      <w:tblPr>
        <w:tblStyle w:val="3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531"/>
        <w:gridCol w:w="1646"/>
        <w:gridCol w:w="1194"/>
        <w:gridCol w:w="1588"/>
        <w:gridCol w:w="1254"/>
      </w:tblGrid>
      <w:tr w14:paraId="0086E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trPr>
        <w:tc>
          <w:tcPr>
            <w:tcW w:w="1309" w:type="dxa"/>
            <w:vAlign w:val="center"/>
          </w:tcPr>
          <w:p w14:paraId="190BE118">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施工阶段</w:t>
            </w:r>
          </w:p>
        </w:tc>
        <w:tc>
          <w:tcPr>
            <w:tcW w:w="1531" w:type="dxa"/>
            <w:vAlign w:val="center"/>
          </w:tcPr>
          <w:p w14:paraId="7138E4C1">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声源</w:t>
            </w:r>
          </w:p>
        </w:tc>
        <w:tc>
          <w:tcPr>
            <w:tcW w:w="1646" w:type="dxa"/>
            <w:vAlign w:val="center"/>
          </w:tcPr>
          <w:p w14:paraId="1284BA01">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声源强度</w:t>
            </w:r>
          </w:p>
        </w:tc>
        <w:tc>
          <w:tcPr>
            <w:tcW w:w="1194" w:type="dxa"/>
            <w:vAlign w:val="center"/>
          </w:tcPr>
          <w:p w14:paraId="44880BC3">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施工阶段</w:t>
            </w:r>
          </w:p>
        </w:tc>
        <w:tc>
          <w:tcPr>
            <w:tcW w:w="1588" w:type="dxa"/>
            <w:vAlign w:val="center"/>
          </w:tcPr>
          <w:p w14:paraId="15C1ABB3">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声源</w:t>
            </w:r>
          </w:p>
        </w:tc>
        <w:tc>
          <w:tcPr>
            <w:tcW w:w="1254" w:type="dxa"/>
            <w:vAlign w:val="center"/>
          </w:tcPr>
          <w:p w14:paraId="061DC3BF">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声源强度</w:t>
            </w:r>
          </w:p>
        </w:tc>
      </w:tr>
      <w:tr w14:paraId="773B3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restart"/>
            <w:vAlign w:val="center"/>
          </w:tcPr>
          <w:p w14:paraId="4AD4D9B3">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土石方阶段</w:t>
            </w:r>
          </w:p>
        </w:tc>
        <w:tc>
          <w:tcPr>
            <w:tcW w:w="1531" w:type="dxa"/>
            <w:vAlign w:val="center"/>
          </w:tcPr>
          <w:p w14:paraId="05A4F09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挖土机</w:t>
            </w:r>
          </w:p>
        </w:tc>
        <w:tc>
          <w:tcPr>
            <w:tcW w:w="1646" w:type="dxa"/>
            <w:vAlign w:val="center"/>
          </w:tcPr>
          <w:p w14:paraId="71ADBB2F">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78~96</w:t>
            </w:r>
          </w:p>
        </w:tc>
        <w:tc>
          <w:tcPr>
            <w:tcW w:w="1194" w:type="dxa"/>
            <w:vMerge w:val="restart"/>
            <w:vAlign w:val="center"/>
          </w:tcPr>
          <w:p w14:paraId="46B7666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装修、安装阶段</w:t>
            </w:r>
          </w:p>
        </w:tc>
        <w:tc>
          <w:tcPr>
            <w:tcW w:w="1588" w:type="dxa"/>
            <w:vAlign w:val="center"/>
          </w:tcPr>
          <w:p w14:paraId="3490AEAE">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电钻</w:t>
            </w:r>
          </w:p>
        </w:tc>
        <w:tc>
          <w:tcPr>
            <w:tcW w:w="1254" w:type="dxa"/>
            <w:vAlign w:val="center"/>
          </w:tcPr>
          <w:p w14:paraId="33F47ABE">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100~105</w:t>
            </w:r>
          </w:p>
        </w:tc>
      </w:tr>
      <w:tr w14:paraId="0B136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2B829297">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7B7FC13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空压机</w:t>
            </w:r>
          </w:p>
        </w:tc>
        <w:tc>
          <w:tcPr>
            <w:tcW w:w="1646" w:type="dxa"/>
            <w:vAlign w:val="center"/>
          </w:tcPr>
          <w:p w14:paraId="0C1CAE1D">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75~85</w:t>
            </w:r>
          </w:p>
        </w:tc>
        <w:tc>
          <w:tcPr>
            <w:tcW w:w="1194" w:type="dxa"/>
            <w:vMerge w:val="continue"/>
            <w:vAlign w:val="center"/>
          </w:tcPr>
          <w:p w14:paraId="727910C6">
            <w:pPr>
              <w:snapToGrid w:val="0"/>
              <w:jc w:val="center"/>
              <w:rPr>
                <w:rFonts w:hint="default" w:ascii="Times New Roman" w:hAnsi="Times New Roman" w:eastAsia="宋体" w:cs="Times New Roman"/>
                <w:color w:val="auto"/>
                <w:szCs w:val="21"/>
                <w:u w:val="none" w:color="auto"/>
              </w:rPr>
            </w:pPr>
          </w:p>
        </w:tc>
        <w:tc>
          <w:tcPr>
            <w:tcW w:w="1588" w:type="dxa"/>
            <w:vAlign w:val="center"/>
          </w:tcPr>
          <w:p w14:paraId="637833F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手工钻</w:t>
            </w:r>
          </w:p>
        </w:tc>
        <w:tc>
          <w:tcPr>
            <w:tcW w:w="1254" w:type="dxa"/>
            <w:vAlign w:val="center"/>
          </w:tcPr>
          <w:p w14:paraId="1261E68A">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100~105</w:t>
            </w:r>
          </w:p>
        </w:tc>
      </w:tr>
      <w:tr w14:paraId="64046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210F7650">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20E9CED9">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打桩机</w:t>
            </w:r>
          </w:p>
        </w:tc>
        <w:tc>
          <w:tcPr>
            <w:tcW w:w="1646" w:type="dxa"/>
            <w:vAlign w:val="center"/>
          </w:tcPr>
          <w:p w14:paraId="67153496">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95~105</w:t>
            </w:r>
          </w:p>
        </w:tc>
        <w:tc>
          <w:tcPr>
            <w:tcW w:w="1194" w:type="dxa"/>
            <w:vMerge w:val="continue"/>
            <w:vAlign w:val="center"/>
          </w:tcPr>
          <w:p w14:paraId="018F291A">
            <w:pPr>
              <w:snapToGrid w:val="0"/>
              <w:jc w:val="center"/>
              <w:rPr>
                <w:rFonts w:hint="default" w:ascii="Times New Roman" w:hAnsi="Times New Roman" w:eastAsia="宋体" w:cs="Times New Roman"/>
                <w:color w:val="auto"/>
                <w:szCs w:val="21"/>
                <w:u w:val="none" w:color="auto"/>
              </w:rPr>
            </w:pPr>
          </w:p>
        </w:tc>
        <w:tc>
          <w:tcPr>
            <w:tcW w:w="1588" w:type="dxa"/>
            <w:vAlign w:val="center"/>
          </w:tcPr>
          <w:p w14:paraId="1B90EFCB">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无齿锯</w:t>
            </w:r>
          </w:p>
        </w:tc>
        <w:tc>
          <w:tcPr>
            <w:tcW w:w="1254" w:type="dxa"/>
            <w:vAlign w:val="center"/>
          </w:tcPr>
          <w:p w14:paraId="582074B4">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105</w:t>
            </w:r>
          </w:p>
        </w:tc>
      </w:tr>
      <w:tr w14:paraId="66329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20F03BAF">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009B1FBA">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压缩机</w:t>
            </w:r>
          </w:p>
        </w:tc>
        <w:tc>
          <w:tcPr>
            <w:tcW w:w="1646" w:type="dxa"/>
            <w:vAlign w:val="center"/>
          </w:tcPr>
          <w:p w14:paraId="2C8C3C33">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75~4.32</w:t>
            </w:r>
          </w:p>
        </w:tc>
        <w:tc>
          <w:tcPr>
            <w:tcW w:w="1194" w:type="dxa"/>
            <w:vMerge w:val="continue"/>
            <w:vAlign w:val="center"/>
          </w:tcPr>
          <w:p w14:paraId="28EEB8EF">
            <w:pPr>
              <w:snapToGrid w:val="0"/>
              <w:jc w:val="center"/>
              <w:rPr>
                <w:rFonts w:hint="default" w:ascii="Times New Roman" w:hAnsi="Times New Roman" w:eastAsia="宋体" w:cs="Times New Roman"/>
                <w:color w:val="auto"/>
                <w:szCs w:val="21"/>
                <w:u w:val="none" w:color="auto"/>
              </w:rPr>
            </w:pPr>
          </w:p>
        </w:tc>
        <w:tc>
          <w:tcPr>
            <w:tcW w:w="1588" w:type="dxa"/>
            <w:vMerge w:val="restart"/>
            <w:vAlign w:val="center"/>
          </w:tcPr>
          <w:p w14:paraId="33D46B64">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混凝土搅拌机（</w:t>
            </w:r>
            <w:r>
              <w:rPr>
                <w:rFonts w:hint="eastAsia" w:ascii="Times New Roman" w:hAnsi="Times New Roman" w:eastAsia="宋体" w:cs="Times New Roman"/>
                <w:color w:val="auto"/>
                <w:szCs w:val="21"/>
                <w:u w:val="none" w:color="auto"/>
                <w:lang w:eastAsia="zh-CN"/>
              </w:rPr>
              <w:t>砂浆</w:t>
            </w:r>
            <w:r>
              <w:rPr>
                <w:rFonts w:hint="default" w:ascii="Times New Roman" w:hAnsi="Times New Roman" w:eastAsia="宋体" w:cs="Times New Roman"/>
                <w:color w:val="auto"/>
                <w:szCs w:val="21"/>
                <w:u w:val="none" w:color="auto"/>
              </w:rPr>
              <w:t>混合）</w:t>
            </w:r>
          </w:p>
        </w:tc>
        <w:tc>
          <w:tcPr>
            <w:tcW w:w="1254" w:type="dxa"/>
            <w:vMerge w:val="restart"/>
            <w:vAlign w:val="center"/>
          </w:tcPr>
          <w:p w14:paraId="1098C698">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100~110</w:t>
            </w:r>
          </w:p>
        </w:tc>
      </w:tr>
      <w:tr w14:paraId="15CB5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restart"/>
            <w:vAlign w:val="center"/>
          </w:tcPr>
          <w:p w14:paraId="3F54D32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底板与结构阶段</w:t>
            </w:r>
          </w:p>
        </w:tc>
        <w:tc>
          <w:tcPr>
            <w:tcW w:w="1531" w:type="dxa"/>
            <w:vAlign w:val="center"/>
          </w:tcPr>
          <w:p w14:paraId="252E8947">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混凝土输送泵</w:t>
            </w:r>
          </w:p>
        </w:tc>
        <w:tc>
          <w:tcPr>
            <w:tcW w:w="1646" w:type="dxa"/>
            <w:vAlign w:val="center"/>
          </w:tcPr>
          <w:p w14:paraId="0391CE6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90~100</w:t>
            </w:r>
          </w:p>
        </w:tc>
        <w:tc>
          <w:tcPr>
            <w:tcW w:w="1194" w:type="dxa"/>
            <w:vMerge w:val="continue"/>
            <w:vAlign w:val="center"/>
          </w:tcPr>
          <w:p w14:paraId="3689FDBA">
            <w:pPr>
              <w:snapToGrid w:val="0"/>
              <w:jc w:val="center"/>
              <w:rPr>
                <w:rFonts w:hint="default" w:ascii="Times New Roman" w:hAnsi="Times New Roman" w:eastAsia="宋体" w:cs="Times New Roman"/>
                <w:color w:val="auto"/>
                <w:szCs w:val="21"/>
                <w:u w:val="none" w:color="auto"/>
              </w:rPr>
            </w:pPr>
          </w:p>
        </w:tc>
        <w:tc>
          <w:tcPr>
            <w:tcW w:w="1588" w:type="dxa"/>
            <w:vMerge w:val="continue"/>
            <w:vAlign w:val="center"/>
          </w:tcPr>
          <w:p w14:paraId="27FF863B">
            <w:pPr>
              <w:snapToGrid w:val="0"/>
              <w:jc w:val="center"/>
              <w:rPr>
                <w:rFonts w:hint="default" w:ascii="Times New Roman" w:hAnsi="Times New Roman" w:eastAsia="宋体" w:cs="Times New Roman"/>
                <w:color w:val="auto"/>
                <w:szCs w:val="21"/>
                <w:u w:val="none" w:color="auto"/>
              </w:rPr>
            </w:pPr>
          </w:p>
        </w:tc>
        <w:tc>
          <w:tcPr>
            <w:tcW w:w="1254" w:type="dxa"/>
            <w:vMerge w:val="continue"/>
            <w:vAlign w:val="center"/>
          </w:tcPr>
          <w:p w14:paraId="5767D6E7">
            <w:pPr>
              <w:snapToGrid w:val="0"/>
              <w:jc w:val="center"/>
              <w:rPr>
                <w:rFonts w:hint="default" w:ascii="Times New Roman" w:hAnsi="Times New Roman" w:eastAsia="宋体" w:cs="Times New Roman"/>
                <w:color w:val="auto"/>
                <w:szCs w:val="21"/>
                <w:u w:val="none" w:color="auto"/>
              </w:rPr>
            </w:pPr>
          </w:p>
        </w:tc>
      </w:tr>
      <w:tr w14:paraId="64FCF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72D77489">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55F41DCE">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振捣器</w:t>
            </w:r>
          </w:p>
        </w:tc>
        <w:tc>
          <w:tcPr>
            <w:tcW w:w="1646" w:type="dxa"/>
            <w:vAlign w:val="center"/>
          </w:tcPr>
          <w:p w14:paraId="06424E0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100~105</w:t>
            </w:r>
          </w:p>
        </w:tc>
        <w:tc>
          <w:tcPr>
            <w:tcW w:w="1194" w:type="dxa"/>
            <w:vMerge w:val="continue"/>
            <w:vAlign w:val="center"/>
          </w:tcPr>
          <w:p w14:paraId="1EFBBC59">
            <w:pPr>
              <w:snapToGrid w:val="0"/>
              <w:jc w:val="center"/>
              <w:rPr>
                <w:rFonts w:hint="default" w:ascii="Times New Roman" w:hAnsi="Times New Roman" w:eastAsia="宋体" w:cs="Times New Roman"/>
                <w:color w:val="auto"/>
                <w:szCs w:val="21"/>
                <w:u w:val="none" w:color="auto"/>
              </w:rPr>
            </w:pPr>
          </w:p>
        </w:tc>
        <w:tc>
          <w:tcPr>
            <w:tcW w:w="1588" w:type="dxa"/>
            <w:vAlign w:val="center"/>
          </w:tcPr>
          <w:p w14:paraId="07B1A9BC">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云石机</w:t>
            </w:r>
          </w:p>
        </w:tc>
        <w:tc>
          <w:tcPr>
            <w:tcW w:w="1254" w:type="dxa"/>
            <w:vAlign w:val="center"/>
          </w:tcPr>
          <w:p w14:paraId="686CE65A">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100~110</w:t>
            </w:r>
          </w:p>
        </w:tc>
      </w:tr>
      <w:tr w14:paraId="7EBCE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07E6522F">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7B8288EE">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电锯</w:t>
            </w:r>
          </w:p>
        </w:tc>
        <w:tc>
          <w:tcPr>
            <w:tcW w:w="1646" w:type="dxa"/>
            <w:vAlign w:val="center"/>
          </w:tcPr>
          <w:p w14:paraId="0F23D9F7">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100~105</w:t>
            </w:r>
          </w:p>
        </w:tc>
        <w:tc>
          <w:tcPr>
            <w:tcW w:w="1194" w:type="dxa"/>
            <w:vMerge w:val="continue"/>
            <w:vAlign w:val="center"/>
          </w:tcPr>
          <w:p w14:paraId="779A395F">
            <w:pPr>
              <w:snapToGrid w:val="0"/>
              <w:jc w:val="center"/>
              <w:rPr>
                <w:rFonts w:hint="default" w:ascii="Times New Roman" w:hAnsi="Times New Roman" w:eastAsia="宋体" w:cs="Times New Roman"/>
                <w:color w:val="auto"/>
                <w:szCs w:val="21"/>
                <w:u w:val="none" w:color="auto"/>
              </w:rPr>
            </w:pPr>
          </w:p>
        </w:tc>
        <w:tc>
          <w:tcPr>
            <w:tcW w:w="1588" w:type="dxa"/>
            <w:vAlign w:val="center"/>
          </w:tcPr>
          <w:p w14:paraId="1008BAC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角向磨光机</w:t>
            </w:r>
          </w:p>
        </w:tc>
        <w:tc>
          <w:tcPr>
            <w:tcW w:w="1254" w:type="dxa"/>
            <w:vAlign w:val="center"/>
          </w:tcPr>
          <w:p w14:paraId="7BD41020">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100~115</w:t>
            </w:r>
          </w:p>
        </w:tc>
      </w:tr>
      <w:tr w14:paraId="085F8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09" w:type="dxa"/>
            <w:vMerge w:val="continue"/>
            <w:vAlign w:val="center"/>
          </w:tcPr>
          <w:p w14:paraId="2350B3E7">
            <w:pPr>
              <w:snapToGrid w:val="0"/>
              <w:jc w:val="center"/>
              <w:rPr>
                <w:rFonts w:hint="default" w:ascii="Times New Roman" w:hAnsi="Times New Roman" w:eastAsia="宋体" w:cs="Times New Roman"/>
                <w:color w:val="auto"/>
                <w:szCs w:val="21"/>
                <w:u w:val="none" w:color="auto"/>
              </w:rPr>
            </w:pPr>
          </w:p>
        </w:tc>
        <w:tc>
          <w:tcPr>
            <w:tcW w:w="1531" w:type="dxa"/>
            <w:vAlign w:val="center"/>
          </w:tcPr>
          <w:p w14:paraId="2BCEEE9F">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电焊机</w:t>
            </w:r>
          </w:p>
        </w:tc>
        <w:tc>
          <w:tcPr>
            <w:tcW w:w="1646" w:type="dxa"/>
            <w:vAlign w:val="center"/>
          </w:tcPr>
          <w:p w14:paraId="2C7E54A9">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90~95</w:t>
            </w:r>
          </w:p>
        </w:tc>
        <w:tc>
          <w:tcPr>
            <w:tcW w:w="1194" w:type="dxa"/>
            <w:vMerge w:val="continue"/>
            <w:vAlign w:val="center"/>
          </w:tcPr>
          <w:p w14:paraId="71448ED4">
            <w:pPr>
              <w:snapToGrid w:val="0"/>
              <w:jc w:val="center"/>
              <w:rPr>
                <w:rFonts w:hint="default" w:ascii="Times New Roman" w:hAnsi="Times New Roman" w:eastAsia="宋体" w:cs="Times New Roman"/>
                <w:color w:val="auto"/>
                <w:szCs w:val="21"/>
                <w:u w:val="none" w:color="auto"/>
              </w:rPr>
            </w:pPr>
          </w:p>
        </w:tc>
        <w:tc>
          <w:tcPr>
            <w:tcW w:w="1588" w:type="dxa"/>
            <w:vAlign w:val="center"/>
          </w:tcPr>
          <w:p w14:paraId="5B3C3B4D">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空压机</w:t>
            </w:r>
          </w:p>
        </w:tc>
        <w:tc>
          <w:tcPr>
            <w:tcW w:w="1254" w:type="dxa"/>
            <w:vAlign w:val="center"/>
          </w:tcPr>
          <w:p w14:paraId="3CB5FE95">
            <w:pPr>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75~85</w:t>
            </w:r>
          </w:p>
        </w:tc>
      </w:tr>
    </w:tbl>
    <w:p w14:paraId="516780EA">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（4）固体废物</w:t>
      </w:r>
    </w:p>
    <w:p w14:paraId="1D8A33D7">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施工期间固体废物主要来自施工过程产生建筑垃圾和施工人员产生的生活垃圾。</w:t>
      </w:r>
    </w:p>
    <w:p w14:paraId="09363CAF">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①建筑垃圾</w:t>
      </w:r>
    </w:p>
    <w:p w14:paraId="7DF4C8BF">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本项目在建设过程中产生的建筑垃圾主要有建材损耗产生的垃圾、建筑垃圾等，包括砂土、石块、水泥、碎木料、锯木屑、废金属、钢筋、铁丝</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废包装</w:t>
      </w:r>
      <w:r>
        <w:rPr>
          <w:rFonts w:hint="default" w:ascii="Times New Roman" w:hAnsi="Times New Roman" w:eastAsia="宋体" w:cs="Times New Roman"/>
          <w:color w:val="auto"/>
          <w:sz w:val="24"/>
          <w:szCs w:val="24"/>
          <w:u w:val="none" w:color="auto"/>
        </w:rPr>
        <w:t>等杂物。根据类比调查，建筑装修过程的建筑垃圾产生量按每100m</w:t>
      </w:r>
      <w:r>
        <w:rPr>
          <w:rFonts w:hint="default" w:ascii="Times New Roman" w:hAnsi="Times New Roman" w:eastAsia="宋体"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建筑面积产生0.5t估算，本项目新建建筑面积</w:t>
      </w:r>
      <w:r>
        <w:rPr>
          <w:rFonts w:hint="eastAsia" w:ascii="Times New Roman" w:hAnsi="Times New Roman" w:eastAsia="宋体" w:cs="Times New Roman"/>
          <w:color w:val="auto"/>
          <w:sz w:val="24"/>
          <w:szCs w:val="24"/>
          <w:u w:val="none" w:color="auto"/>
          <w:lang w:val="en-US" w:eastAsia="zh-CN"/>
        </w:rPr>
        <w:t>67590.03</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，则施工期建筑垃圾产生量约</w:t>
      </w:r>
      <w:r>
        <w:rPr>
          <w:rFonts w:hint="eastAsia" w:ascii="Times New Roman" w:hAnsi="Times New Roman" w:eastAsia="宋体" w:cs="Times New Roman"/>
          <w:color w:val="auto"/>
          <w:sz w:val="24"/>
          <w:szCs w:val="24"/>
          <w:u w:val="none" w:color="auto"/>
          <w:lang w:val="en-US" w:eastAsia="zh-CN"/>
        </w:rPr>
        <w:t>337.950</w:t>
      </w:r>
      <w:r>
        <w:rPr>
          <w:rFonts w:hint="eastAsia" w:ascii="Times New Roman" w:hAnsi="Times New Roman" w:eastAsia="宋体" w:cs="Times New Roman"/>
          <w:color w:val="auto"/>
          <w:sz w:val="24"/>
          <w:szCs w:val="24"/>
          <w:u w:val="none" w:color="auto"/>
          <w:lang w:eastAsia="zh-CN"/>
        </w:rPr>
        <w:t>t</w:t>
      </w:r>
      <w:r>
        <w:rPr>
          <w:rFonts w:hint="default" w:ascii="Times New Roman" w:hAnsi="Times New Roman" w:eastAsia="宋体" w:cs="Times New Roman"/>
          <w:color w:val="auto"/>
          <w:sz w:val="24"/>
          <w:szCs w:val="24"/>
          <w:u w:val="none" w:color="auto"/>
        </w:rPr>
        <w:t>。</w:t>
      </w:r>
    </w:p>
    <w:p w14:paraId="09BD8D25">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②生活垃圾</w:t>
      </w:r>
    </w:p>
    <w:p w14:paraId="34EE362D">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在施工期间，施工人员日常生活产生生活垃圾，项目施工人数以50人计，生活垃圾产生系数以0.5kg/人·d计，则施工期生活垃圾产生量为25kg/d。</w:t>
      </w:r>
    </w:p>
    <w:p w14:paraId="19091EB5">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53" w:name="_Toc3728180"/>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.3.</w:t>
      </w:r>
      <w:r>
        <w:rPr>
          <w:rFonts w:hint="eastAsia" w:ascii="Times New Roman" w:hAnsi="Times New Roman" w:eastAsia="宋体" w:cs="Times New Roman"/>
          <w:b/>
          <w:color w:val="auto"/>
          <w:kern w:val="0"/>
          <w:sz w:val="28"/>
          <w:szCs w:val="20"/>
          <w:u w:val="none" w:color="auto"/>
        </w:rPr>
        <w:t>2运营期污染源分析</w:t>
      </w:r>
    </w:p>
    <w:p w14:paraId="391605FB">
      <w:pPr>
        <w:snapToGrid w:val="0"/>
        <w:spacing w:line="360" w:lineRule="auto"/>
        <w:ind w:firstLine="482" w:firstLineChars="200"/>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（1）废气</w:t>
      </w:r>
    </w:p>
    <w:p w14:paraId="1E39667F">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本项目运营期废气主要包括切割废气G1、焊接废气G2、抛丸废气G3、喷砂废气G4、喷漆废气G5</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危废仓库废气G6</w:t>
      </w:r>
      <w:r>
        <w:rPr>
          <w:rFonts w:ascii="Times New Roman" w:hAnsi="Times New Roman" w:eastAsia="宋体" w:cs="Times New Roman"/>
          <w:color w:val="auto"/>
          <w:sz w:val="24"/>
          <w:szCs w:val="24"/>
          <w:u w:val="none" w:color="auto"/>
        </w:rPr>
        <w:t>等。</w:t>
      </w:r>
    </w:p>
    <w:p w14:paraId="015D8CD9">
      <w:pPr>
        <w:snapToGrid w:val="0"/>
        <w:spacing w:line="360" w:lineRule="auto"/>
        <w:ind w:firstLine="482" w:firstLineChars="200"/>
        <w:rPr>
          <w:rFonts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1）</w:t>
      </w:r>
      <w:r>
        <w:rPr>
          <w:rFonts w:ascii="Times New Roman" w:hAnsi="Times New Roman" w:eastAsia="宋体" w:cs="Times New Roman"/>
          <w:b/>
          <w:bCs/>
          <w:color w:val="auto"/>
          <w:sz w:val="24"/>
          <w:szCs w:val="24"/>
          <w:u w:val="single" w:color="auto"/>
        </w:rPr>
        <w:t>切割废气G1</w:t>
      </w:r>
    </w:p>
    <w:p w14:paraId="7B063441">
      <w:pPr>
        <w:pStyle w:val="35"/>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textAlignment w:val="auto"/>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本项目钢板下料切割和坡口切割均在</w:t>
      </w:r>
      <w:r>
        <w:rPr>
          <w:rFonts w:hint="eastAsia" w:ascii="Times New Roman" w:hAnsi="Times New Roman" w:eastAsia="宋体" w:cs="Times New Roman"/>
          <w:color w:val="auto"/>
          <w:sz w:val="24"/>
          <w:szCs w:val="24"/>
          <w:u w:val="single" w:color="auto"/>
          <w:lang w:val="en-US" w:eastAsia="zh-CN"/>
        </w:rPr>
        <w:t>装焊</w:t>
      </w:r>
      <w:r>
        <w:rPr>
          <w:rFonts w:hint="default" w:ascii="Times New Roman" w:hAnsi="Times New Roman" w:eastAsia="宋体" w:cs="Times New Roman"/>
          <w:color w:val="auto"/>
          <w:sz w:val="24"/>
          <w:szCs w:val="24"/>
          <w:u w:val="single" w:color="auto"/>
          <w:lang w:val="en-US" w:eastAsia="zh-CN"/>
        </w:rPr>
        <w:t>车间</w:t>
      </w:r>
      <w:r>
        <w:rPr>
          <w:rFonts w:hint="default" w:ascii="Times New Roman" w:hAnsi="Times New Roman" w:eastAsia="宋体" w:cs="Times New Roman"/>
          <w:color w:val="auto"/>
          <w:sz w:val="24"/>
          <w:szCs w:val="24"/>
          <w:u w:val="single" w:color="auto"/>
        </w:rPr>
        <w:t>进行，年工作为7920h。本项目利用氧气和丙烷对钢板进行加工，丙烷及氧气燃烧生成二氧化碳及水，在切割过程中将产生少量的切割粉尘，主要成分为氧化铁、氧化锌等金属氧化物颗粒。</w:t>
      </w:r>
    </w:p>
    <w:p w14:paraId="4C590BB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u w:val="single" w:color="auto"/>
          <w:lang w:eastAsia="zh-CN"/>
        </w:rPr>
      </w:pPr>
      <w:r>
        <w:rPr>
          <w:rFonts w:hint="default" w:ascii="Times New Roman" w:hAnsi="Times New Roman" w:eastAsia="宋体" w:cs="Times New Roman"/>
          <w:color w:val="auto"/>
          <w:sz w:val="24"/>
          <w:szCs w:val="24"/>
          <w:u w:val="single" w:color="auto"/>
        </w:rPr>
        <w:t>根据</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04下料工段的产物系数可知，氧气切割钢板颗粒物产污系数为1.5千克/吨原料，本项目加工钢板约</w:t>
      </w:r>
      <w:r>
        <w:rPr>
          <w:rFonts w:hint="default" w:ascii="Times New Roman" w:hAnsi="Times New Roman" w:eastAsia="宋体" w:cs="Times New Roman"/>
          <w:color w:val="auto"/>
          <w:sz w:val="24"/>
          <w:szCs w:val="24"/>
          <w:u w:val="single" w:color="auto"/>
          <w:lang w:val="en-US" w:eastAsia="zh-CN"/>
        </w:rPr>
        <w:t>16.25</w:t>
      </w:r>
      <w:r>
        <w:rPr>
          <w:rFonts w:hint="default" w:ascii="Times New Roman" w:hAnsi="Times New Roman" w:eastAsia="宋体" w:cs="Times New Roman"/>
          <w:color w:val="auto"/>
          <w:sz w:val="24"/>
          <w:szCs w:val="24"/>
          <w:u w:val="single" w:color="auto"/>
        </w:rPr>
        <w:t>万t/a，</w:t>
      </w:r>
      <w:r>
        <w:rPr>
          <w:rFonts w:hint="eastAsia" w:ascii="Times New Roman" w:hAnsi="Times New Roman" w:eastAsia="宋体" w:cs="Times New Roman"/>
          <w:color w:val="auto"/>
          <w:sz w:val="24"/>
          <w:szCs w:val="24"/>
          <w:u w:val="single" w:color="auto"/>
          <w:lang w:val="en-US" w:eastAsia="zh-CN"/>
        </w:rPr>
        <w:t>装焊</w:t>
      </w:r>
      <w:r>
        <w:rPr>
          <w:rFonts w:hint="default" w:ascii="Times New Roman" w:hAnsi="Times New Roman" w:eastAsia="宋体" w:cs="Times New Roman"/>
          <w:color w:val="auto"/>
          <w:sz w:val="24"/>
          <w:szCs w:val="24"/>
          <w:u w:val="single" w:color="auto"/>
          <w:lang w:val="en-US" w:eastAsia="zh-CN"/>
        </w:rPr>
        <w:t>车间</w:t>
      </w:r>
      <w:r>
        <w:rPr>
          <w:rFonts w:hint="default" w:ascii="Times New Roman" w:hAnsi="Times New Roman" w:eastAsia="宋体" w:cs="Times New Roman"/>
          <w:color w:val="auto"/>
          <w:sz w:val="24"/>
          <w:szCs w:val="24"/>
          <w:u w:val="single" w:color="auto"/>
        </w:rPr>
        <w:t>加工钢板约</w:t>
      </w:r>
      <w:r>
        <w:rPr>
          <w:rFonts w:hint="default" w:ascii="Times New Roman" w:hAnsi="Times New Roman" w:eastAsia="宋体" w:cs="Times New Roman"/>
          <w:color w:val="auto"/>
          <w:sz w:val="24"/>
          <w:szCs w:val="24"/>
          <w:u w:val="single" w:color="auto"/>
          <w:lang w:val="en-US" w:eastAsia="zh-CN"/>
        </w:rPr>
        <w:t>16.25</w:t>
      </w:r>
      <w:r>
        <w:rPr>
          <w:rFonts w:hint="default" w:ascii="Times New Roman" w:hAnsi="Times New Roman" w:eastAsia="宋体" w:cs="Times New Roman"/>
          <w:color w:val="auto"/>
          <w:sz w:val="24"/>
          <w:szCs w:val="24"/>
          <w:u w:val="single" w:color="auto"/>
        </w:rPr>
        <w:t>万t/a，则</w:t>
      </w:r>
      <w:r>
        <w:rPr>
          <w:rFonts w:hint="eastAsia" w:ascii="Times New Roman" w:hAnsi="Times New Roman" w:eastAsia="宋体" w:cs="Times New Roman"/>
          <w:color w:val="auto"/>
          <w:sz w:val="24"/>
          <w:szCs w:val="24"/>
          <w:u w:val="single" w:color="auto"/>
          <w:lang w:val="en-US" w:eastAsia="zh-CN"/>
        </w:rPr>
        <w:t>装焊车间</w:t>
      </w:r>
      <w:r>
        <w:rPr>
          <w:rFonts w:hint="default" w:ascii="Times New Roman" w:hAnsi="Times New Roman" w:eastAsia="宋体" w:cs="Times New Roman"/>
          <w:color w:val="auto"/>
          <w:sz w:val="24"/>
          <w:szCs w:val="24"/>
          <w:u w:val="single" w:color="auto"/>
        </w:rPr>
        <w:t>钢板切割粉尘产生量约为</w:t>
      </w:r>
      <w:r>
        <w:rPr>
          <w:rFonts w:hint="default" w:ascii="Times New Roman" w:hAnsi="Times New Roman" w:eastAsia="宋体" w:cs="Times New Roman"/>
          <w:color w:val="auto"/>
          <w:sz w:val="24"/>
          <w:szCs w:val="24"/>
          <w:u w:val="single" w:color="auto"/>
          <w:lang w:val="en-US" w:eastAsia="zh-CN"/>
        </w:rPr>
        <w:t>243.75</w:t>
      </w:r>
      <w:r>
        <w:rPr>
          <w:rFonts w:hint="default" w:ascii="Times New Roman" w:hAnsi="Times New Roman" w:eastAsia="宋体" w:cs="Times New Roman"/>
          <w:color w:val="auto"/>
          <w:sz w:val="24"/>
          <w:szCs w:val="24"/>
          <w:u w:val="single" w:color="auto"/>
        </w:rPr>
        <w:t>t/a，</w:t>
      </w:r>
      <w:r>
        <w:rPr>
          <w:rFonts w:hint="default" w:ascii="Times New Roman" w:hAnsi="Times New Roman" w:eastAsia="宋体" w:cs="Times New Roman"/>
          <w:color w:val="auto"/>
          <w:sz w:val="24"/>
          <w:szCs w:val="24"/>
          <w:u w:val="single" w:color="auto"/>
          <w:lang w:val="en-US" w:eastAsia="zh-CN"/>
        </w:rPr>
        <w:t>30.777</w:t>
      </w:r>
      <w:r>
        <w:rPr>
          <w:rFonts w:hint="default" w:ascii="Times New Roman" w:hAnsi="Times New Roman" w:eastAsia="宋体" w:cs="Times New Roman"/>
          <w:color w:val="auto"/>
          <w:sz w:val="24"/>
          <w:szCs w:val="24"/>
          <w:u w:val="single" w:color="auto"/>
        </w:rPr>
        <w:t>kg/h。建设单位在切割工段作业部位（移动工位）设侧吸风罩，切割工段作业部位（移动工位）产尘点较小，收集的粉尘经移动式除尘净化器处理，净化后废气在车间内无组织排放</w:t>
      </w:r>
      <w:r>
        <w:rPr>
          <w:rFonts w:hint="default" w:ascii="Times New Roman" w:hAnsi="Times New Roman" w:eastAsia="宋体" w:cs="Times New Roman"/>
          <w:color w:val="auto"/>
          <w:sz w:val="24"/>
          <w:szCs w:val="24"/>
          <w:u w:val="single" w:color="auto"/>
          <w:lang w:eastAsia="zh-CN"/>
        </w:rPr>
        <w:t>。</w:t>
      </w:r>
    </w:p>
    <w:p w14:paraId="10A8A4E0">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收集效率参考《广东省工业源挥发性有机物减排量核算方法（2023年修订版）》，外部集气罩-相应工位所有逸散点控制风速不小于0.3m/s，收集效率可按30%计。根据</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04下料工段可知，</w:t>
      </w:r>
      <w:r>
        <w:rPr>
          <w:rFonts w:hint="eastAsia" w:ascii="Times New Roman" w:hAnsi="Times New Roman" w:eastAsia="宋体" w:cs="Times New Roman"/>
          <w:color w:val="auto"/>
          <w:sz w:val="24"/>
          <w:szCs w:val="28"/>
          <w:u w:val="single" w:color="auto"/>
        </w:rPr>
        <w:t>颗粒物末端治理技术</w:t>
      </w:r>
      <w:r>
        <w:rPr>
          <w:rFonts w:hint="eastAsia" w:ascii="Times New Roman" w:hAnsi="Times New Roman" w:eastAsia="宋体" w:cs="Times New Roman"/>
          <w:color w:val="auto"/>
          <w:sz w:val="24"/>
          <w:szCs w:val="24"/>
          <w:u w:val="single" w:color="auto"/>
          <w:lang w:val="en-US" w:eastAsia="zh-CN"/>
        </w:rPr>
        <w:t>袋式除尘</w:t>
      </w:r>
      <w:r>
        <w:rPr>
          <w:rFonts w:hint="eastAsia" w:ascii="Times New Roman" w:hAnsi="Times New Roman" w:eastAsia="宋体" w:cs="Times New Roman"/>
          <w:color w:val="auto"/>
          <w:sz w:val="24"/>
          <w:szCs w:val="28"/>
          <w:u w:val="single" w:color="auto"/>
        </w:rPr>
        <w:t>效率可按</w:t>
      </w:r>
      <w:r>
        <w:rPr>
          <w:rFonts w:ascii="Times New Roman" w:hAnsi="Times New Roman" w:eastAsia="宋体" w:cs="Times New Roman"/>
          <w:color w:val="auto"/>
          <w:sz w:val="24"/>
          <w:szCs w:val="28"/>
          <w:u w:val="single" w:color="auto"/>
        </w:rPr>
        <w:t>95%</w:t>
      </w:r>
      <w:r>
        <w:rPr>
          <w:rFonts w:hint="eastAsia" w:ascii="Times New Roman" w:hAnsi="Times New Roman" w:eastAsia="宋体" w:cs="Times New Roman"/>
          <w:color w:val="auto"/>
          <w:sz w:val="24"/>
          <w:szCs w:val="28"/>
          <w:u w:val="single" w:color="auto"/>
        </w:rPr>
        <w:t>计</w:t>
      </w:r>
      <w:r>
        <w:rPr>
          <w:rFonts w:hint="eastAsia" w:ascii="Times New Roman" w:hAnsi="Times New Roman" w:eastAsia="宋体" w:cs="Times New Roman"/>
          <w:color w:val="auto"/>
          <w:sz w:val="24"/>
          <w:szCs w:val="28"/>
          <w:u w:val="single" w:color="auto"/>
          <w:lang w:eastAsia="zh-CN"/>
        </w:rPr>
        <w:t>。</w:t>
      </w:r>
      <w:r>
        <w:rPr>
          <w:rFonts w:hint="default" w:ascii="Times New Roman" w:hAnsi="Times New Roman" w:eastAsia="宋体" w:cs="Times New Roman"/>
          <w:color w:val="auto"/>
          <w:sz w:val="24"/>
          <w:szCs w:val="24"/>
          <w:u w:val="single" w:color="auto"/>
          <w:lang w:val="en-US" w:eastAsia="zh-CN"/>
        </w:rPr>
        <w:t>根据《大气污染物综合排放标准》（GB16297-1996）复核调研和国家环保总局《大气污染物排放达标技术指南》课题调查资料表明，金属粉尘等质量较大的颗粒物，沉降较快，即使较细小的金属粉尘随机械运动，在空气中停留</w:t>
      </w:r>
      <w:r>
        <w:rPr>
          <w:rFonts w:hint="eastAsia" w:ascii="Times New Roman" w:hAnsi="Times New Roman" w:eastAsia="宋体" w:cs="Times New Roman"/>
          <w:color w:val="auto"/>
          <w:sz w:val="24"/>
          <w:szCs w:val="24"/>
          <w:u w:val="single" w:color="auto"/>
          <w:lang w:val="en-US" w:eastAsia="zh-CN"/>
        </w:rPr>
        <w:t>短暂</w:t>
      </w:r>
      <w:r>
        <w:rPr>
          <w:rFonts w:hint="default" w:ascii="Times New Roman" w:hAnsi="Times New Roman" w:eastAsia="宋体" w:cs="Times New Roman"/>
          <w:color w:val="auto"/>
          <w:sz w:val="24"/>
          <w:szCs w:val="24"/>
          <w:u w:val="single" w:color="auto"/>
          <w:lang w:val="en-US" w:eastAsia="zh-CN"/>
        </w:rPr>
        <w:t>时间后也将沉降于地面。参考《未纳入排污许可管理行业适用的排污系数物料衡算方法（试行）》（原环境保护部公告 2017</w:t>
      </w:r>
      <w:r>
        <w:rPr>
          <w:rFonts w:hint="eastAsia" w:ascii="Times New Roman" w:hAnsi="Times New Roman" w:eastAsia="宋体" w:cs="Times New Roman"/>
          <w:color w:val="auto"/>
          <w:sz w:val="24"/>
          <w:szCs w:val="24"/>
          <w:u w:val="single" w:color="auto"/>
          <w:lang w:val="en-US" w:eastAsia="zh-CN"/>
        </w:rPr>
        <w:t>年第</w:t>
      </w:r>
      <w:r>
        <w:rPr>
          <w:rFonts w:hint="default" w:ascii="Times New Roman" w:hAnsi="Times New Roman" w:eastAsia="宋体" w:cs="Times New Roman"/>
          <w:color w:val="auto"/>
          <w:sz w:val="24"/>
          <w:szCs w:val="24"/>
          <w:u w:val="single" w:color="auto"/>
          <w:lang w:val="en-US" w:eastAsia="zh-CN"/>
        </w:rPr>
        <w:t>81号）中“47 锯材加工业”的系数，车间在不装除尘设备的情况下，重力沉降法的效率约为85%。金属粉尘比重大于木质粉尘，金属粉尘较木质粉尘更易沉降，则金属粉尘沉降率按90%计。项目</w:t>
      </w:r>
      <w:r>
        <w:rPr>
          <w:rFonts w:hint="eastAsia" w:ascii="Times New Roman" w:hAnsi="Times New Roman" w:eastAsia="宋体" w:cs="Times New Roman"/>
          <w:color w:val="auto"/>
          <w:sz w:val="24"/>
          <w:szCs w:val="24"/>
          <w:u w:val="single" w:color="auto"/>
          <w:lang w:val="en-US" w:eastAsia="zh-CN"/>
        </w:rPr>
        <w:t>30</w:t>
      </w:r>
      <w:r>
        <w:rPr>
          <w:rFonts w:hint="default" w:ascii="Times New Roman" w:hAnsi="Times New Roman" w:eastAsia="宋体" w:cs="Times New Roman"/>
          <w:color w:val="auto"/>
          <w:sz w:val="24"/>
          <w:szCs w:val="24"/>
          <w:u w:val="single" w:color="auto"/>
          <w:lang w:val="en-US" w:eastAsia="zh-CN"/>
        </w:rPr>
        <w:t>%采用</w:t>
      </w:r>
      <w:r>
        <w:rPr>
          <w:rFonts w:hint="default" w:ascii="Times New Roman" w:hAnsi="Times New Roman" w:eastAsia="宋体" w:cs="Times New Roman"/>
          <w:color w:val="auto"/>
          <w:sz w:val="24"/>
          <w:szCs w:val="24"/>
          <w:u w:val="single" w:color="auto"/>
        </w:rPr>
        <w:t>侧吸风罩</w:t>
      </w:r>
      <w:r>
        <w:rPr>
          <w:rFonts w:hint="default" w:ascii="Times New Roman" w:hAnsi="Times New Roman" w:eastAsia="宋体" w:cs="Times New Roman"/>
          <w:color w:val="auto"/>
          <w:sz w:val="24"/>
          <w:szCs w:val="24"/>
          <w:u w:val="single" w:color="auto"/>
          <w:lang w:val="en-US" w:eastAsia="zh-CN"/>
        </w:rPr>
        <w:t>收集</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其余</w:t>
      </w:r>
      <w:r>
        <w:rPr>
          <w:rFonts w:hint="eastAsia" w:ascii="Times New Roman" w:hAnsi="Times New Roman" w:eastAsia="宋体" w:cs="Times New Roman"/>
          <w:color w:val="auto"/>
          <w:sz w:val="24"/>
          <w:szCs w:val="24"/>
          <w:u w:val="single" w:color="auto"/>
          <w:lang w:val="en-US" w:eastAsia="zh-CN"/>
        </w:rPr>
        <w:t>7</w:t>
      </w:r>
      <w:r>
        <w:rPr>
          <w:rFonts w:hint="default" w:ascii="Times New Roman" w:hAnsi="Times New Roman" w:eastAsia="宋体" w:cs="Times New Roman"/>
          <w:color w:val="auto"/>
          <w:sz w:val="24"/>
          <w:szCs w:val="24"/>
          <w:u w:val="single" w:color="auto"/>
          <w:lang w:val="en-US" w:eastAsia="zh-CN"/>
        </w:rPr>
        <w:t>0%的下料切割粉尘</w:t>
      </w:r>
      <w:r>
        <w:rPr>
          <w:rFonts w:hint="eastAsia" w:ascii="Times New Roman" w:hAnsi="Times New Roman" w:eastAsia="宋体" w:cs="Times New Roman"/>
          <w:color w:val="auto"/>
          <w:sz w:val="24"/>
          <w:szCs w:val="24"/>
          <w:u w:val="single" w:color="auto"/>
          <w:lang w:val="en-US" w:eastAsia="zh-CN"/>
        </w:rPr>
        <w:t>按90%</w:t>
      </w:r>
      <w:r>
        <w:rPr>
          <w:rFonts w:hint="default" w:ascii="Times New Roman" w:hAnsi="Times New Roman" w:eastAsia="宋体" w:cs="Times New Roman"/>
          <w:color w:val="auto"/>
          <w:sz w:val="24"/>
          <w:szCs w:val="24"/>
          <w:u w:val="single" w:color="auto"/>
          <w:lang w:val="en-US" w:eastAsia="zh-CN"/>
        </w:rPr>
        <w:t>直接沉降至工位附近，</w:t>
      </w:r>
      <w:r>
        <w:rPr>
          <w:rFonts w:hint="default" w:ascii="Times New Roman" w:hAnsi="Times New Roman" w:eastAsia="宋体" w:cs="Times New Roman"/>
          <w:color w:val="auto"/>
          <w:sz w:val="24"/>
          <w:szCs w:val="24"/>
          <w:u w:val="single" w:color="auto"/>
        </w:rPr>
        <w:t>切</w:t>
      </w:r>
      <w:r>
        <w:rPr>
          <w:rFonts w:hint="default" w:ascii="Times New Roman" w:hAnsi="Times New Roman" w:eastAsia="宋体" w:cs="Times New Roman"/>
          <w:color w:val="auto"/>
          <w:sz w:val="24"/>
          <w:szCs w:val="24"/>
          <w:u w:val="single" w:color="auto"/>
          <w:lang w:val="en-US" w:eastAsia="zh-CN"/>
        </w:rPr>
        <w:t>割粉尘</w:t>
      </w:r>
      <w:r>
        <w:rPr>
          <w:rFonts w:hint="default" w:ascii="Times New Roman" w:hAnsi="Times New Roman" w:eastAsia="宋体" w:cs="Times New Roman"/>
          <w:color w:val="auto"/>
          <w:sz w:val="24"/>
          <w:szCs w:val="24"/>
          <w:u w:val="single" w:color="auto"/>
        </w:rPr>
        <w:t>收集的粉尘经移动式除尘净化器处理，净化后废气在车间内无组织排放</w:t>
      </w:r>
      <w:r>
        <w:rPr>
          <w:rFonts w:hint="default"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则本项目</w:t>
      </w:r>
      <w:r>
        <w:rPr>
          <w:rFonts w:hint="eastAsia" w:ascii="Times New Roman" w:hAnsi="Times New Roman" w:eastAsia="宋体" w:cs="Times New Roman"/>
          <w:color w:val="auto"/>
          <w:sz w:val="24"/>
          <w:szCs w:val="24"/>
          <w:u w:val="single" w:color="auto"/>
          <w:lang w:eastAsia="zh-CN"/>
        </w:rPr>
        <w:t>装焊车间</w:t>
      </w:r>
      <w:r>
        <w:rPr>
          <w:rFonts w:ascii="Times New Roman" w:hAnsi="Times New Roman" w:eastAsia="宋体" w:cs="Times New Roman"/>
          <w:color w:val="auto"/>
          <w:sz w:val="24"/>
          <w:szCs w:val="24"/>
          <w:u w:val="single" w:color="auto"/>
        </w:rPr>
        <w:t>切割粉尘无组织排放量为</w:t>
      </w:r>
      <w:r>
        <w:rPr>
          <w:rFonts w:hint="eastAsia" w:ascii="Times New Roman" w:hAnsi="Times New Roman" w:eastAsia="宋体" w:cs="Times New Roman"/>
          <w:color w:val="auto"/>
          <w:sz w:val="24"/>
          <w:szCs w:val="24"/>
          <w:u w:val="single" w:color="auto"/>
          <w:lang w:val="en-US" w:eastAsia="zh-CN"/>
        </w:rPr>
        <w:t>20.719</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2.616</w:t>
      </w:r>
      <w:r>
        <w:rPr>
          <w:rFonts w:ascii="Times New Roman" w:hAnsi="Times New Roman" w:eastAsia="宋体" w:cs="Times New Roman"/>
          <w:color w:val="auto"/>
          <w:sz w:val="24"/>
          <w:szCs w:val="24"/>
          <w:u w:val="single" w:color="auto"/>
        </w:rPr>
        <w:t>kg/h）。</w:t>
      </w:r>
    </w:p>
    <w:p w14:paraId="6163CE4E">
      <w:pPr>
        <w:snapToGrid w:val="0"/>
        <w:spacing w:line="360" w:lineRule="auto"/>
        <w:ind w:firstLine="482" w:firstLineChars="200"/>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2）</w:t>
      </w:r>
      <w:r>
        <w:rPr>
          <w:rFonts w:ascii="Times New Roman" w:hAnsi="Times New Roman" w:eastAsia="宋体" w:cs="Times New Roman"/>
          <w:b/>
          <w:bCs/>
          <w:color w:val="auto"/>
          <w:sz w:val="24"/>
          <w:szCs w:val="24"/>
          <w:u w:val="none" w:color="auto"/>
        </w:rPr>
        <w:t>焊接废气G2</w:t>
      </w:r>
    </w:p>
    <w:p w14:paraId="76B1A09F">
      <w:pPr>
        <w:pStyle w:val="35"/>
        <w:spacing w:after="0" w:line="360" w:lineRule="auto"/>
        <w:ind w:firstLine="480" w:firstLineChars="200"/>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w:t>
      </w:r>
      <w:r>
        <w:rPr>
          <w:rFonts w:hint="eastAsia" w:ascii="Times New Roman" w:hAnsi="Times New Roman" w:eastAsia="宋体" w:cs="Times New Roman"/>
          <w:color w:val="auto"/>
          <w:sz w:val="24"/>
          <w:szCs w:val="24"/>
          <w:u w:val="none" w:color="auto"/>
        </w:rPr>
        <w:t>项目需对钢材进行焊接，项目选用二氧化碳气体保护焊焊接，</w:t>
      </w:r>
      <w:r>
        <w:rPr>
          <w:rFonts w:ascii="Times New Roman" w:hAnsi="Times New Roman" w:eastAsia="宋体" w:cs="Times New Roman"/>
          <w:color w:val="auto"/>
          <w:sz w:val="24"/>
          <w:szCs w:val="24"/>
          <w:u w:val="none" w:color="auto"/>
        </w:rPr>
        <w:t>根据建设单位提供的资料，</w:t>
      </w:r>
      <w:r>
        <w:rPr>
          <w:rFonts w:hint="eastAsia" w:ascii="Times New Roman" w:hAnsi="Times New Roman" w:eastAsia="宋体" w:cs="Times New Roman"/>
          <w:color w:val="auto"/>
          <w:sz w:val="24"/>
          <w:szCs w:val="24"/>
          <w:u w:val="none" w:color="auto"/>
        </w:rPr>
        <w:t>项目使用药芯焊条和实芯焊条，药芯焊条和实芯焊条的成分为主要为金属氧化物，其中以铁的氧化物为主，还含有非金属氧化物、氟化物、各种盐以及一氧化氮、臭氧和氮氧化物，参考</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9</w:t>
      </w:r>
      <w:r>
        <w:rPr>
          <w:rFonts w:ascii="Times New Roman" w:hAnsi="Times New Roman" w:eastAsia="宋体" w:cs="Times New Roman"/>
          <w:color w:val="auto"/>
          <w:sz w:val="24"/>
          <w:szCs w:val="24"/>
          <w:u w:val="none" w:color="auto"/>
        </w:rPr>
        <w:t>焊接</w:t>
      </w:r>
      <w:r>
        <w:rPr>
          <w:rFonts w:hint="eastAsia" w:ascii="Times New Roman" w:hAnsi="Times New Roman" w:eastAsia="宋体" w:cs="Times New Roman"/>
          <w:color w:val="auto"/>
          <w:sz w:val="24"/>
          <w:szCs w:val="24"/>
          <w:u w:val="none" w:color="auto"/>
          <w:lang w:val="en-US" w:eastAsia="zh-CN"/>
        </w:rPr>
        <w:t>工段可知，</w:t>
      </w:r>
      <w:r>
        <w:rPr>
          <w:rFonts w:hint="eastAsia" w:ascii="Times New Roman" w:hAnsi="Times New Roman" w:eastAsia="宋体" w:cs="Times New Roman"/>
          <w:color w:val="auto"/>
          <w:sz w:val="24"/>
          <w:szCs w:val="24"/>
          <w:u w:val="none" w:color="auto"/>
        </w:rPr>
        <w:t>药</w:t>
      </w:r>
      <w:r>
        <w:rPr>
          <w:rFonts w:ascii="Times New Roman" w:hAnsi="Times New Roman" w:eastAsia="宋体" w:cs="Times New Roman"/>
          <w:color w:val="auto"/>
          <w:sz w:val="24"/>
          <w:szCs w:val="24"/>
          <w:u w:val="none" w:color="auto"/>
        </w:rPr>
        <w:t>芯焊丝颗粒物的产污系数为</w:t>
      </w:r>
      <w:r>
        <w:rPr>
          <w:rFonts w:hint="eastAsia" w:ascii="Times New Roman" w:hAnsi="Times New Roman" w:eastAsia="宋体" w:cs="Times New Roman"/>
          <w:color w:val="auto"/>
          <w:sz w:val="24"/>
          <w:szCs w:val="24"/>
          <w:u w:val="none" w:color="auto"/>
          <w:lang w:eastAsia="zh-CN"/>
        </w:rPr>
        <w:t>：</w:t>
      </w:r>
      <w:r>
        <w:rPr>
          <w:rFonts w:ascii="Times New Roman" w:hAnsi="Times New Roman" w:eastAsia="宋体" w:cs="Times New Roman"/>
          <w:color w:val="auto"/>
          <w:sz w:val="24"/>
          <w:szCs w:val="24"/>
          <w:u w:val="none" w:color="auto"/>
        </w:rPr>
        <w:t>颗粒物</w:t>
      </w:r>
      <w:r>
        <w:rPr>
          <w:rFonts w:hint="eastAsia" w:ascii="Times New Roman" w:hAnsi="Times New Roman" w:eastAsia="宋体" w:cs="Times New Roman"/>
          <w:color w:val="auto"/>
          <w:sz w:val="24"/>
          <w:szCs w:val="24"/>
          <w:u w:val="none" w:color="auto"/>
        </w:rPr>
        <w:t>20.5</w:t>
      </w:r>
      <w:r>
        <w:rPr>
          <w:rFonts w:ascii="Times New Roman" w:hAnsi="Times New Roman" w:eastAsia="宋体" w:cs="Times New Roman"/>
          <w:color w:val="auto"/>
          <w:sz w:val="24"/>
          <w:szCs w:val="24"/>
          <w:u w:val="none" w:color="auto"/>
        </w:rPr>
        <w:t>kg/吨-原料</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rPr>
        <w:t>焊接工序</w:t>
      </w:r>
      <w:r>
        <w:rPr>
          <w:rFonts w:ascii="Times New Roman" w:hAnsi="Times New Roman" w:eastAsia="宋体" w:cs="Times New Roman"/>
          <w:color w:val="auto"/>
          <w:sz w:val="24"/>
          <w:szCs w:val="24"/>
          <w:u w:val="none" w:color="auto"/>
        </w:rPr>
        <w:t>的实芯焊丝颗粒物的产污系数为</w:t>
      </w:r>
      <w:r>
        <w:rPr>
          <w:rFonts w:hint="eastAsia" w:ascii="Times New Roman" w:hAnsi="Times New Roman" w:eastAsia="宋体" w:cs="Times New Roman"/>
          <w:color w:val="auto"/>
          <w:sz w:val="24"/>
          <w:szCs w:val="24"/>
          <w:u w:val="none" w:color="auto"/>
          <w:lang w:eastAsia="zh-CN"/>
        </w:rPr>
        <w:t>：</w:t>
      </w:r>
      <w:r>
        <w:rPr>
          <w:rFonts w:ascii="Times New Roman" w:hAnsi="Times New Roman" w:eastAsia="宋体" w:cs="Times New Roman"/>
          <w:color w:val="auto"/>
          <w:sz w:val="24"/>
          <w:szCs w:val="24"/>
          <w:u w:val="none" w:color="auto"/>
        </w:rPr>
        <w:t>颗粒物9.19kg/吨-原料</w:t>
      </w:r>
      <w:r>
        <w:rPr>
          <w:rFonts w:hint="eastAsia" w:ascii="Times New Roman" w:hAnsi="Times New Roman" w:eastAsia="宋体" w:cs="Times New Roman"/>
          <w:color w:val="auto"/>
          <w:sz w:val="24"/>
          <w:szCs w:val="24"/>
          <w:u w:val="none" w:color="auto"/>
          <w:lang w:eastAsia="zh-CN"/>
        </w:rPr>
        <w:t>。</w:t>
      </w:r>
    </w:p>
    <w:p w14:paraId="569908EA">
      <w:pPr>
        <w:snapToGrid w:val="0"/>
        <w:spacing w:before="156" w:beforeLines="50"/>
        <w:jc w:val="center"/>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表2.3-4</w:t>
      </w:r>
      <w:r>
        <w:rPr>
          <w:rFonts w:hint="eastAsia" w:ascii="Times New Roman" w:hAnsi="Times New Roman" w:eastAsia="宋体" w:cs="Times New Roman"/>
          <w:b/>
          <w:bCs/>
          <w:color w:val="auto"/>
          <w:sz w:val="24"/>
          <w:szCs w:val="24"/>
          <w:u w:val="none" w:color="auto"/>
        </w:rPr>
        <w:t xml:space="preserve">  </w:t>
      </w:r>
      <w:r>
        <w:rPr>
          <w:rFonts w:hint="eastAsia" w:ascii="Times New Roman" w:hAnsi="Times New Roman" w:eastAsia="宋体" w:cs="Times New Roman"/>
          <w:b/>
          <w:bCs/>
          <w:color w:val="auto"/>
          <w:sz w:val="24"/>
          <w:szCs w:val="24"/>
          <w:u w:val="none" w:color="auto"/>
          <w:lang w:val="en-US" w:eastAsia="zh-CN"/>
        </w:rPr>
        <w:t>焊接烟尘产生</w:t>
      </w:r>
      <w:r>
        <w:rPr>
          <w:rFonts w:hint="eastAsia" w:ascii="Times New Roman" w:hAnsi="Times New Roman" w:eastAsia="宋体" w:cs="Times New Roman"/>
          <w:b/>
          <w:bCs/>
          <w:color w:val="auto"/>
          <w:sz w:val="24"/>
          <w:szCs w:val="24"/>
          <w:u w:val="none" w:color="auto"/>
        </w:rPr>
        <w:t>情况表</w:t>
      </w:r>
    </w:p>
    <w:tbl>
      <w:tblPr>
        <w:tblStyle w:val="3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79"/>
        <w:gridCol w:w="1438"/>
        <w:gridCol w:w="2417"/>
        <w:gridCol w:w="1573"/>
        <w:gridCol w:w="1812"/>
      </w:tblGrid>
      <w:tr w14:paraId="19333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EB76E">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焊接方式</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EE498">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原料名称</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89184">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产生系数（kg/t-原料）</w:t>
            </w:r>
          </w:p>
        </w:tc>
        <w:tc>
          <w:tcPr>
            <w:tcW w:w="9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CE310">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焊丝用量（t/a）</w:t>
            </w:r>
          </w:p>
        </w:tc>
        <w:tc>
          <w:tcPr>
            <w:tcW w:w="10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DB8D0">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颗粒物产生量（t/a）</w:t>
            </w:r>
          </w:p>
        </w:tc>
      </w:tr>
      <w:tr w14:paraId="4CF54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1A307">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CO</w:t>
            </w:r>
            <w:r>
              <w:rPr>
                <w:rFonts w:hint="default" w:ascii="Times New Roman" w:hAnsi="Times New Roman" w:eastAsia="宋体" w:cs="Times New Roman"/>
                <w:i w:val="0"/>
                <w:iCs w:val="0"/>
                <w:color w:val="auto"/>
                <w:kern w:val="0"/>
                <w:sz w:val="21"/>
                <w:szCs w:val="21"/>
                <w:u w:val="single" w:color="auto"/>
                <w:vertAlign w:val="subscript"/>
                <w:lang w:val="en-US" w:eastAsia="zh-CN" w:bidi="ar"/>
              </w:rPr>
              <w:t>2</w:t>
            </w:r>
            <w:r>
              <w:rPr>
                <w:rFonts w:hint="default" w:ascii="Times New Roman" w:hAnsi="Times New Roman" w:eastAsia="宋体" w:cs="Times New Roman"/>
                <w:i w:val="0"/>
                <w:iCs w:val="0"/>
                <w:color w:val="auto"/>
                <w:kern w:val="0"/>
                <w:sz w:val="21"/>
                <w:szCs w:val="21"/>
                <w:u w:val="single" w:color="auto"/>
                <w:lang w:val="en-US" w:eastAsia="zh-CN" w:bidi="ar"/>
              </w:rPr>
              <w:t>保护焊</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60C4C">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药芯焊丝</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93EB2C">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20.</w:t>
            </w:r>
            <w:r>
              <w:rPr>
                <w:rFonts w:hint="eastAsia" w:ascii="Times New Roman" w:hAnsi="Times New Roman" w:eastAsia="宋体" w:cs="Times New Roman"/>
                <w:i w:val="0"/>
                <w:iCs w:val="0"/>
                <w:color w:val="auto"/>
                <w:kern w:val="0"/>
                <w:sz w:val="21"/>
                <w:szCs w:val="21"/>
                <w:u w:val="single" w:color="auto"/>
                <w:lang w:val="en-US" w:eastAsia="zh-CN" w:bidi="ar"/>
              </w:rPr>
              <w:t>5</w:t>
            </w:r>
          </w:p>
        </w:tc>
        <w:tc>
          <w:tcPr>
            <w:tcW w:w="9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92F71">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7</w:t>
            </w:r>
            <w:r>
              <w:rPr>
                <w:rFonts w:hint="eastAsia" w:ascii="Times New Roman" w:hAnsi="Times New Roman" w:eastAsia="宋体" w:cs="Times New Roman"/>
                <w:i w:val="0"/>
                <w:iCs w:val="0"/>
                <w:color w:val="auto"/>
                <w:kern w:val="0"/>
                <w:sz w:val="21"/>
                <w:szCs w:val="21"/>
                <w:u w:val="single" w:color="auto"/>
                <w:lang w:val="en-US" w:eastAsia="zh-CN" w:bidi="ar"/>
              </w:rPr>
              <w:t>0</w:t>
            </w:r>
          </w:p>
        </w:tc>
        <w:tc>
          <w:tcPr>
            <w:tcW w:w="18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C85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1.4</w:t>
            </w:r>
            <w:r>
              <w:rPr>
                <w:rFonts w:hint="eastAsia" w:ascii="Times New Roman" w:hAnsi="Times New Roman" w:eastAsia="宋体" w:cs="Times New Roman"/>
                <w:i w:val="0"/>
                <w:iCs w:val="0"/>
                <w:color w:val="auto"/>
                <w:kern w:val="0"/>
                <w:sz w:val="21"/>
                <w:szCs w:val="21"/>
                <w:u w:val="single" w:color="auto"/>
                <w:lang w:val="en-US" w:eastAsia="zh-CN" w:bidi="ar"/>
              </w:rPr>
              <w:t>35</w:t>
            </w:r>
          </w:p>
        </w:tc>
      </w:tr>
      <w:tr w14:paraId="51031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87D62">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CO</w:t>
            </w:r>
            <w:r>
              <w:rPr>
                <w:rFonts w:hint="default" w:ascii="Times New Roman" w:hAnsi="Times New Roman" w:eastAsia="宋体" w:cs="Times New Roman"/>
                <w:i w:val="0"/>
                <w:iCs w:val="0"/>
                <w:color w:val="auto"/>
                <w:kern w:val="0"/>
                <w:sz w:val="21"/>
                <w:szCs w:val="21"/>
                <w:u w:val="single" w:color="auto"/>
                <w:vertAlign w:val="subscript"/>
                <w:lang w:val="en-US" w:eastAsia="zh-CN" w:bidi="ar"/>
              </w:rPr>
              <w:t>2</w:t>
            </w:r>
            <w:r>
              <w:rPr>
                <w:rFonts w:hint="default" w:ascii="Times New Roman" w:hAnsi="Times New Roman" w:eastAsia="宋体" w:cs="Times New Roman"/>
                <w:i w:val="0"/>
                <w:iCs w:val="0"/>
                <w:color w:val="auto"/>
                <w:kern w:val="0"/>
                <w:sz w:val="21"/>
                <w:szCs w:val="21"/>
                <w:u w:val="single" w:color="auto"/>
                <w:lang w:val="en-US" w:eastAsia="zh-CN" w:bidi="ar"/>
              </w:rPr>
              <w:t>保护焊</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3811F">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实芯焊丝</w:t>
            </w:r>
          </w:p>
        </w:tc>
        <w:tc>
          <w:tcPr>
            <w:tcW w:w="1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E17B9">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9.19</w:t>
            </w:r>
          </w:p>
        </w:tc>
        <w:tc>
          <w:tcPr>
            <w:tcW w:w="9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C2926">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200</w:t>
            </w:r>
          </w:p>
        </w:tc>
        <w:tc>
          <w:tcPr>
            <w:tcW w:w="18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7DC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1.838</w:t>
            </w:r>
          </w:p>
        </w:tc>
      </w:tr>
      <w:tr w14:paraId="084E1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936"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47C20">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合计</w:t>
            </w:r>
          </w:p>
        </w:tc>
        <w:tc>
          <w:tcPr>
            <w:tcW w:w="1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358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3.2</w:t>
            </w:r>
            <w:r>
              <w:rPr>
                <w:rFonts w:hint="eastAsia" w:ascii="Times New Roman" w:hAnsi="Times New Roman" w:eastAsia="宋体" w:cs="Times New Roman"/>
                <w:i w:val="0"/>
                <w:iCs w:val="0"/>
                <w:color w:val="auto"/>
                <w:kern w:val="0"/>
                <w:sz w:val="21"/>
                <w:szCs w:val="21"/>
                <w:u w:val="single" w:color="auto"/>
                <w:lang w:val="en-US" w:eastAsia="zh-CN" w:bidi="ar"/>
              </w:rPr>
              <w:t>73</w:t>
            </w:r>
          </w:p>
        </w:tc>
      </w:tr>
    </w:tbl>
    <w:p w14:paraId="2CCF9163">
      <w:pPr>
        <w:spacing w:line="360" w:lineRule="auto"/>
        <w:ind w:firstLine="482" w:firstLineChars="200"/>
        <w:rPr>
          <w:rFonts w:ascii="Times New Roman" w:hAnsi="Times New Roman" w:eastAsia="宋体" w:cs="Times New Roman"/>
          <w:b/>
          <w:bCs/>
          <w:color w:val="auto"/>
          <w:sz w:val="24"/>
          <w:szCs w:val="28"/>
          <w:u w:val="none" w:color="auto"/>
        </w:rPr>
      </w:pPr>
      <w:r>
        <w:rPr>
          <w:rFonts w:hint="eastAsia" w:ascii="Times New Roman" w:hAnsi="Times New Roman" w:eastAsia="宋体" w:cs="Times New Roman"/>
          <w:b/>
          <w:bCs/>
          <w:color w:val="auto"/>
          <w:sz w:val="24"/>
          <w:szCs w:val="28"/>
          <w:u w:val="none" w:color="auto"/>
        </w:rPr>
        <w:t>（2）收集及治理措施</w:t>
      </w:r>
    </w:p>
    <w:p w14:paraId="2F6A48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8"/>
          <w:u w:val="none" w:color="auto"/>
        </w:rPr>
      </w:pPr>
      <w:r>
        <w:rPr>
          <w:rFonts w:hint="eastAsia" w:ascii="Times New Roman" w:hAnsi="Times New Roman" w:eastAsia="宋体" w:cs="Times New Roman"/>
          <w:color w:val="auto"/>
          <w:sz w:val="24"/>
          <w:szCs w:val="28"/>
          <w:u w:val="none" w:color="auto"/>
        </w:rPr>
        <w:t>焊接工序工作面较大，且经常变动，不易设置固定的烟尘收集和治理系统，但焊接烟尘也易飘散影响车间空气质量。因此，针对焊接烟尘拟设置“移动式烟尘净化器”进行收集和处理。“移动式烟尘净化器”自带集气罩和袋式除尘器，除尘后的气体直接在车间内以无组织排放。</w:t>
      </w:r>
    </w:p>
    <w:p w14:paraId="5327FC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8"/>
          <w:u w:val="none" w:color="auto"/>
        </w:rPr>
      </w:pPr>
      <w:r>
        <w:rPr>
          <w:rFonts w:hint="eastAsia" w:ascii="Times New Roman" w:hAnsi="Times New Roman" w:eastAsia="宋体" w:cs="Times New Roman"/>
          <w:color w:val="auto"/>
          <w:sz w:val="24"/>
          <w:szCs w:val="28"/>
          <w:u w:val="none" w:color="auto"/>
        </w:rPr>
        <w:t>“移动式烟尘净化器”自带抽风管和吸气罩，收集效率参考《广东省工业源挥发性有机物减排量核算方法（</w:t>
      </w:r>
      <w:r>
        <w:rPr>
          <w:rFonts w:ascii="Times New Roman" w:hAnsi="Times New Roman" w:eastAsia="宋体" w:cs="Times New Roman"/>
          <w:color w:val="auto"/>
          <w:sz w:val="24"/>
          <w:szCs w:val="28"/>
          <w:u w:val="none" w:color="auto"/>
        </w:rPr>
        <w:t>2023年修订版）》</w:t>
      </w:r>
      <w:r>
        <w:rPr>
          <w:rFonts w:hint="eastAsia" w:ascii="Times New Roman" w:hAnsi="Times New Roman" w:eastAsia="宋体" w:cs="Times New Roman"/>
          <w:color w:val="auto"/>
          <w:sz w:val="24"/>
          <w:szCs w:val="28"/>
          <w:u w:val="none" w:color="auto"/>
        </w:rPr>
        <w:t>，如下表所示，外部集气罩-相应工位所有</w:t>
      </w:r>
      <w:r>
        <w:rPr>
          <w:rFonts w:ascii="Times New Roman" w:hAnsi="Times New Roman" w:eastAsia="宋体" w:cs="Times New Roman"/>
          <w:color w:val="auto"/>
          <w:sz w:val="24"/>
          <w:szCs w:val="28"/>
          <w:u w:val="none" w:color="auto"/>
        </w:rPr>
        <w:t>逸散点控制风速不小于0.3m/s</w:t>
      </w:r>
      <w:r>
        <w:rPr>
          <w:rFonts w:hint="eastAsia" w:ascii="Times New Roman" w:hAnsi="Times New Roman" w:eastAsia="宋体" w:cs="Times New Roman"/>
          <w:color w:val="auto"/>
          <w:sz w:val="24"/>
          <w:szCs w:val="28"/>
          <w:u w:val="none" w:color="auto"/>
        </w:rPr>
        <w:t>，收集效率可按3</w:t>
      </w:r>
      <w:r>
        <w:rPr>
          <w:rFonts w:ascii="Times New Roman" w:hAnsi="Times New Roman" w:eastAsia="宋体" w:cs="Times New Roman"/>
          <w:color w:val="auto"/>
          <w:sz w:val="24"/>
          <w:szCs w:val="28"/>
          <w:u w:val="none" w:color="auto"/>
        </w:rPr>
        <w:t>0%</w:t>
      </w:r>
      <w:r>
        <w:rPr>
          <w:rFonts w:hint="eastAsia" w:ascii="Times New Roman" w:hAnsi="Times New Roman" w:eastAsia="宋体" w:cs="Times New Roman"/>
          <w:color w:val="auto"/>
          <w:sz w:val="24"/>
          <w:szCs w:val="28"/>
          <w:u w:val="none" w:color="auto"/>
        </w:rPr>
        <w:t>计。</w:t>
      </w:r>
    </w:p>
    <w:p w14:paraId="6EFD78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8"/>
          <w:u w:val="none" w:color="auto"/>
          <w:lang w:eastAsia="zh-CN"/>
        </w:rPr>
      </w:pPr>
      <w:r>
        <w:rPr>
          <w:rFonts w:hint="eastAsia" w:ascii="Times New Roman" w:hAnsi="Times New Roman" w:eastAsia="宋体" w:cs="Times New Roman"/>
          <w:color w:val="auto"/>
          <w:sz w:val="24"/>
          <w:szCs w:val="28"/>
          <w:u w:val="none" w:color="auto"/>
        </w:rPr>
        <w:t>“移动式烟尘净化器”处理效率参考</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9</w:t>
      </w:r>
      <w:r>
        <w:rPr>
          <w:rFonts w:ascii="Times New Roman" w:hAnsi="Times New Roman" w:eastAsia="宋体" w:cs="Times New Roman"/>
          <w:color w:val="auto"/>
          <w:sz w:val="24"/>
          <w:szCs w:val="24"/>
          <w:u w:val="none" w:color="auto"/>
        </w:rPr>
        <w:t>焊接</w:t>
      </w:r>
      <w:r>
        <w:rPr>
          <w:rFonts w:hint="eastAsia" w:ascii="Times New Roman" w:hAnsi="Times New Roman" w:eastAsia="宋体" w:cs="Times New Roman"/>
          <w:color w:val="auto"/>
          <w:sz w:val="24"/>
          <w:szCs w:val="24"/>
          <w:u w:val="none" w:color="auto"/>
          <w:lang w:val="en-US" w:eastAsia="zh-CN"/>
        </w:rPr>
        <w:t>工段可知</w:t>
      </w:r>
      <w:r>
        <w:rPr>
          <w:rFonts w:hint="eastAsia" w:ascii="Times New Roman" w:hAnsi="Times New Roman" w:eastAsia="宋体" w:cs="Times New Roman"/>
          <w:color w:val="auto"/>
          <w:sz w:val="24"/>
          <w:szCs w:val="28"/>
          <w:u w:val="none" w:color="auto"/>
        </w:rPr>
        <w:t>，颗粒物其他（移动式烟尘净化器）末端治理技术效率可按</w:t>
      </w:r>
      <w:r>
        <w:rPr>
          <w:rFonts w:ascii="Times New Roman" w:hAnsi="Times New Roman" w:eastAsia="宋体" w:cs="Times New Roman"/>
          <w:color w:val="auto"/>
          <w:sz w:val="24"/>
          <w:szCs w:val="28"/>
          <w:u w:val="none" w:color="auto"/>
        </w:rPr>
        <w:t>95%</w:t>
      </w:r>
      <w:r>
        <w:rPr>
          <w:rFonts w:hint="eastAsia" w:ascii="Times New Roman" w:hAnsi="Times New Roman" w:eastAsia="宋体" w:cs="Times New Roman"/>
          <w:color w:val="auto"/>
          <w:sz w:val="24"/>
          <w:szCs w:val="28"/>
          <w:u w:val="none" w:color="auto"/>
        </w:rPr>
        <w:t>计</w:t>
      </w:r>
      <w:r>
        <w:rPr>
          <w:rFonts w:hint="eastAsia" w:ascii="Times New Roman" w:hAnsi="Times New Roman" w:eastAsia="宋体" w:cs="Times New Roman"/>
          <w:color w:val="auto"/>
          <w:sz w:val="24"/>
          <w:szCs w:val="28"/>
          <w:u w:val="none" w:color="auto"/>
          <w:lang w:eastAsia="zh-CN"/>
        </w:rPr>
        <w:t>。</w:t>
      </w:r>
    </w:p>
    <w:p w14:paraId="23A395A6">
      <w:pPr>
        <w:pStyle w:val="155"/>
        <w:spacing w:line="360" w:lineRule="auto"/>
        <w:ind w:firstLine="478" w:firstLineChars="200"/>
        <w:rPr>
          <w:rFonts w:hint="eastAsia" w:ascii="Times New Roman" w:hAnsi="Times New Roman" w:cs="Times New Roman"/>
          <w:b/>
          <w:bCs/>
          <w:color w:val="auto"/>
          <w:spacing w:val="-1"/>
          <w:sz w:val="24"/>
          <w:szCs w:val="24"/>
          <w:u w:val="none" w:color="auto"/>
          <w:lang w:eastAsia="zh-CN"/>
        </w:rPr>
      </w:pPr>
      <w:r>
        <w:rPr>
          <w:rFonts w:hint="eastAsia" w:ascii="Times New Roman" w:hAnsi="Times New Roman" w:cs="Times New Roman"/>
          <w:b/>
          <w:bCs/>
          <w:color w:val="auto"/>
          <w:spacing w:val="-1"/>
          <w:sz w:val="24"/>
          <w:szCs w:val="24"/>
          <w:u w:val="none" w:color="auto"/>
          <w:lang w:eastAsia="zh-CN"/>
        </w:rPr>
        <w:t>（</w:t>
      </w:r>
      <w:r>
        <w:rPr>
          <w:rFonts w:ascii="Times New Roman" w:hAnsi="Times New Roman" w:cs="Times New Roman"/>
          <w:b/>
          <w:bCs/>
          <w:color w:val="auto"/>
          <w:spacing w:val="-1"/>
          <w:sz w:val="24"/>
          <w:szCs w:val="24"/>
          <w:u w:val="none" w:color="auto"/>
          <w:lang w:eastAsia="zh-CN"/>
        </w:rPr>
        <w:t>3</w:t>
      </w:r>
      <w:r>
        <w:rPr>
          <w:rFonts w:hint="eastAsia" w:ascii="Times New Roman" w:hAnsi="Times New Roman" w:cs="Times New Roman"/>
          <w:b/>
          <w:bCs/>
          <w:color w:val="auto"/>
          <w:spacing w:val="-1"/>
          <w:sz w:val="24"/>
          <w:szCs w:val="24"/>
          <w:u w:val="none" w:color="auto"/>
          <w:lang w:eastAsia="zh-CN"/>
        </w:rPr>
        <w:t>）焊接烟尘排放情况</w:t>
      </w:r>
    </w:p>
    <w:p w14:paraId="5B9FEA16">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kern w:val="0"/>
          <w:sz w:val="24"/>
          <w:szCs w:val="24"/>
          <w:highlight w:val="none"/>
          <w:u w:val="none" w:color="auto"/>
          <w:lang w:val="en-US" w:eastAsia="zh-CN" w:bidi="ar"/>
        </w:rPr>
        <w:t>焊接工序</w:t>
      </w:r>
      <w:r>
        <w:rPr>
          <w:rFonts w:hint="default" w:ascii="Times New Roman" w:hAnsi="Times New Roman" w:eastAsia="宋体" w:cs="Times New Roman"/>
          <w:color w:val="auto"/>
          <w:sz w:val="24"/>
          <w:szCs w:val="24"/>
          <w:highlight w:val="none"/>
          <w:u w:val="none" w:color="auto"/>
        </w:rPr>
        <w:t>年工作</w:t>
      </w:r>
      <w:r>
        <w:rPr>
          <w:rFonts w:hint="default" w:ascii="Times New Roman" w:hAnsi="Times New Roman" w:eastAsia="宋体" w:cs="Times New Roman"/>
          <w:color w:val="auto"/>
          <w:sz w:val="24"/>
          <w:szCs w:val="24"/>
          <w:highlight w:val="none"/>
          <w:u w:val="none" w:color="auto"/>
          <w:lang w:val="en-US" w:eastAsia="zh-CN"/>
        </w:rPr>
        <w:t>330</w:t>
      </w:r>
      <w:r>
        <w:rPr>
          <w:rFonts w:hint="default" w:ascii="Times New Roman" w:hAnsi="Times New Roman" w:eastAsia="宋体" w:cs="Times New Roman"/>
          <w:color w:val="auto"/>
          <w:sz w:val="24"/>
          <w:szCs w:val="24"/>
          <w:highlight w:val="none"/>
          <w:u w:val="none" w:color="auto"/>
        </w:rPr>
        <w:t>天，每天工作</w:t>
      </w:r>
      <w:r>
        <w:rPr>
          <w:rFonts w:hint="default" w:ascii="Times New Roman" w:hAnsi="Times New Roman" w:eastAsia="宋体" w:cs="Times New Roman"/>
          <w:color w:val="auto"/>
          <w:sz w:val="24"/>
          <w:szCs w:val="24"/>
          <w:highlight w:val="none"/>
          <w:u w:val="none" w:color="auto"/>
          <w:lang w:val="en-US" w:eastAsia="zh-CN"/>
        </w:rPr>
        <w:t>24</w:t>
      </w:r>
      <w:r>
        <w:rPr>
          <w:rFonts w:hint="default" w:ascii="Times New Roman" w:hAnsi="Times New Roman" w:eastAsia="宋体" w:cs="Times New Roman"/>
          <w:color w:val="auto"/>
          <w:sz w:val="24"/>
          <w:szCs w:val="24"/>
          <w:highlight w:val="none"/>
          <w:u w:val="none" w:color="auto"/>
        </w:rPr>
        <w:t>小时，</w:t>
      </w:r>
      <w:r>
        <w:rPr>
          <w:rFonts w:hint="default" w:ascii="Times New Roman" w:hAnsi="Times New Roman" w:eastAsia="宋体" w:cs="Times New Roman"/>
          <w:color w:val="auto"/>
          <w:sz w:val="24"/>
          <w:szCs w:val="24"/>
          <w:u w:val="none" w:color="auto"/>
        </w:rPr>
        <w:t>则项目</w:t>
      </w:r>
      <w:r>
        <w:rPr>
          <w:rFonts w:hint="default" w:ascii="Times New Roman" w:hAnsi="Times New Roman" w:eastAsia="宋体" w:cs="Times New Roman"/>
          <w:color w:val="auto"/>
          <w:sz w:val="24"/>
          <w:szCs w:val="24"/>
          <w:u w:val="none" w:color="auto"/>
          <w:lang w:val="en-US" w:eastAsia="zh-CN"/>
        </w:rPr>
        <w:t>焊接烟尘产</w:t>
      </w:r>
      <w:r>
        <w:rPr>
          <w:rFonts w:hint="default" w:ascii="Times New Roman" w:hAnsi="Times New Roman" w:eastAsia="宋体" w:cs="Times New Roman"/>
          <w:color w:val="auto"/>
          <w:sz w:val="24"/>
          <w:szCs w:val="24"/>
          <w:u w:val="none" w:color="auto"/>
        </w:rPr>
        <w:t>排情况见下表：</w:t>
      </w:r>
    </w:p>
    <w:p w14:paraId="3BC1B00D">
      <w:pPr>
        <w:spacing w:line="360" w:lineRule="auto"/>
        <w:ind w:firstLine="480" w:firstLineChars="200"/>
        <w:rPr>
          <w:rFonts w:hint="default" w:ascii="Times New Roman" w:hAnsi="Times New Roman" w:eastAsia="宋体" w:cs="Times New Roman"/>
          <w:color w:val="auto"/>
          <w:sz w:val="24"/>
          <w:szCs w:val="24"/>
          <w:u w:val="none" w:color="auto"/>
        </w:rPr>
      </w:pPr>
    </w:p>
    <w:p w14:paraId="6FDDEE40">
      <w:pPr>
        <w:snapToGrid w:val="0"/>
        <w:spacing w:before="156" w:beforeLines="50"/>
        <w:jc w:val="center"/>
        <w:rPr>
          <w:rFonts w:hint="eastAsia" w:ascii="Times New Roman" w:hAnsi="Times New Roman" w:eastAsia="宋体" w:cs="Times New Roman"/>
          <w:b/>
          <w:bCs/>
          <w:color w:val="auto"/>
          <w:sz w:val="24"/>
          <w:szCs w:val="24"/>
          <w:u w:val="none" w:color="auto"/>
          <w:lang w:val="en-US" w:eastAsia="zh-CN"/>
        </w:rPr>
      </w:pPr>
      <w:r>
        <w:rPr>
          <w:rFonts w:hint="eastAsia" w:ascii="Times New Roman" w:hAnsi="Times New Roman" w:eastAsia="宋体" w:cs="Times New Roman"/>
          <w:b/>
          <w:bCs/>
          <w:color w:val="auto"/>
          <w:sz w:val="24"/>
          <w:szCs w:val="24"/>
          <w:u w:val="none" w:color="auto"/>
          <w:lang w:val="en-US" w:eastAsia="zh-CN"/>
        </w:rPr>
        <w:t>表2.3-5  焊接烟尘产排情况一览表</w:t>
      </w:r>
    </w:p>
    <w:tbl>
      <w:tblPr>
        <w:tblStyle w:val="3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38"/>
        <w:gridCol w:w="695"/>
        <w:gridCol w:w="1537"/>
        <w:gridCol w:w="1111"/>
        <w:gridCol w:w="1035"/>
        <w:gridCol w:w="871"/>
        <w:gridCol w:w="872"/>
        <w:gridCol w:w="1036"/>
        <w:gridCol w:w="918"/>
      </w:tblGrid>
      <w:tr w14:paraId="0A22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57" w:type="pct"/>
            <w:shd w:val="clear" w:color="auto" w:fill="auto"/>
            <w:vAlign w:val="center"/>
          </w:tcPr>
          <w:p w14:paraId="5C508D56">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污染工序</w:t>
            </w:r>
          </w:p>
        </w:tc>
        <w:tc>
          <w:tcPr>
            <w:tcW w:w="408" w:type="pct"/>
            <w:shd w:val="clear" w:color="auto" w:fill="auto"/>
            <w:vAlign w:val="center"/>
          </w:tcPr>
          <w:p w14:paraId="115E0875">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污染物</w:t>
            </w:r>
          </w:p>
        </w:tc>
        <w:tc>
          <w:tcPr>
            <w:tcW w:w="902" w:type="pct"/>
            <w:shd w:val="clear" w:color="auto" w:fill="auto"/>
            <w:vAlign w:val="center"/>
          </w:tcPr>
          <w:p w14:paraId="07B95CD6">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排放形式</w:t>
            </w:r>
          </w:p>
        </w:tc>
        <w:tc>
          <w:tcPr>
            <w:tcW w:w="652" w:type="pct"/>
            <w:shd w:val="clear" w:color="auto" w:fill="auto"/>
            <w:vAlign w:val="center"/>
          </w:tcPr>
          <w:p w14:paraId="52C56CA6">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产生量（t/a）</w:t>
            </w:r>
          </w:p>
        </w:tc>
        <w:tc>
          <w:tcPr>
            <w:tcW w:w="607" w:type="pct"/>
            <w:shd w:val="clear" w:color="auto" w:fill="auto"/>
            <w:vAlign w:val="center"/>
          </w:tcPr>
          <w:p w14:paraId="1EE3EF9F">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top"/>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产生速率（kg/h）</w:t>
            </w:r>
          </w:p>
        </w:tc>
        <w:tc>
          <w:tcPr>
            <w:tcW w:w="511" w:type="pct"/>
            <w:shd w:val="clear" w:color="auto" w:fill="auto"/>
            <w:vAlign w:val="center"/>
          </w:tcPr>
          <w:p w14:paraId="168C0255">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处理量（t/a）</w:t>
            </w:r>
          </w:p>
        </w:tc>
        <w:tc>
          <w:tcPr>
            <w:tcW w:w="512" w:type="pct"/>
            <w:shd w:val="clear" w:color="auto" w:fill="auto"/>
            <w:vAlign w:val="center"/>
          </w:tcPr>
          <w:p w14:paraId="4CCE4DEC">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排放量（t/a）</w:t>
            </w:r>
          </w:p>
        </w:tc>
        <w:tc>
          <w:tcPr>
            <w:tcW w:w="608" w:type="pct"/>
            <w:shd w:val="clear" w:color="auto" w:fill="auto"/>
            <w:vAlign w:val="center"/>
          </w:tcPr>
          <w:p w14:paraId="5E345F08">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top"/>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排放速率（kg/h）</w:t>
            </w:r>
          </w:p>
        </w:tc>
        <w:tc>
          <w:tcPr>
            <w:tcW w:w="539" w:type="pct"/>
            <w:shd w:val="clear" w:color="auto" w:fill="auto"/>
            <w:vAlign w:val="center"/>
          </w:tcPr>
          <w:p w14:paraId="107BDD7F">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年工作时间（h/a）</w:t>
            </w:r>
          </w:p>
        </w:tc>
      </w:tr>
      <w:tr w14:paraId="25C53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57" w:type="pct"/>
            <w:vMerge w:val="restart"/>
            <w:shd w:val="clear" w:color="auto" w:fill="auto"/>
            <w:vAlign w:val="center"/>
          </w:tcPr>
          <w:p w14:paraId="218F6220">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焊接</w:t>
            </w:r>
          </w:p>
        </w:tc>
        <w:tc>
          <w:tcPr>
            <w:tcW w:w="408" w:type="pct"/>
            <w:vMerge w:val="restart"/>
            <w:shd w:val="clear" w:color="auto" w:fill="auto"/>
            <w:vAlign w:val="center"/>
          </w:tcPr>
          <w:p w14:paraId="2E31A6EE">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902" w:type="pct"/>
            <w:shd w:val="clear" w:color="auto" w:fill="auto"/>
            <w:vAlign w:val="center"/>
          </w:tcPr>
          <w:p w14:paraId="18E77694">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收集部分</w:t>
            </w:r>
          </w:p>
        </w:tc>
        <w:tc>
          <w:tcPr>
            <w:tcW w:w="1111" w:type="dxa"/>
            <w:shd w:val="clear" w:color="auto" w:fill="auto"/>
            <w:vAlign w:val="center"/>
          </w:tcPr>
          <w:p w14:paraId="6FD026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0.982</w:t>
            </w:r>
          </w:p>
        </w:tc>
        <w:tc>
          <w:tcPr>
            <w:tcW w:w="1035" w:type="dxa"/>
            <w:shd w:val="clear" w:color="auto" w:fill="auto"/>
            <w:vAlign w:val="center"/>
          </w:tcPr>
          <w:p w14:paraId="1B4D57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0.124</w:t>
            </w:r>
          </w:p>
        </w:tc>
        <w:tc>
          <w:tcPr>
            <w:tcW w:w="871" w:type="dxa"/>
            <w:shd w:val="clear" w:color="auto" w:fill="auto"/>
            <w:vAlign w:val="center"/>
          </w:tcPr>
          <w:p w14:paraId="715EBB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0.933</w:t>
            </w:r>
          </w:p>
        </w:tc>
        <w:tc>
          <w:tcPr>
            <w:tcW w:w="872" w:type="dxa"/>
            <w:shd w:val="clear" w:color="auto" w:fill="auto"/>
            <w:vAlign w:val="center"/>
          </w:tcPr>
          <w:p w14:paraId="0BF31F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0.049</w:t>
            </w:r>
          </w:p>
        </w:tc>
        <w:tc>
          <w:tcPr>
            <w:tcW w:w="1036" w:type="dxa"/>
            <w:shd w:val="clear" w:color="auto" w:fill="auto"/>
            <w:vAlign w:val="center"/>
          </w:tcPr>
          <w:p w14:paraId="2C48072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0.006</w:t>
            </w:r>
          </w:p>
        </w:tc>
        <w:tc>
          <w:tcPr>
            <w:tcW w:w="539" w:type="pct"/>
            <w:shd w:val="clear" w:color="auto" w:fill="auto"/>
            <w:vAlign w:val="center"/>
          </w:tcPr>
          <w:p w14:paraId="2423F1C4">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lang w:val="en-US"/>
              </w:rPr>
            </w:pPr>
            <w:r>
              <w:rPr>
                <w:rFonts w:hint="eastAsia" w:ascii="Times New Roman" w:hAnsi="Times New Roman" w:eastAsia="宋体" w:cs="Times New Roman"/>
                <w:i w:val="0"/>
                <w:iCs w:val="0"/>
                <w:color w:val="auto"/>
                <w:kern w:val="0"/>
                <w:sz w:val="21"/>
                <w:szCs w:val="21"/>
                <w:u w:val="none" w:color="auto"/>
                <w:lang w:val="en-US" w:eastAsia="zh-CN" w:bidi="ar"/>
              </w:rPr>
              <w:t>7920</w:t>
            </w:r>
          </w:p>
        </w:tc>
      </w:tr>
      <w:tr w14:paraId="1F6C1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57" w:type="pct"/>
            <w:vMerge w:val="continue"/>
            <w:shd w:val="clear" w:color="auto" w:fill="auto"/>
            <w:vAlign w:val="center"/>
          </w:tcPr>
          <w:p w14:paraId="04113247">
            <w:pPr>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eastAsia="宋体" w:cs="Times New Roman"/>
                <w:i w:val="0"/>
                <w:iCs w:val="0"/>
                <w:color w:val="auto"/>
                <w:sz w:val="21"/>
                <w:szCs w:val="21"/>
                <w:u w:val="none" w:color="auto"/>
              </w:rPr>
            </w:pPr>
          </w:p>
        </w:tc>
        <w:tc>
          <w:tcPr>
            <w:tcW w:w="408" w:type="pct"/>
            <w:vMerge w:val="continue"/>
            <w:shd w:val="clear" w:color="auto" w:fill="auto"/>
            <w:vAlign w:val="center"/>
          </w:tcPr>
          <w:p w14:paraId="5FB7E7D0">
            <w:pPr>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eastAsia="宋体" w:cs="Times New Roman"/>
                <w:i w:val="0"/>
                <w:iCs w:val="0"/>
                <w:color w:val="auto"/>
                <w:sz w:val="21"/>
                <w:szCs w:val="21"/>
                <w:u w:val="none" w:color="auto"/>
              </w:rPr>
            </w:pPr>
          </w:p>
        </w:tc>
        <w:tc>
          <w:tcPr>
            <w:tcW w:w="902" w:type="pct"/>
            <w:shd w:val="clear" w:color="auto" w:fill="auto"/>
            <w:vAlign w:val="center"/>
          </w:tcPr>
          <w:p w14:paraId="24C07155">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未收集部分</w:t>
            </w:r>
          </w:p>
        </w:tc>
        <w:tc>
          <w:tcPr>
            <w:tcW w:w="1111" w:type="dxa"/>
            <w:shd w:val="clear" w:color="auto" w:fill="auto"/>
            <w:vAlign w:val="center"/>
          </w:tcPr>
          <w:p w14:paraId="4ACCBA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2.291</w:t>
            </w:r>
          </w:p>
        </w:tc>
        <w:tc>
          <w:tcPr>
            <w:tcW w:w="1035" w:type="dxa"/>
            <w:shd w:val="clear" w:color="auto" w:fill="auto"/>
            <w:vAlign w:val="center"/>
          </w:tcPr>
          <w:p w14:paraId="43FD2F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0.289</w:t>
            </w:r>
          </w:p>
        </w:tc>
        <w:tc>
          <w:tcPr>
            <w:tcW w:w="871" w:type="dxa"/>
            <w:shd w:val="clear" w:color="auto" w:fill="auto"/>
            <w:vAlign w:val="center"/>
          </w:tcPr>
          <w:p w14:paraId="301B0E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w:t>
            </w:r>
          </w:p>
        </w:tc>
        <w:tc>
          <w:tcPr>
            <w:tcW w:w="872" w:type="dxa"/>
            <w:shd w:val="clear" w:color="auto" w:fill="auto"/>
            <w:vAlign w:val="center"/>
          </w:tcPr>
          <w:p w14:paraId="1F97E9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2.291</w:t>
            </w:r>
          </w:p>
        </w:tc>
        <w:tc>
          <w:tcPr>
            <w:tcW w:w="1036" w:type="dxa"/>
            <w:shd w:val="clear" w:color="auto" w:fill="auto"/>
            <w:vAlign w:val="center"/>
          </w:tcPr>
          <w:p w14:paraId="65C8B0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0.289</w:t>
            </w:r>
          </w:p>
        </w:tc>
        <w:tc>
          <w:tcPr>
            <w:tcW w:w="539" w:type="pct"/>
            <w:shd w:val="clear" w:color="auto" w:fill="auto"/>
            <w:vAlign w:val="center"/>
          </w:tcPr>
          <w:p w14:paraId="26BE90E0">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lang w:val="en-US"/>
              </w:rPr>
            </w:pPr>
            <w:r>
              <w:rPr>
                <w:rFonts w:hint="eastAsia" w:ascii="Times New Roman" w:hAnsi="Times New Roman" w:eastAsia="宋体" w:cs="Times New Roman"/>
                <w:i w:val="0"/>
                <w:iCs w:val="0"/>
                <w:color w:val="auto"/>
                <w:kern w:val="0"/>
                <w:sz w:val="21"/>
                <w:szCs w:val="21"/>
                <w:u w:val="none" w:color="auto"/>
                <w:lang w:val="en-US" w:eastAsia="zh-CN" w:bidi="ar"/>
              </w:rPr>
              <w:t>7920</w:t>
            </w:r>
          </w:p>
        </w:tc>
      </w:tr>
      <w:tr w14:paraId="3C999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57" w:type="pct"/>
            <w:vMerge w:val="continue"/>
            <w:shd w:val="clear" w:color="auto" w:fill="auto"/>
            <w:vAlign w:val="center"/>
          </w:tcPr>
          <w:p w14:paraId="75576D58">
            <w:pPr>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eastAsia="宋体" w:cs="Times New Roman"/>
                <w:i w:val="0"/>
                <w:iCs w:val="0"/>
                <w:color w:val="auto"/>
                <w:sz w:val="21"/>
                <w:szCs w:val="21"/>
                <w:u w:val="none" w:color="auto"/>
              </w:rPr>
            </w:pPr>
          </w:p>
        </w:tc>
        <w:tc>
          <w:tcPr>
            <w:tcW w:w="408" w:type="pct"/>
            <w:vMerge w:val="continue"/>
            <w:shd w:val="clear" w:color="auto" w:fill="auto"/>
            <w:vAlign w:val="center"/>
          </w:tcPr>
          <w:p w14:paraId="79A1D561">
            <w:pPr>
              <w:keepNext w:val="0"/>
              <w:keepLines w:val="0"/>
              <w:pageBreakBefore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eastAsia="宋体" w:cs="Times New Roman"/>
                <w:i w:val="0"/>
                <w:iCs w:val="0"/>
                <w:color w:val="auto"/>
                <w:sz w:val="21"/>
                <w:szCs w:val="21"/>
                <w:u w:val="none" w:color="auto"/>
              </w:rPr>
            </w:pPr>
          </w:p>
        </w:tc>
        <w:tc>
          <w:tcPr>
            <w:tcW w:w="902" w:type="pct"/>
            <w:shd w:val="clear" w:color="auto" w:fill="auto"/>
            <w:noWrap/>
            <w:vAlign w:val="center"/>
          </w:tcPr>
          <w:p w14:paraId="3EB7EE09">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合计</w:t>
            </w:r>
          </w:p>
        </w:tc>
        <w:tc>
          <w:tcPr>
            <w:tcW w:w="1111" w:type="dxa"/>
            <w:shd w:val="clear" w:color="auto" w:fill="auto"/>
            <w:noWrap/>
            <w:vAlign w:val="center"/>
          </w:tcPr>
          <w:p w14:paraId="76C08A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3.273</w:t>
            </w:r>
          </w:p>
        </w:tc>
        <w:tc>
          <w:tcPr>
            <w:tcW w:w="1035" w:type="dxa"/>
            <w:shd w:val="clear" w:color="auto" w:fill="auto"/>
            <w:noWrap/>
            <w:vAlign w:val="center"/>
          </w:tcPr>
          <w:p w14:paraId="64DBFF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0.413</w:t>
            </w:r>
          </w:p>
        </w:tc>
        <w:tc>
          <w:tcPr>
            <w:tcW w:w="871" w:type="dxa"/>
            <w:shd w:val="clear" w:color="auto" w:fill="auto"/>
            <w:noWrap/>
            <w:vAlign w:val="center"/>
          </w:tcPr>
          <w:p w14:paraId="4F0CE9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0.933</w:t>
            </w:r>
          </w:p>
        </w:tc>
        <w:tc>
          <w:tcPr>
            <w:tcW w:w="872" w:type="dxa"/>
            <w:shd w:val="clear" w:color="auto" w:fill="auto"/>
            <w:noWrap/>
            <w:vAlign w:val="center"/>
          </w:tcPr>
          <w:p w14:paraId="4C0297D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2.34</w:t>
            </w:r>
          </w:p>
        </w:tc>
        <w:tc>
          <w:tcPr>
            <w:tcW w:w="1036" w:type="dxa"/>
            <w:shd w:val="clear" w:color="auto" w:fill="auto"/>
            <w:noWrap/>
            <w:vAlign w:val="center"/>
          </w:tcPr>
          <w:p w14:paraId="1E4C83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0.295</w:t>
            </w:r>
          </w:p>
        </w:tc>
        <w:tc>
          <w:tcPr>
            <w:tcW w:w="539" w:type="pct"/>
            <w:shd w:val="clear" w:color="auto" w:fill="auto"/>
            <w:noWrap/>
            <w:vAlign w:val="center"/>
          </w:tcPr>
          <w:p w14:paraId="691EE052">
            <w:pPr>
              <w:keepNext w:val="0"/>
              <w:keepLines w:val="0"/>
              <w:pageBreakBefore w:val="0"/>
              <w:widowControl/>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outlineLvl w:val="9"/>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bl>
    <w:p w14:paraId="0C09DE9A">
      <w:pPr>
        <w:snapToGrid w:val="0"/>
        <w:spacing w:line="360" w:lineRule="auto"/>
        <w:ind w:firstLine="482" w:firstLineChars="200"/>
        <w:rPr>
          <w:rFonts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3）</w:t>
      </w:r>
      <w:r>
        <w:rPr>
          <w:rFonts w:ascii="Times New Roman" w:hAnsi="Times New Roman" w:eastAsia="宋体" w:cs="Times New Roman"/>
          <w:b/>
          <w:bCs/>
          <w:color w:val="auto"/>
          <w:sz w:val="24"/>
          <w:szCs w:val="24"/>
          <w:u w:val="single" w:color="auto"/>
        </w:rPr>
        <w:t>抛丸废气</w:t>
      </w:r>
      <w:r>
        <w:rPr>
          <w:rFonts w:hint="eastAsia" w:ascii="Times New Roman" w:hAnsi="Times New Roman" w:eastAsia="宋体" w:cs="Times New Roman"/>
          <w:b/>
          <w:bCs/>
          <w:color w:val="auto"/>
          <w:sz w:val="24"/>
          <w:szCs w:val="24"/>
          <w:u w:val="single" w:color="auto"/>
        </w:rPr>
        <w:t>（</w:t>
      </w:r>
      <w:r>
        <w:rPr>
          <w:rFonts w:ascii="Times New Roman" w:hAnsi="Times New Roman" w:eastAsia="宋体" w:cs="Times New Roman"/>
          <w:b/>
          <w:bCs/>
          <w:color w:val="auto"/>
          <w:sz w:val="24"/>
          <w:szCs w:val="24"/>
          <w:u w:val="single" w:color="auto"/>
        </w:rPr>
        <w:t>G3）</w:t>
      </w:r>
    </w:p>
    <w:p w14:paraId="53D26956">
      <w:pPr>
        <w:pStyle w:val="15"/>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本项目</w:t>
      </w:r>
      <w:r>
        <w:rPr>
          <w:rFonts w:hint="eastAsia" w:ascii="Times New Roman" w:hAnsi="Times New Roman" w:eastAsia="宋体" w:cs="Times New Roman"/>
          <w:color w:val="auto"/>
          <w:sz w:val="24"/>
          <w:szCs w:val="24"/>
          <w:u w:val="single" w:color="auto"/>
        </w:rPr>
        <w:t>生产</w:t>
      </w:r>
      <w:r>
        <w:rPr>
          <w:rFonts w:hint="eastAsia" w:ascii="Times New Roman" w:hAnsi="Times New Roman" w:eastAsia="宋体" w:cs="Times New Roman"/>
          <w:color w:val="auto"/>
          <w:sz w:val="24"/>
          <w:szCs w:val="24"/>
          <w:u w:val="single" w:color="auto"/>
          <w:lang w:eastAsia="zh-CN"/>
        </w:rPr>
        <w:t>海桩</w:t>
      </w:r>
      <w:r>
        <w:rPr>
          <w:rFonts w:hint="eastAsia" w:ascii="Times New Roman" w:hAnsi="Times New Roman" w:eastAsia="宋体" w:cs="Times New Roman"/>
          <w:color w:val="auto"/>
          <w:sz w:val="24"/>
          <w:szCs w:val="24"/>
          <w:u w:val="single" w:color="auto"/>
        </w:rPr>
        <w:t>过程中</w:t>
      </w:r>
      <w:r>
        <w:rPr>
          <w:rFonts w:ascii="Times New Roman" w:hAnsi="Times New Roman" w:eastAsia="宋体" w:cs="Times New Roman"/>
          <w:color w:val="auto"/>
          <w:sz w:val="24"/>
          <w:szCs w:val="24"/>
          <w:u w:val="single" w:color="auto"/>
        </w:rPr>
        <w:t>采用抛丸机对构件进行抛丸处理，以达到表面抛光目的</w:t>
      </w:r>
      <w:r>
        <w:rPr>
          <w:rFonts w:hint="eastAsia" w:ascii="Times New Roman" w:hAnsi="Times New Roman" w:eastAsia="宋体" w:cs="Times New Roman"/>
          <w:color w:val="auto"/>
          <w:sz w:val="24"/>
          <w:szCs w:val="24"/>
          <w:u w:val="single" w:color="auto"/>
        </w:rPr>
        <w:t>，抛丸过程中产生粉尘、锈渣和废钢丸</w:t>
      </w:r>
      <w:r>
        <w:rPr>
          <w:rFonts w:ascii="Times New Roman" w:hAnsi="Times New Roman" w:eastAsia="宋体" w:cs="Times New Roman"/>
          <w:color w:val="auto"/>
          <w:sz w:val="24"/>
          <w:szCs w:val="24"/>
          <w:u w:val="single" w:color="auto"/>
        </w:rPr>
        <w:t>。参考</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6预处理</w:t>
      </w:r>
      <w:r>
        <w:rPr>
          <w:rFonts w:hint="eastAsia" w:ascii="Times New Roman" w:hAnsi="Times New Roman" w:eastAsia="宋体" w:cs="Times New Roman"/>
          <w:color w:val="auto"/>
          <w:sz w:val="24"/>
          <w:szCs w:val="24"/>
          <w:u w:val="none" w:color="auto"/>
          <w:lang w:val="en-US" w:eastAsia="zh-CN"/>
        </w:rPr>
        <w:t>工段可知，</w:t>
      </w:r>
      <w:r>
        <w:rPr>
          <w:rFonts w:ascii="Times New Roman" w:hAnsi="Times New Roman" w:eastAsia="宋体" w:cs="Times New Roman"/>
          <w:color w:val="auto"/>
          <w:sz w:val="24"/>
          <w:szCs w:val="24"/>
          <w:u w:val="single" w:color="auto"/>
        </w:rPr>
        <w:t>钢板</w:t>
      </w:r>
      <w:r>
        <w:rPr>
          <w:rFonts w:hint="eastAsia" w:ascii="Times New Roman" w:hAnsi="Times New Roman" w:eastAsia="宋体" w:cs="Times New Roman"/>
          <w:color w:val="auto"/>
          <w:sz w:val="24"/>
          <w:szCs w:val="24"/>
          <w:u w:val="single" w:color="auto"/>
        </w:rPr>
        <w:t>抛丸</w:t>
      </w:r>
      <w:r>
        <w:rPr>
          <w:rFonts w:ascii="Times New Roman" w:hAnsi="Times New Roman" w:eastAsia="宋体" w:cs="Times New Roman"/>
          <w:color w:val="auto"/>
          <w:sz w:val="24"/>
          <w:szCs w:val="24"/>
          <w:u w:val="single" w:color="auto"/>
        </w:rPr>
        <w:t>工序颗粒物产污系数为2.19千克/吨原料，本项目需</w:t>
      </w:r>
      <w:r>
        <w:rPr>
          <w:rFonts w:hint="eastAsia" w:ascii="Times New Roman" w:hAnsi="Times New Roman" w:eastAsia="宋体" w:cs="Times New Roman"/>
          <w:color w:val="auto"/>
          <w:sz w:val="24"/>
          <w:szCs w:val="24"/>
          <w:u w:val="single" w:color="auto"/>
        </w:rPr>
        <w:t>抛丸处理量</w:t>
      </w:r>
      <w:r>
        <w:rPr>
          <w:rFonts w:ascii="Times New Roman" w:hAnsi="Times New Roman" w:eastAsia="宋体" w:cs="Times New Roman"/>
          <w:color w:val="auto"/>
          <w:sz w:val="24"/>
          <w:szCs w:val="24"/>
          <w:u w:val="single" w:color="auto"/>
        </w:rPr>
        <w:t>约</w:t>
      </w:r>
      <w:r>
        <w:rPr>
          <w:rFonts w:hint="eastAsia" w:ascii="Times New Roman" w:hAnsi="Times New Roman" w:eastAsia="宋体" w:cs="Times New Roman"/>
          <w:color w:val="auto"/>
          <w:sz w:val="24"/>
          <w:szCs w:val="24"/>
          <w:u w:val="single" w:color="auto"/>
          <w:lang w:val="en-US" w:eastAsia="zh-CN"/>
        </w:rPr>
        <w:t>7</w:t>
      </w:r>
      <w:r>
        <w:rPr>
          <w:rFonts w:ascii="Times New Roman" w:hAnsi="Times New Roman" w:eastAsia="宋体" w:cs="Times New Roman"/>
          <w:color w:val="auto"/>
          <w:sz w:val="24"/>
          <w:szCs w:val="24"/>
          <w:u w:val="single" w:color="auto"/>
        </w:rPr>
        <w:t>万t，</w:t>
      </w:r>
      <w:r>
        <w:rPr>
          <w:rFonts w:hint="eastAsia" w:ascii="Times New Roman" w:hAnsi="Times New Roman" w:eastAsia="宋体" w:cs="Times New Roman"/>
          <w:color w:val="auto"/>
          <w:sz w:val="24"/>
          <w:szCs w:val="24"/>
          <w:u w:val="single" w:color="auto"/>
        </w:rPr>
        <w:t>抛丸</w:t>
      </w:r>
      <w:r>
        <w:rPr>
          <w:rFonts w:ascii="Times New Roman" w:hAnsi="Times New Roman" w:eastAsia="宋体" w:cs="Times New Roman"/>
          <w:color w:val="auto"/>
          <w:sz w:val="24"/>
          <w:szCs w:val="24"/>
          <w:u w:val="single" w:color="auto"/>
        </w:rPr>
        <w:t>粉尘约</w:t>
      </w:r>
      <w:r>
        <w:rPr>
          <w:rFonts w:hint="eastAsia" w:ascii="Times New Roman" w:hAnsi="Times New Roman" w:eastAsia="宋体" w:cs="Times New Roman"/>
          <w:color w:val="auto"/>
          <w:sz w:val="24"/>
          <w:szCs w:val="24"/>
          <w:u w:val="single" w:color="auto"/>
          <w:lang w:val="en-US" w:eastAsia="zh-CN"/>
        </w:rPr>
        <w:t>153.3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年工作时间为7920h，则</w:t>
      </w:r>
      <w:r>
        <w:rPr>
          <w:rFonts w:hint="eastAsia" w:ascii="Times New Roman" w:hAnsi="Times New Roman" w:eastAsia="宋体" w:cs="Times New Roman"/>
          <w:color w:val="auto"/>
          <w:sz w:val="24"/>
          <w:szCs w:val="24"/>
          <w:u w:val="single" w:color="auto"/>
          <w:lang w:val="en-US" w:eastAsia="zh-CN"/>
        </w:rPr>
        <w:t>打磨</w:t>
      </w:r>
      <w:r>
        <w:rPr>
          <w:rFonts w:hint="eastAsia" w:ascii="Times New Roman" w:hAnsi="Times New Roman" w:eastAsia="宋体" w:cs="Times New Roman"/>
          <w:color w:val="auto"/>
          <w:sz w:val="24"/>
          <w:szCs w:val="24"/>
          <w:u w:val="single" w:color="auto"/>
        </w:rPr>
        <w:t>车间抛丸粉尘产生量为153.3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19.356</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参考《</w:t>
      </w:r>
      <w:r>
        <w:rPr>
          <w:rFonts w:hint="eastAsia"/>
          <w:color w:val="auto"/>
          <w:sz w:val="24"/>
          <w:szCs w:val="24"/>
          <w:u w:val="single" w:color="auto"/>
        </w:rPr>
        <w:t>关于印发</w:t>
      </w:r>
      <w:r>
        <w:rPr>
          <w:rFonts w:hint="eastAsia"/>
          <w:color w:val="auto"/>
          <w:sz w:val="24"/>
          <w:szCs w:val="24"/>
          <w:u w:val="single" w:color="auto"/>
          <w:lang w:val="en-US" w:eastAsia="zh-CN"/>
        </w:rPr>
        <w:t>&lt;</w:t>
      </w:r>
      <w:r>
        <w:rPr>
          <w:rFonts w:hint="eastAsia"/>
          <w:color w:val="auto"/>
          <w:sz w:val="24"/>
          <w:szCs w:val="24"/>
          <w:u w:val="single" w:color="auto"/>
        </w:rPr>
        <w:t>主要污染物总量减排核算技术指南（2022年修订）</w:t>
      </w:r>
      <w:r>
        <w:rPr>
          <w:rFonts w:hint="eastAsia"/>
          <w:color w:val="auto"/>
          <w:sz w:val="24"/>
          <w:szCs w:val="24"/>
          <w:u w:val="single" w:color="auto"/>
          <w:lang w:val="en-US" w:eastAsia="zh-CN"/>
        </w:rPr>
        <w:t>&gt;</w:t>
      </w:r>
      <w:r>
        <w:rPr>
          <w:rFonts w:hint="eastAsia"/>
          <w:color w:val="auto"/>
          <w:sz w:val="24"/>
          <w:szCs w:val="24"/>
          <w:u w:val="single" w:color="auto"/>
        </w:rPr>
        <w:t>的通知</w:t>
      </w:r>
      <w:r>
        <w:rPr>
          <w:rFonts w:hint="eastAsia" w:ascii="Times New Roman" w:hAnsi="Times New Roman" w:eastAsia="宋体" w:cs="Times New Roman"/>
          <w:color w:val="auto"/>
          <w:sz w:val="24"/>
          <w:szCs w:val="24"/>
          <w:u w:val="single" w:color="auto"/>
        </w:rPr>
        <w:t>》（</w:t>
      </w:r>
      <w:r>
        <w:rPr>
          <w:rFonts w:hint="eastAsia"/>
          <w:color w:val="auto"/>
          <w:sz w:val="24"/>
          <w:szCs w:val="24"/>
          <w:u w:val="single" w:color="auto"/>
        </w:rPr>
        <w:t>环办综合函〔2022〕350号</w:t>
      </w:r>
      <w:r>
        <w:rPr>
          <w:rFonts w:hint="eastAsia" w:ascii="Times New Roman" w:hAnsi="Times New Roman" w:eastAsia="宋体" w:cs="Times New Roman"/>
          <w:color w:val="auto"/>
          <w:sz w:val="24"/>
          <w:szCs w:val="24"/>
          <w:u w:val="single" w:color="auto"/>
        </w:rPr>
        <w:t>）中“表</w:t>
      </w:r>
      <w:r>
        <w:rPr>
          <w:rFonts w:hint="eastAsia" w:cs="Times New Roman"/>
          <w:color w:val="auto"/>
          <w:sz w:val="24"/>
          <w:szCs w:val="24"/>
          <w:u w:val="single" w:color="auto"/>
          <w:lang w:val="en-US" w:eastAsia="zh-CN"/>
        </w:rPr>
        <w:t>2-3</w:t>
      </w:r>
      <w:r>
        <w:rPr>
          <w:rFonts w:hint="eastAsia" w:ascii="Times New Roman" w:hAnsi="Times New Roman" w:eastAsia="宋体" w:cs="Times New Roman"/>
          <w:color w:val="auto"/>
          <w:sz w:val="24"/>
          <w:szCs w:val="24"/>
          <w:u w:val="single" w:color="auto"/>
        </w:rPr>
        <w:t>”，废气收集集气效率参考值：</w:t>
      </w:r>
      <w:r>
        <w:rPr>
          <w:rFonts w:hint="eastAsia" w:cs="Times New Roman"/>
          <w:color w:val="auto"/>
          <w:sz w:val="24"/>
          <w:szCs w:val="24"/>
          <w:u w:val="single" w:color="auto"/>
          <w:lang w:val="en-US" w:eastAsia="zh-CN"/>
        </w:rPr>
        <w:t>密闭空间</w:t>
      </w:r>
      <w:r>
        <w:rPr>
          <w:rFonts w:hint="eastAsia" w:ascii="Times New Roman" w:hAnsi="Times New Roman" w:eastAsia="宋体" w:cs="Times New Roman"/>
          <w:color w:val="auto"/>
          <w:sz w:val="24"/>
          <w:szCs w:val="24"/>
          <w:u w:val="single" w:color="auto"/>
        </w:rPr>
        <w:t>负压</w:t>
      </w:r>
      <w:r>
        <w:rPr>
          <w:rFonts w:ascii="Times New Roman" w:hAnsi="Times New Roman" w:eastAsia="宋体" w:cs="Times New Roman"/>
          <w:color w:val="auto"/>
          <w:sz w:val="24"/>
          <w:szCs w:val="24"/>
          <w:u w:val="single" w:color="auto"/>
        </w:rPr>
        <w:t>收集方式</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收集</w:t>
      </w:r>
      <w:r>
        <w:rPr>
          <w:rFonts w:hint="eastAsia" w:ascii="Times New Roman" w:hAnsi="Times New Roman" w:eastAsia="宋体" w:cs="Times New Roman"/>
          <w:color w:val="auto"/>
          <w:sz w:val="24"/>
          <w:szCs w:val="24"/>
          <w:u w:val="single" w:color="auto"/>
        </w:rPr>
        <w:t>效率为90%计</w:t>
      </w:r>
      <w:r>
        <w:rPr>
          <w:rFonts w:hint="eastAsia" w:ascii="Times New Roman" w:hAnsi="Times New Roman" w:eastAsia="宋体" w:cs="Times New Roman"/>
          <w:color w:val="auto"/>
          <w:sz w:val="24"/>
          <w:szCs w:val="24"/>
          <w:u w:val="single" w:color="auto"/>
          <w:lang w:eastAsia="zh-CN"/>
        </w:rPr>
        <w:t>，</w:t>
      </w:r>
      <w:r>
        <w:rPr>
          <w:rFonts w:hint="eastAsia" w:cs="Times New Roman"/>
          <w:color w:val="auto"/>
          <w:sz w:val="24"/>
          <w:szCs w:val="24"/>
          <w:u w:val="single" w:color="auto"/>
          <w:lang w:val="en-US" w:eastAsia="zh-CN"/>
        </w:rPr>
        <w:t>抛丸</w:t>
      </w:r>
      <w:r>
        <w:rPr>
          <w:rFonts w:hint="eastAsia" w:ascii="Times New Roman" w:hAnsi="Times New Roman" w:eastAsia="宋体" w:cs="Times New Roman"/>
          <w:color w:val="auto"/>
          <w:sz w:val="24"/>
          <w:szCs w:val="24"/>
          <w:u w:val="single" w:color="auto"/>
          <w:lang w:val="en-US" w:eastAsia="zh-CN"/>
        </w:rPr>
        <w:t>粉尘未收集量为产生量的10%，未收集</w:t>
      </w:r>
      <w:r>
        <w:rPr>
          <w:rFonts w:hint="eastAsia" w:cs="Times New Roman"/>
          <w:color w:val="auto"/>
          <w:sz w:val="24"/>
          <w:szCs w:val="24"/>
          <w:u w:val="single" w:color="auto"/>
          <w:lang w:val="en-US" w:eastAsia="zh-CN"/>
        </w:rPr>
        <w:t>抛丸</w:t>
      </w:r>
      <w:r>
        <w:rPr>
          <w:rFonts w:hint="eastAsia" w:ascii="Times New Roman" w:hAnsi="Times New Roman" w:eastAsia="宋体" w:cs="Times New Roman"/>
          <w:color w:val="auto"/>
          <w:sz w:val="24"/>
          <w:szCs w:val="24"/>
          <w:u w:val="single" w:color="auto"/>
          <w:lang w:val="en-US" w:eastAsia="zh-CN"/>
        </w:rPr>
        <w:t>粉尘还有部分重力沉降</w:t>
      </w:r>
      <w:r>
        <w:rPr>
          <w:rFonts w:ascii="Times New Roman" w:hAnsi="Times New Roman" w:eastAsia="宋体" w:cs="Times New Roman"/>
          <w:color w:val="auto"/>
          <w:sz w:val="24"/>
          <w:szCs w:val="24"/>
          <w:u w:val="single" w:color="auto"/>
        </w:rPr>
        <w:t>至工位附近</w:t>
      </w:r>
      <w:r>
        <w:rPr>
          <w:rFonts w:hint="eastAsia" w:ascii="Times New Roman" w:hAnsi="Times New Roman" w:eastAsia="宋体" w:cs="Times New Roman"/>
          <w:color w:val="auto"/>
          <w:sz w:val="24"/>
          <w:szCs w:val="24"/>
          <w:u w:val="single" w:color="auto"/>
          <w:lang w:val="en-US" w:eastAsia="zh-CN"/>
        </w:rPr>
        <w:t>。</w:t>
      </w:r>
      <w:r>
        <w:rPr>
          <w:rFonts w:ascii="Times New Roman" w:hAnsi="Times New Roman" w:eastAsia="宋体" w:cs="Times New Roman"/>
          <w:color w:val="auto"/>
          <w:sz w:val="24"/>
          <w:szCs w:val="24"/>
          <w:u w:val="single" w:color="auto"/>
        </w:rPr>
        <w:t>根据《大气污染物综合排放标准》（GB16297-1996）复核调研和国家环保总局《大气污染物排放达标技术指南》课题调查资料表明，金属粉尘等质量较大的颗粒物，沉降较快，即使较细小的金属粉尘随机械运动，在空气中停留短暂时间后也将沉降于地面。</w:t>
      </w:r>
      <w:r>
        <w:rPr>
          <w:rFonts w:hint="eastAsia" w:ascii="Times New Roman" w:hAnsi="Times New Roman" w:eastAsia="宋体" w:cs="Times New Roman"/>
          <w:color w:val="auto"/>
          <w:sz w:val="24"/>
          <w:szCs w:val="24"/>
          <w:u w:val="single" w:color="auto"/>
          <w:lang w:val="en-US" w:eastAsia="zh-CN"/>
        </w:rPr>
        <w:t>参考《</w:t>
      </w:r>
      <w:r>
        <w:rPr>
          <w:rFonts w:hint="eastAsia" w:ascii="Times New Roman" w:hAnsi="Times New Roman" w:eastAsia="宋体" w:cs="Times New Roman"/>
          <w:color w:val="auto"/>
          <w:sz w:val="24"/>
          <w:szCs w:val="24"/>
          <w:u w:val="single" w:color="auto"/>
        </w:rPr>
        <w:t>未纳入排污许可管理行业适用的排污系数物料衡算方法（试行）</w:t>
      </w:r>
      <w:r>
        <w:rPr>
          <w:rFonts w:hint="eastAsia" w:ascii="Times New Roman" w:hAnsi="Times New Roman" w:eastAsia="宋体" w:cs="Times New Roman"/>
          <w:color w:val="auto"/>
          <w:sz w:val="24"/>
          <w:szCs w:val="24"/>
          <w:u w:val="single" w:color="auto"/>
          <w:lang w:val="en-US" w:eastAsia="zh-CN"/>
        </w:rPr>
        <w:t>》（原环境保护部公告 2017</w:t>
      </w:r>
      <w:r>
        <w:rPr>
          <w:rFonts w:hint="eastAsia" w:cs="Times New Roman"/>
          <w:color w:val="auto"/>
          <w:sz w:val="24"/>
          <w:szCs w:val="24"/>
          <w:u w:val="single" w:color="auto"/>
          <w:lang w:val="en-US" w:eastAsia="zh-CN"/>
        </w:rPr>
        <w:t>年第</w:t>
      </w:r>
      <w:r>
        <w:rPr>
          <w:rFonts w:hint="eastAsia" w:ascii="Times New Roman" w:hAnsi="Times New Roman" w:eastAsia="宋体" w:cs="Times New Roman"/>
          <w:color w:val="auto"/>
          <w:sz w:val="24"/>
          <w:szCs w:val="24"/>
          <w:u w:val="single" w:color="auto"/>
          <w:lang w:val="en-US" w:eastAsia="zh-CN"/>
        </w:rPr>
        <w:t>81号）中“47 锯材加工业”的系数，车间在不装除尘设备的情况下，重力沉降法的效率约为85%。金属粉尘比重大于木质粉尘，金属粉尘较木质粉尘更易沉降，则金属粉尘沉降率按90%计。</w:t>
      </w:r>
      <w:r>
        <w:rPr>
          <w:rFonts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lang w:val="en-US" w:eastAsia="zh-CN"/>
        </w:rPr>
        <w:t>未收集喷砂粉尘</w:t>
      </w:r>
      <w:r>
        <w:rPr>
          <w:rFonts w:ascii="Times New Roman" w:hAnsi="Times New Roman" w:eastAsia="宋体" w:cs="Times New Roman"/>
          <w:color w:val="auto"/>
          <w:sz w:val="24"/>
          <w:szCs w:val="24"/>
          <w:u w:val="single" w:color="auto"/>
        </w:rPr>
        <w:t>预计90%直接沉降至工位附近，其余10%</w:t>
      </w:r>
      <w:r>
        <w:rPr>
          <w:rFonts w:hint="eastAsia" w:ascii="Times New Roman" w:hAnsi="Times New Roman" w:eastAsia="宋体" w:cs="Times New Roman"/>
          <w:color w:val="auto"/>
          <w:sz w:val="24"/>
          <w:szCs w:val="24"/>
          <w:u w:val="single" w:color="auto"/>
          <w:lang w:val="en-US" w:eastAsia="zh-CN"/>
        </w:rPr>
        <w:t>无组织排放</w:t>
      </w:r>
      <w:r>
        <w:rPr>
          <w:rFonts w:ascii="Times New Roman" w:hAnsi="Times New Roman" w:eastAsia="宋体" w:cs="Times New Roman"/>
          <w:color w:val="auto"/>
          <w:sz w:val="24"/>
          <w:szCs w:val="24"/>
          <w:u w:val="single" w:color="auto"/>
        </w:rPr>
        <w:t>。</w:t>
      </w:r>
    </w:p>
    <w:p w14:paraId="49830BF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lang w:val="en-US" w:eastAsia="zh-CN"/>
        </w:rPr>
        <w:t>本</w:t>
      </w:r>
      <w:r>
        <w:rPr>
          <w:rFonts w:hint="eastAsia"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lang w:val="en-US" w:eastAsia="zh-CN"/>
        </w:rPr>
        <w:t>抛</w:t>
      </w:r>
      <w:r>
        <w:rPr>
          <w:rFonts w:ascii="Times New Roman" w:hAnsi="Times New Roman" w:eastAsia="宋体" w:cs="Times New Roman"/>
          <w:color w:val="auto"/>
          <w:sz w:val="24"/>
          <w:szCs w:val="24"/>
          <w:u w:val="single" w:color="auto"/>
        </w:rPr>
        <w:t>丸</w:t>
      </w:r>
      <w:r>
        <w:rPr>
          <w:rFonts w:hint="eastAsia" w:ascii="Times New Roman" w:hAnsi="Times New Roman" w:eastAsia="宋体" w:cs="Times New Roman"/>
          <w:color w:val="auto"/>
          <w:sz w:val="24"/>
          <w:szCs w:val="24"/>
          <w:u w:val="single" w:color="auto"/>
        </w:rPr>
        <w:t>粉尘处理设备为</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w:t>
      </w:r>
      <w:r>
        <w:rPr>
          <w:rFonts w:hint="eastAsia" w:ascii="Times New Roman" w:hAnsi="Times New Roman" w:eastAsia="宋体" w:cs="Times New Roman"/>
          <w:color w:val="auto"/>
          <w:sz w:val="24"/>
          <w:szCs w:val="24"/>
          <w:u w:val="single" w:color="auto"/>
        </w:rPr>
        <w:t>，</w:t>
      </w:r>
      <w:r>
        <w:rPr>
          <w:rFonts w:ascii="Times New Roman" w:hAnsi="Times New Roman" w:eastAsia="宋体" w:cs="Times New Roman"/>
          <w:color w:val="auto"/>
          <w:sz w:val="24"/>
          <w:szCs w:val="24"/>
          <w:u w:val="single" w:color="auto"/>
        </w:rPr>
        <w:t>参考</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6预处理</w:t>
      </w:r>
      <w:r>
        <w:rPr>
          <w:rFonts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rPr>
        <w:t>喷砂中</w:t>
      </w:r>
      <w:r>
        <w:rPr>
          <w:rFonts w:hint="eastAsia" w:ascii="Times New Roman" w:hAnsi="Times New Roman" w:eastAsia="宋体" w:cs="Times New Roman"/>
          <w:color w:val="auto"/>
          <w:sz w:val="24"/>
          <w:szCs w:val="24"/>
          <w:u w:val="single" w:color="auto"/>
          <w:lang w:val="en-US" w:eastAsia="zh-CN"/>
        </w:rPr>
        <w:t>单筒（多筒并联）旋风</w:t>
      </w:r>
      <w:r>
        <w:rPr>
          <w:rFonts w:hint="eastAsia" w:ascii="Times New Roman" w:hAnsi="Times New Roman" w:eastAsia="宋体" w:cs="Times New Roman"/>
          <w:color w:val="auto"/>
          <w:sz w:val="24"/>
          <w:szCs w:val="24"/>
          <w:u w:val="single" w:color="auto"/>
        </w:rPr>
        <w:t>的处理效率为</w:t>
      </w:r>
      <w:r>
        <w:rPr>
          <w:rFonts w:hint="eastAsia" w:ascii="Times New Roman" w:hAnsi="Times New Roman" w:eastAsia="宋体" w:cs="Times New Roman"/>
          <w:color w:val="auto"/>
          <w:sz w:val="24"/>
          <w:szCs w:val="24"/>
          <w:u w:val="single" w:color="auto"/>
          <w:lang w:val="en-US" w:eastAsia="zh-CN"/>
        </w:rPr>
        <w:t>60</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rPr>
        <w:t>袋式除尘器的处理效率为95%</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则旋风除尘器+</w:t>
      </w:r>
      <w:r>
        <w:rPr>
          <w:rFonts w:ascii="Times New Roman" w:hAnsi="Times New Roman" w:eastAsia="宋体" w:cs="Times New Roman"/>
          <w:color w:val="auto"/>
          <w:sz w:val="24"/>
          <w:szCs w:val="24"/>
          <w:u w:val="single" w:color="auto"/>
        </w:rPr>
        <w:t>滤筒除尘器</w:t>
      </w:r>
      <w:r>
        <w:rPr>
          <w:rFonts w:hint="eastAsia" w:ascii="Times New Roman" w:hAnsi="Times New Roman" w:eastAsia="宋体" w:cs="Times New Roman"/>
          <w:color w:val="auto"/>
          <w:sz w:val="24"/>
          <w:szCs w:val="24"/>
          <w:u w:val="single" w:color="auto"/>
          <w:lang w:val="en-US" w:eastAsia="zh-CN"/>
        </w:rPr>
        <w:t>处理效率为98%，本项目处理效率取98%。</w:t>
      </w:r>
    </w:p>
    <w:p w14:paraId="3E35090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抛丸机在密闭状态下工作，产生的粉尘经负压集气系统收集，</w:t>
      </w:r>
      <w:r>
        <w:rPr>
          <w:rFonts w:hint="eastAsia" w:ascii="Times New Roman" w:hAnsi="Times New Roman" w:eastAsia="宋体" w:cs="Times New Roman"/>
          <w:color w:val="auto"/>
          <w:sz w:val="24"/>
          <w:szCs w:val="24"/>
          <w:u w:val="single" w:color="auto"/>
        </w:rPr>
        <w:t>收集风量为60000m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/h，</w:t>
      </w:r>
      <w:r>
        <w:rPr>
          <w:rFonts w:ascii="Times New Roman" w:hAnsi="Times New Roman" w:eastAsia="宋体" w:cs="Times New Roman"/>
          <w:color w:val="auto"/>
          <w:sz w:val="24"/>
          <w:szCs w:val="24"/>
          <w:u w:val="single" w:color="auto"/>
        </w:rPr>
        <w:t>收集效率为9</w:t>
      </w:r>
      <w:r>
        <w:rPr>
          <w:rFonts w:hint="eastAsia" w:ascii="Times New Roman" w:hAnsi="Times New Roman" w:eastAsia="宋体" w:cs="Times New Roman"/>
          <w:color w:val="auto"/>
          <w:sz w:val="24"/>
          <w:szCs w:val="24"/>
          <w:u w:val="single" w:color="auto"/>
          <w:lang w:val="en-US" w:eastAsia="zh-CN"/>
        </w:rPr>
        <w:t>0</w:t>
      </w:r>
      <w:r>
        <w:rPr>
          <w:rFonts w:ascii="Times New Roman" w:hAnsi="Times New Roman" w:eastAsia="宋体" w:cs="Times New Roman"/>
          <w:color w:val="auto"/>
          <w:sz w:val="24"/>
          <w:szCs w:val="24"/>
          <w:u w:val="single" w:color="auto"/>
        </w:rPr>
        <w:t>%，由风机引至</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w:t>
      </w:r>
      <w:r>
        <w:rPr>
          <w:rFonts w:hint="eastAsia" w:ascii="Times New Roman" w:hAnsi="Times New Roman" w:eastAsia="宋体" w:cs="Times New Roman"/>
          <w:color w:val="auto"/>
          <w:sz w:val="24"/>
          <w:szCs w:val="24"/>
          <w:u w:val="single" w:color="auto"/>
        </w:rPr>
        <w:t>车间废气汇合</w:t>
      </w:r>
      <w:r>
        <w:rPr>
          <w:rFonts w:ascii="Times New Roman" w:hAnsi="Times New Roman" w:eastAsia="宋体" w:cs="Times New Roman"/>
          <w:color w:val="auto"/>
          <w:sz w:val="24"/>
          <w:szCs w:val="24"/>
          <w:u w:val="single" w:color="auto"/>
        </w:rPr>
        <w:t>经</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排气筒（DA001）排放，未被收集的粉尘</w:t>
      </w:r>
      <w:r>
        <w:rPr>
          <w:rFonts w:hint="eastAsia" w:ascii="Times New Roman" w:hAnsi="Times New Roman" w:eastAsia="宋体" w:cs="Times New Roman"/>
          <w:color w:val="auto"/>
          <w:sz w:val="24"/>
          <w:szCs w:val="24"/>
          <w:u w:val="single" w:color="auto"/>
        </w:rPr>
        <w:t>约90%</w:t>
      </w:r>
      <w:r>
        <w:rPr>
          <w:rFonts w:ascii="Times New Roman" w:hAnsi="Times New Roman" w:eastAsia="宋体" w:cs="Times New Roman"/>
          <w:color w:val="auto"/>
          <w:sz w:val="24"/>
          <w:szCs w:val="24"/>
          <w:u w:val="single" w:color="auto"/>
        </w:rPr>
        <w:t>在车间内沉降，约10%以粉尘形式无组织排放。本项目</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滤筒除尘器除尘效率以9</w:t>
      </w:r>
      <w:r>
        <w:rPr>
          <w:rFonts w:hint="eastAsia" w:ascii="Times New Roman" w:hAnsi="Times New Roman" w:eastAsia="宋体" w:cs="Times New Roman"/>
          <w:color w:val="auto"/>
          <w:sz w:val="24"/>
          <w:szCs w:val="24"/>
          <w:u w:val="single" w:color="auto"/>
          <w:lang w:val="en-US" w:eastAsia="zh-CN"/>
        </w:rPr>
        <w:t>8</w:t>
      </w:r>
      <w:r>
        <w:rPr>
          <w:rFonts w:ascii="Times New Roman" w:hAnsi="Times New Roman" w:eastAsia="宋体" w:cs="Times New Roman"/>
          <w:color w:val="auto"/>
          <w:sz w:val="24"/>
          <w:szCs w:val="24"/>
          <w:u w:val="single" w:color="auto"/>
        </w:rPr>
        <w:t>%计，则本项目抛丸粉尘有组织排放量为</w:t>
      </w:r>
      <w:r>
        <w:rPr>
          <w:rFonts w:hint="eastAsia" w:ascii="Times New Roman" w:hAnsi="Times New Roman" w:eastAsia="宋体" w:cs="Times New Roman"/>
          <w:color w:val="auto"/>
          <w:sz w:val="24"/>
          <w:szCs w:val="24"/>
          <w:u w:val="single" w:color="auto"/>
          <w:lang w:val="en-US" w:eastAsia="zh-CN"/>
        </w:rPr>
        <w:t>2.759</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348</w:t>
      </w:r>
      <w:r>
        <w:rPr>
          <w:rFonts w:ascii="Times New Roman" w:hAnsi="Times New Roman" w:eastAsia="宋体" w:cs="Times New Roman"/>
          <w:color w:val="auto"/>
          <w:sz w:val="24"/>
          <w:szCs w:val="24"/>
          <w:u w:val="single" w:color="auto"/>
        </w:rPr>
        <w:t>kg/h）；无组织排放量</w:t>
      </w:r>
      <w:r>
        <w:rPr>
          <w:rFonts w:hint="eastAsia" w:ascii="Times New Roman" w:hAnsi="Times New Roman" w:eastAsia="宋体" w:cs="Times New Roman"/>
          <w:color w:val="auto"/>
          <w:sz w:val="24"/>
          <w:szCs w:val="24"/>
          <w:u w:val="single" w:color="auto"/>
          <w:lang w:val="en-US" w:eastAsia="zh-CN"/>
        </w:rPr>
        <w:t>1.533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194</w:t>
      </w:r>
      <w:r>
        <w:rPr>
          <w:rFonts w:ascii="Times New Roman" w:hAnsi="Times New Roman" w:eastAsia="宋体" w:cs="Times New Roman"/>
          <w:color w:val="auto"/>
          <w:sz w:val="24"/>
          <w:szCs w:val="24"/>
          <w:u w:val="single" w:color="auto"/>
        </w:rPr>
        <w:t>kg/h）。</w:t>
      </w:r>
    </w:p>
    <w:p w14:paraId="2974174C">
      <w:pPr>
        <w:snapToGrid w:val="0"/>
        <w:spacing w:line="360" w:lineRule="auto"/>
        <w:ind w:firstLine="482" w:firstLineChars="200"/>
        <w:rPr>
          <w:rFonts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4）</w:t>
      </w:r>
      <w:r>
        <w:rPr>
          <w:rFonts w:ascii="Times New Roman" w:hAnsi="Times New Roman" w:eastAsia="宋体" w:cs="Times New Roman"/>
          <w:b/>
          <w:bCs/>
          <w:color w:val="auto"/>
          <w:sz w:val="24"/>
          <w:szCs w:val="24"/>
          <w:u w:val="single" w:color="auto"/>
        </w:rPr>
        <w:t>喷砂废气</w:t>
      </w:r>
      <w:r>
        <w:rPr>
          <w:rFonts w:hint="eastAsia" w:ascii="Times New Roman" w:hAnsi="Times New Roman" w:eastAsia="宋体" w:cs="Times New Roman"/>
          <w:b/>
          <w:bCs/>
          <w:color w:val="auto"/>
          <w:sz w:val="24"/>
          <w:szCs w:val="24"/>
          <w:u w:val="single" w:color="auto"/>
        </w:rPr>
        <w:t>（</w:t>
      </w:r>
      <w:r>
        <w:rPr>
          <w:rFonts w:ascii="Times New Roman" w:hAnsi="Times New Roman" w:eastAsia="宋体" w:cs="Times New Roman"/>
          <w:b/>
          <w:bCs/>
          <w:color w:val="auto"/>
          <w:sz w:val="24"/>
          <w:szCs w:val="24"/>
          <w:u w:val="single" w:color="auto"/>
        </w:rPr>
        <w:t>G4</w:t>
      </w:r>
      <w:r>
        <w:rPr>
          <w:rFonts w:hint="eastAsia" w:ascii="Times New Roman" w:hAnsi="Times New Roman" w:eastAsia="宋体" w:cs="Times New Roman"/>
          <w:b/>
          <w:bCs/>
          <w:color w:val="auto"/>
          <w:sz w:val="24"/>
          <w:szCs w:val="24"/>
          <w:u w:val="single" w:color="auto"/>
        </w:rPr>
        <w:t>）</w:t>
      </w:r>
    </w:p>
    <w:p w14:paraId="563F0CF0">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lang w:eastAsia="zh-CN"/>
        </w:rPr>
        <w:t>海桩</w:t>
      </w:r>
      <w:r>
        <w:rPr>
          <w:rFonts w:hint="eastAsia" w:ascii="Times New Roman" w:hAnsi="Times New Roman" w:eastAsia="宋体" w:cs="Times New Roman"/>
          <w:color w:val="auto"/>
          <w:sz w:val="24"/>
          <w:szCs w:val="24"/>
          <w:u w:val="single" w:color="auto"/>
        </w:rPr>
        <w:t>因采用抛丸除锈不完全，约5%</w:t>
      </w:r>
      <w:r>
        <w:rPr>
          <w:rFonts w:hint="eastAsia" w:ascii="Times New Roman" w:hAnsi="Times New Roman" w:eastAsia="宋体" w:cs="Times New Roman"/>
          <w:color w:val="auto"/>
          <w:sz w:val="24"/>
          <w:szCs w:val="24"/>
          <w:u w:val="single" w:color="auto"/>
          <w:lang w:eastAsia="zh-CN"/>
        </w:rPr>
        <w:t>桥梁</w:t>
      </w:r>
      <w:r>
        <w:rPr>
          <w:rFonts w:hint="eastAsia" w:ascii="Times New Roman" w:hAnsi="Times New Roman" w:eastAsia="宋体" w:cs="Times New Roman"/>
          <w:color w:val="auto"/>
          <w:sz w:val="24"/>
          <w:szCs w:val="24"/>
          <w:u w:val="single" w:color="auto"/>
        </w:rPr>
        <w:t>和5%</w:t>
      </w:r>
      <w:r>
        <w:rPr>
          <w:rFonts w:hint="eastAsia" w:ascii="Times New Roman" w:hAnsi="Times New Roman" w:eastAsia="宋体" w:cs="Times New Roman"/>
          <w:color w:val="auto"/>
          <w:sz w:val="24"/>
          <w:szCs w:val="24"/>
          <w:u w:val="single" w:color="auto"/>
          <w:lang w:eastAsia="zh-CN"/>
        </w:rPr>
        <w:t>海桩</w:t>
      </w:r>
      <w:r>
        <w:rPr>
          <w:rFonts w:hint="eastAsia" w:ascii="Times New Roman" w:hAnsi="Times New Roman" w:eastAsia="宋体" w:cs="Times New Roman"/>
          <w:color w:val="auto"/>
          <w:sz w:val="24"/>
          <w:szCs w:val="24"/>
          <w:u w:val="single" w:color="auto"/>
        </w:rPr>
        <w:t>需采用</w:t>
      </w:r>
      <w:r>
        <w:rPr>
          <w:rFonts w:hint="eastAsia" w:ascii="Times New Roman" w:hAnsi="Times New Roman" w:eastAsia="宋体" w:cs="Times New Roman"/>
          <w:color w:val="auto"/>
          <w:sz w:val="24"/>
          <w:szCs w:val="24"/>
          <w:u w:val="single" w:color="auto"/>
          <w:lang w:eastAsia="zh-CN"/>
        </w:rPr>
        <w:t>喷砂除锈</w:t>
      </w:r>
      <w:r>
        <w:rPr>
          <w:rFonts w:hint="eastAsia" w:ascii="Times New Roman" w:hAnsi="Times New Roman" w:eastAsia="宋体" w:cs="Times New Roman"/>
          <w:color w:val="auto"/>
          <w:sz w:val="24"/>
          <w:szCs w:val="24"/>
          <w:u w:val="single" w:color="auto"/>
        </w:rPr>
        <w:t>彻底除锈。项目全部的导管架采用喷砂除锈，</w:t>
      </w:r>
      <w:r>
        <w:rPr>
          <w:rFonts w:ascii="Times New Roman" w:hAnsi="Times New Roman" w:eastAsia="宋体" w:cs="Times New Roman"/>
          <w:color w:val="auto"/>
          <w:sz w:val="24"/>
          <w:szCs w:val="24"/>
          <w:u w:val="single" w:color="auto"/>
        </w:rPr>
        <w:t>喷砂过程</w:t>
      </w:r>
      <w:r>
        <w:rPr>
          <w:rFonts w:hint="eastAsia" w:ascii="Times New Roman" w:hAnsi="Times New Roman" w:eastAsia="宋体" w:cs="Times New Roman"/>
          <w:color w:val="auto"/>
          <w:sz w:val="24"/>
          <w:szCs w:val="24"/>
          <w:u w:val="single" w:color="auto"/>
        </w:rPr>
        <w:t>中产生喷砂粉尘</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本项目导管架、</w:t>
      </w:r>
      <w:r>
        <w:rPr>
          <w:rFonts w:hint="eastAsia" w:ascii="Times New Roman" w:hAnsi="Times New Roman" w:eastAsia="宋体" w:cs="Times New Roman"/>
          <w:color w:val="auto"/>
          <w:sz w:val="24"/>
          <w:szCs w:val="24"/>
          <w:u w:val="single" w:color="auto"/>
          <w:lang w:eastAsia="zh-CN"/>
        </w:rPr>
        <w:t>桥梁</w:t>
      </w:r>
      <w:r>
        <w:rPr>
          <w:rFonts w:hint="eastAsia" w:ascii="Times New Roman" w:hAnsi="Times New Roman" w:eastAsia="宋体" w:cs="Times New Roman"/>
          <w:color w:val="auto"/>
          <w:sz w:val="24"/>
          <w:szCs w:val="24"/>
          <w:u w:val="single" w:color="auto"/>
        </w:rPr>
        <w:t>和</w:t>
      </w:r>
      <w:r>
        <w:rPr>
          <w:rFonts w:hint="eastAsia" w:ascii="Times New Roman" w:hAnsi="Times New Roman" w:eastAsia="宋体" w:cs="Times New Roman"/>
          <w:color w:val="auto"/>
          <w:sz w:val="24"/>
          <w:szCs w:val="24"/>
          <w:u w:val="single" w:color="auto"/>
          <w:lang w:eastAsia="zh-CN"/>
        </w:rPr>
        <w:t>海桩</w:t>
      </w:r>
      <w:r>
        <w:rPr>
          <w:rFonts w:hint="eastAsia" w:ascii="Times New Roman" w:hAnsi="Times New Roman" w:eastAsia="宋体" w:cs="Times New Roman"/>
          <w:color w:val="auto"/>
          <w:sz w:val="24"/>
          <w:szCs w:val="24"/>
          <w:u w:val="single" w:color="auto"/>
        </w:rPr>
        <w:t>产生的喷砂粉尘</w:t>
      </w:r>
      <w:r>
        <w:rPr>
          <w:rFonts w:ascii="Times New Roman" w:hAnsi="Times New Roman" w:eastAsia="宋体" w:cs="Times New Roman"/>
          <w:color w:val="auto"/>
          <w:sz w:val="24"/>
          <w:szCs w:val="24"/>
          <w:u w:val="single" w:color="auto"/>
        </w:rPr>
        <w:t>参考</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排放源统计调查产排污核算方法和系数手册》（2021版）</w:t>
      </w:r>
      <w:r>
        <w:rPr>
          <w:rFonts w:hint="default"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lang w:val="en-US" w:eastAsia="zh-CN"/>
        </w:rPr>
        <w:t>机械行业系数手册</w:t>
      </w:r>
      <w:r>
        <w:rPr>
          <w:rFonts w:hint="default"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6预处理</w:t>
      </w:r>
      <w:r>
        <w:rPr>
          <w:rFonts w:hint="eastAsia" w:ascii="Times New Roman" w:hAnsi="Times New Roman" w:eastAsia="宋体" w:cs="Times New Roman"/>
          <w:color w:val="auto"/>
          <w:sz w:val="24"/>
          <w:szCs w:val="24"/>
          <w:u w:val="none" w:color="auto"/>
          <w:lang w:val="en-US" w:eastAsia="zh-CN"/>
        </w:rPr>
        <w:t>工段可知，</w:t>
      </w:r>
      <w:r>
        <w:rPr>
          <w:rFonts w:ascii="Times New Roman" w:hAnsi="Times New Roman" w:eastAsia="宋体" w:cs="Times New Roman"/>
          <w:color w:val="auto"/>
          <w:sz w:val="24"/>
          <w:szCs w:val="24"/>
          <w:u w:val="single" w:color="auto"/>
        </w:rPr>
        <w:t>钢板</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工序颗粒物产污系数为2.19千克/吨原料，本项目需</w:t>
      </w:r>
      <w:r>
        <w:rPr>
          <w:rFonts w:hint="eastAsia" w:ascii="Times New Roman" w:hAnsi="Times New Roman" w:eastAsia="宋体" w:cs="Times New Roman"/>
          <w:color w:val="auto"/>
          <w:sz w:val="24"/>
          <w:szCs w:val="24"/>
          <w:u w:val="single" w:color="auto"/>
        </w:rPr>
        <w:t>喷砂处理量</w:t>
      </w:r>
      <w:r>
        <w:rPr>
          <w:rFonts w:ascii="Times New Roman" w:hAnsi="Times New Roman" w:eastAsia="宋体" w:cs="Times New Roman"/>
          <w:color w:val="auto"/>
          <w:sz w:val="24"/>
          <w:szCs w:val="24"/>
          <w:u w:val="single" w:color="auto"/>
        </w:rPr>
        <w:t>约</w:t>
      </w:r>
      <w:r>
        <w:rPr>
          <w:rFonts w:hint="eastAsia" w:ascii="Times New Roman" w:hAnsi="Times New Roman" w:eastAsia="宋体" w:cs="Times New Roman"/>
          <w:color w:val="auto"/>
          <w:sz w:val="24"/>
          <w:szCs w:val="24"/>
          <w:u w:val="single" w:color="auto"/>
          <w:lang w:val="en-US" w:eastAsia="zh-CN"/>
        </w:rPr>
        <w:t>4.6</w:t>
      </w:r>
      <w:r>
        <w:rPr>
          <w:rFonts w:ascii="Times New Roman" w:hAnsi="Times New Roman" w:eastAsia="宋体" w:cs="Times New Roman"/>
          <w:color w:val="auto"/>
          <w:sz w:val="24"/>
          <w:szCs w:val="24"/>
          <w:u w:val="single" w:color="auto"/>
        </w:rPr>
        <w:t>万t，</w:t>
      </w:r>
      <w:r>
        <w:rPr>
          <w:rFonts w:hint="eastAsia" w:ascii="Times New Roman" w:hAnsi="Times New Roman" w:eastAsia="宋体" w:cs="Times New Roman"/>
          <w:color w:val="auto"/>
          <w:sz w:val="24"/>
          <w:szCs w:val="24"/>
          <w:u w:val="single" w:color="auto"/>
        </w:rPr>
        <w:t>则喷砂</w:t>
      </w:r>
      <w:r>
        <w:rPr>
          <w:rFonts w:ascii="Times New Roman" w:hAnsi="Times New Roman" w:eastAsia="宋体" w:cs="Times New Roman"/>
          <w:color w:val="auto"/>
          <w:sz w:val="24"/>
          <w:szCs w:val="24"/>
          <w:u w:val="single" w:color="auto"/>
        </w:rPr>
        <w:t>粉尘</w:t>
      </w:r>
      <w:r>
        <w:rPr>
          <w:rFonts w:hint="eastAsia" w:ascii="Times New Roman" w:hAnsi="Times New Roman" w:eastAsia="宋体" w:cs="Times New Roman"/>
          <w:color w:val="auto"/>
          <w:sz w:val="24"/>
          <w:szCs w:val="24"/>
          <w:u w:val="single" w:color="auto"/>
        </w:rPr>
        <w:t>量为</w:t>
      </w:r>
      <w:r>
        <w:rPr>
          <w:rFonts w:hint="eastAsia" w:ascii="Times New Roman" w:hAnsi="Times New Roman" w:eastAsia="宋体" w:cs="Times New Roman"/>
          <w:color w:val="auto"/>
          <w:sz w:val="24"/>
          <w:szCs w:val="24"/>
          <w:u w:val="single" w:color="auto"/>
          <w:lang w:val="en-US" w:eastAsia="zh-CN"/>
        </w:rPr>
        <w:t>100.74</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项目</w:t>
      </w:r>
      <w:r>
        <w:rPr>
          <w:rFonts w:hint="eastAsia" w:ascii="Times New Roman" w:hAnsi="Times New Roman" w:eastAsia="宋体" w:cs="Times New Roman"/>
          <w:color w:val="auto"/>
          <w:sz w:val="24"/>
          <w:szCs w:val="24"/>
          <w:u w:val="single" w:color="auto"/>
          <w:lang w:val="en-US" w:eastAsia="zh-CN"/>
        </w:rPr>
        <w:t>打磨车间</w:t>
      </w:r>
      <w:r>
        <w:rPr>
          <w:rFonts w:hint="eastAsia" w:ascii="Times New Roman" w:hAnsi="Times New Roman" w:eastAsia="宋体" w:cs="Times New Roman"/>
          <w:color w:val="auto"/>
          <w:sz w:val="24"/>
          <w:szCs w:val="24"/>
          <w:u w:val="single" w:color="auto"/>
        </w:rPr>
        <w:t>年工作时间为7920h，则</w:t>
      </w:r>
      <w:r>
        <w:rPr>
          <w:rFonts w:hint="eastAsia" w:ascii="Times New Roman" w:hAnsi="Times New Roman" w:eastAsia="宋体" w:cs="Times New Roman"/>
          <w:color w:val="auto"/>
          <w:sz w:val="24"/>
          <w:szCs w:val="24"/>
          <w:u w:val="single" w:color="auto"/>
          <w:lang w:val="en-US" w:eastAsia="zh-CN"/>
        </w:rPr>
        <w:t>打磨车间</w:t>
      </w:r>
      <w:r>
        <w:rPr>
          <w:rFonts w:hint="eastAsia" w:ascii="Times New Roman" w:hAnsi="Times New Roman" w:eastAsia="宋体" w:cs="Times New Roman"/>
          <w:color w:val="auto"/>
          <w:sz w:val="24"/>
          <w:szCs w:val="24"/>
          <w:u w:val="single" w:color="auto"/>
        </w:rPr>
        <w:t>喷砂粉尘产生量为</w:t>
      </w:r>
      <w:r>
        <w:rPr>
          <w:rFonts w:hint="eastAsia" w:ascii="Times New Roman" w:hAnsi="Times New Roman" w:eastAsia="宋体" w:cs="Times New Roman"/>
          <w:color w:val="auto"/>
          <w:sz w:val="24"/>
          <w:szCs w:val="24"/>
          <w:u w:val="single" w:color="auto"/>
          <w:lang w:val="en-US" w:eastAsia="zh-CN"/>
        </w:rPr>
        <w:t>100.74</w:t>
      </w:r>
      <w:r>
        <w:rPr>
          <w:rFonts w:hint="eastAsia" w:ascii="Times New Roman" w:hAnsi="Times New Roman" w:eastAsia="宋体" w:cs="Times New Roman"/>
          <w:color w:val="auto"/>
          <w:sz w:val="24"/>
          <w:szCs w:val="24"/>
          <w:u w:val="single" w:color="auto"/>
        </w:rPr>
        <w:t>t/a</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12.72</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打磨车间</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在密闭状态下工作，产生的</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粉尘经负压集气系统收集，收集效率为9</w:t>
      </w:r>
      <w:r>
        <w:rPr>
          <w:rFonts w:hint="eastAsia" w:ascii="Times New Roman" w:hAnsi="Times New Roman" w:eastAsia="宋体" w:cs="Times New Roman"/>
          <w:color w:val="auto"/>
          <w:sz w:val="24"/>
          <w:szCs w:val="24"/>
          <w:u w:val="single" w:color="auto"/>
          <w:lang w:val="en-US" w:eastAsia="zh-CN"/>
        </w:rPr>
        <w:t>0</w:t>
      </w:r>
      <w:r>
        <w:rPr>
          <w:rFonts w:ascii="Times New Roman" w:hAnsi="Times New Roman" w:eastAsia="宋体" w:cs="Times New Roman"/>
          <w:color w:val="auto"/>
          <w:sz w:val="24"/>
          <w:szCs w:val="24"/>
          <w:u w:val="single" w:color="auto"/>
        </w:rPr>
        <w:t>%，由风机引至</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滤筒除尘器处理，处理后</w:t>
      </w:r>
      <w:r>
        <w:rPr>
          <w:rFonts w:hint="eastAsia" w:ascii="Times New Roman" w:hAnsi="Times New Roman" w:eastAsia="宋体" w:cs="Times New Roman"/>
          <w:color w:val="auto"/>
          <w:sz w:val="24"/>
          <w:szCs w:val="24"/>
          <w:u w:val="single" w:color="auto"/>
        </w:rPr>
        <w:t>与抛丸废气一道</w:t>
      </w:r>
      <w:r>
        <w:rPr>
          <w:rFonts w:ascii="Times New Roman" w:hAnsi="Times New Roman" w:eastAsia="宋体" w:cs="Times New Roman"/>
          <w:color w:val="auto"/>
          <w:sz w:val="24"/>
          <w:szCs w:val="24"/>
          <w:u w:val="single" w:color="auto"/>
        </w:rPr>
        <w:t>经</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w:t>
      </w:r>
      <w:r>
        <w:rPr>
          <w:rFonts w:hint="eastAsia" w:ascii="Times New Roman" w:hAnsi="Times New Roman" w:eastAsia="宋体" w:cs="Times New Roman"/>
          <w:color w:val="auto"/>
          <w:sz w:val="24"/>
          <w:szCs w:val="24"/>
          <w:u w:val="single" w:color="auto"/>
        </w:rPr>
        <w:t>1</w:t>
      </w:r>
      <w:r>
        <w:rPr>
          <w:rFonts w:ascii="Times New Roman" w:hAnsi="Times New Roman" w:eastAsia="宋体" w:cs="Times New Roman"/>
          <w:color w:val="auto"/>
          <w:sz w:val="24"/>
          <w:szCs w:val="24"/>
          <w:u w:val="single" w:color="auto"/>
        </w:rPr>
        <w:t>）排放，未被收集的粉尘</w:t>
      </w:r>
      <w:r>
        <w:rPr>
          <w:rFonts w:hint="eastAsia" w:ascii="Times New Roman" w:hAnsi="Times New Roman" w:eastAsia="宋体" w:cs="Times New Roman"/>
          <w:color w:val="auto"/>
          <w:sz w:val="24"/>
          <w:szCs w:val="24"/>
          <w:u w:val="single" w:color="auto"/>
        </w:rPr>
        <w:t>约90%</w:t>
      </w:r>
      <w:r>
        <w:rPr>
          <w:rFonts w:ascii="Times New Roman" w:hAnsi="Times New Roman" w:eastAsia="宋体" w:cs="Times New Roman"/>
          <w:color w:val="auto"/>
          <w:sz w:val="24"/>
          <w:szCs w:val="24"/>
          <w:u w:val="single" w:color="auto"/>
        </w:rPr>
        <w:t>在车间内沉降，约10%以粉尘形式无组织排放。本项目</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滤筒除尘器效率以9</w:t>
      </w:r>
      <w:r>
        <w:rPr>
          <w:rFonts w:hint="eastAsia" w:ascii="Times New Roman" w:hAnsi="Times New Roman" w:eastAsia="宋体" w:cs="Times New Roman"/>
          <w:color w:val="auto"/>
          <w:sz w:val="24"/>
          <w:szCs w:val="24"/>
          <w:u w:val="single" w:color="auto"/>
          <w:lang w:val="en-US" w:eastAsia="zh-CN"/>
        </w:rPr>
        <w:t>8</w:t>
      </w:r>
      <w:r>
        <w:rPr>
          <w:rFonts w:ascii="Times New Roman" w:hAnsi="Times New Roman" w:eastAsia="宋体" w:cs="Times New Roman"/>
          <w:color w:val="auto"/>
          <w:sz w:val="24"/>
          <w:szCs w:val="24"/>
          <w:u w:val="single" w:color="auto"/>
        </w:rPr>
        <w:t>%计，则本项目喷砂粉尘有组织排放量为</w:t>
      </w:r>
      <w:r>
        <w:rPr>
          <w:rFonts w:hint="eastAsia" w:ascii="Times New Roman" w:hAnsi="Times New Roman" w:eastAsia="宋体" w:cs="Times New Roman"/>
          <w:color w:val="auto"/>
          <w:sz w:val="24"/>
          <w:szCs w:val="24"/>
          <w:u w:val="single" w:color="auto"/>
          <w:lang w:val="en-US" w:eastAsia="zh-CN"/>
        </w:rPr>
        <w:t>1.813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229</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val="en-US" w:eastAsia="zh-CN"/>
        </w:rPr>
        <w:t>打磨车间</w:t>
      </w:r>
      <w:r>
        <w:rPr>
          <w:rFonts w:hint="eastAsia" w:ascii="Times New Roman" w:hAnsi="Times New Roman" w:eastAsia="宋体" w:cs="Times New Roman"/>
          <w:color w:val="auto"/>
          <w:sz w:val="24"/>
          <w:szCs w:val="24"/>
          <w:u w:val="single" w:color="auto"/>
        </w:rPr>
        <w:t>喷砂</w:t>
      </w:r>
      <w:r>
        <w:rPr>
          <w:rFonts w:ascii="Times New Roman" w:hAnsi="Times New Roman" w:eastAsia="宋体" w:cs="Times New Roman"/>
          <w:color w:val="auto"/>
          <w:sz w:val="24"/>
          <w:szCs w:val="24"/>
          <w:u w:val="single" w:color="auto"/>
        </w:rPr>
        <w:t>无组织排放量</w:t>
      </w:r>
      <w:r>
        <w:rPr>
          <w:rFonts w:hint="eastAsia" w:ascii="Times New Roman" w:hAnsi="Times New Roman" w:eastAsia="宋体" w:cs="Times New Roman"/>
          <w:color w:val="auto"/>
          <w:sz w:val="24"/>
          <w:szCs w:val="24"/>
          <w:u w:val="single" w:color="auto"/>
          <w:lang w:val="en-US" w:eastAsia="zh-CN"/>
        </w:rPr>
        <w:t>1.007</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0.127</w:t>
      </w:r>
      <w:r>
        <w:rPr>
          <w:rFonts w:ascii="Times New Roman" w:hAnsi="Times New Roman" w:eastAsia="宋体" w:cs="Times New Roman"/>
          <w:color w:val="auto"/>
          <w:sz w:val="24"/>
          <w:szCs w:val="24"/>
          <w:u w:val="single" w:color="auto"/>
        </w:rPr>
        <w:t>kg/h）。</w:t>
      </w:r>
    </w:p>
    <w:p w14:paraId="282E4828">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综合抛丸废气和喷砂废气车间</w:t>
      </w:r>
      <w:r>
        <w:rPr>
          <w:rFonts w:hint="eastAsia" w:ascii="Times New Roman" w:hAnsi="Times New Roman" w:eastAsia="宋体" w:cs="Times New Roman"/>
          <w:color w:val="auto"/>
          <w:sz w:val="24"/>
          <w:szCs w:val="24"/>
          <w:u w:val="single" w:color="auto"/>
          <w:lang w:eastAsia="zh-CN"/>
        </w:rPr>
        <w:t>细颗粒物</w:t>
      </w:r>
      <w:r>
        <w:rPr>
          <w:rFonts w:hint="eastAsia" w:ascii="Times New Roman" w:hAnsi="Times New Roman" w:eastAsia="宋体" w:cs="Times New Roman"/>
          <w:color w:val="auto"/>
          <w:sz w:val="24"/>
          <w:szCs w:val="24"/>
          <w:u w:val="single" w:color="auto"/>
        </w:rPr>
        <w:t>有组织</w:t>
      </w:r>
      <w:r>
        <w:rPr>
          <w:rFonts w:ascii="Times New Roman" w:hAnsi="Times New Roman" w:eastAsia="宋体" w:cs="Times New Roman"/>
          <w:color w:val="auto"/>
          <w:sz w:val="24"/>
          <w:szCs w:val="24"/>
          <w:u w:val="single" w:color="auto"/>
        </w:rPr>
        <w:t>产生浓度为</w:t>
      </w:r>
      <w:r>
        <w:rPr>
          <w:rFonts w:hint="eastAsia" w:ascii="Times New Roman" w:hAnsi="Times New Roman" w:eastAsia="宋体" w:cs="Times New Roman"/>
          <w:color w:val="auto"/>
          <w:sz w:val="24"/>
          <w:szCs w:val="24"/>
          <w:u w:val="single" w:color="auto"/>
          <w:lang w:val="en-US" w:eastAsia="zh-CN"/>
        </w:rPr>
        <w:t>481.133</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，产生量</w:t>
      </w:r>
      <w:r>
        <w:rPr>
          <w:rFonts w:hint="eastAsia" w:ascii="Times New Roman" w:hAnsi="Times New Roman" w:eastAsia="宋体" w:cs="Times New Roman"/>
          <w:color w:val="auto"/>
          <w:sz w:val="24"/>
          <w:szCs w:val="24"/>
          <w:u w:val="single" w:color="auto"/>
        </w:rPr>
        <w:t>为</w:t>
      </w:r>
      <w:r>
        <w:rPr>
          <w:rFonts w:hint="eastAsia" w:ascii="Times New Roman" w:hAnsi="Times New Roman" w:eastAsia="宋体" w:cs="Times New Roman"/>
          <w:color w:val="auto"/>
          <w:sz w:val="24"/>
          <w:szCs w:val="24"/>
          <w:u w:val="single" w:color="auto"/>
          <w:lang w:val="en-US" w:eastAsia="zh-CN"/>
        </w:rPr>
        <w:t>228.636</w:t>
      </w:r>
      <w:r>
        <w:rPr>
          <w:rFonts w:ascii="Times New Roman" w:hAnsi="Times New Roman" w:eastAsia="宋体" w:cs="Times New Roman"/>
          <w:color w:val="auto"/>
          <w:sz w:val="24"/>
          <w:szCs w:val="24"/>
          <w:u w:val="single" w:color="auto"/>
        </w:rPr>
        <w:t>t</w:t>
      </w:r>
      <w:r>
        <w:rPr>
          <w:rFonts w:hint="eastAsia" w:ascii="Times New Roman" w:hAnsi="Times New Roman" w:eastAsia="宋体" w:cs="Times New Roman"/>
          <w:color w:val="auto"/>
          <w:sz w:val="24"/>
          <w:szCs w:val="24"/>
          <w:u w:val="single" w:color="auto"/>
        </w:rPr>
        <w:t>/</w:t>
      </w:r>
      <w:r>
        <w:rPr>
          <w:rFonts w:ascii="Times New Roman" w:hAnsi="Times New Roman" w:eastAsia="宋体" w:cs="Times New Roman"/>
          <w:color w:val="auto"/>
          <w:sz w:val="24"/>
          <w:szCs w:val="24"/>
          <w:u w:val="single" w:color="auto"/>
        </w:rPr>
        <w:t>a</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28.868</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ascii="Times New Roman" w:hAnsi="Times New Roman" w:eastAsia="宋体" w:cs="Times New Roman"/>
          <w:color w:val="auto"/>
          <w:sz w:val="24"/>
          <w:szCs w:val="24"/>
          <w:u w:val="single" w:color="auto"/>
        </w:rPr>
        <w:t>有组织排放浓度为</w:t>
      </w:r>
      <w:r>
        <w:rPr>
          <w:rFonts w:hint="eastAsia" w:ascii="Times New Roman" w:hAnsi="Times New Roman" w:eastAsia="宋体" w:cs="Times New Roman"/>
          <w:color w:val="auto"/>
          <w:sz w:val="24"/>
          <w:szCs w:val="24"/>
          <w:u w:val="single" w:color="auto"/>
          <w:lang w:val="en-US" w:eastAsia="zh-CN"/>
        </w:rPr>
        <w:t>9.617</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4.572</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0.577</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打磨车间</w:t>
      </w:r>
      <w:r>
        <w:rPr>
          <w:rFonts w:hint="eastAsia" w:ascii="Times New Roman" w:hAnsi="Times New Roman" w:eastAsia="宋体" w:cs="Times New Roman"/>
          <w:color w:val="auto"/>
          <w:sz w:val="24"/>
          <w:szCs w:val="24"/>
          <w:u w:val="single" w:color="auto"/>
        </w:rPr>
        <w:t>抛丸和喷砂粉尘无组织产生量为</w:t>
      </w:r>
      <w:r>
        <w:rPr>
          <w:rFonts w:hint="eastAsia" w:ascii="Times New Roman" w:hAnsi="Times New Roman" w:eastAsia="宋体" w:cs="Times New Roman"/>
          <w:color w:val="auto"/>
          <w:sz w:val="24"/>
          <w:szCs w:val="24"/>
          <w:u w:val="single" w:color="auto"/>
          <w:lang w:val="en-US" w:eastAsia="zh-CN"/>
        </w:rPr>
        <w:t>25.404</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3.208</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打磨车间</w:t>
      </w:r>
      <w:r>
        <w:rPr>
          <w:rFonts w:hint="eastAsia" w:ascii="Times New Roman" w:hAnsi="Times New Roman" w:eastAsia="宋体" w:cs="Times New Roman"/>
          <w:color w:val="auto"/>
          <w:sz w:val="24"/>
          <w:szCs w:val="24"/>
          <w:u w:val="single" w:color="auto"/>
        </w:rPr>
        <w:t>抛丸和喷砂粉尘无组织排放量为</w:t>
      </w:r>
      <w:r>
        <w:rPr>
          <w:rFonts w:hint="eastAsia" w:ascii="Times New Roman" w:hAnsi="Times New Roman" w:eastAsia="宋体" w:cs="Times New Roman"/>
          <w:color w:val="auto"/>
          <w:sz w:val="24"/>
          <w:szCs w:val="24"/>
          <w:u w:val="single" w:color="auto"/>
          <w:lang w:val="en-US" w:eastAsia="zh-CN"/>
        </w:rPr>
        <w:t>2.54</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321</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p>
    <w:p w14:paraId="20F28B10">
      <w:pPr>
        <w:snapToGrid w:val="0"/>
        <w:spacing w:line="360" w:lineRule="auto"/>
        <w:ind w:firstLine="482" w:firstLineChars="200"/>
        <w:rPr>
          <w:rFonts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5）</w:t>
      </w:r>
      <w:r>
        <w:rPr>
          <w:rFonts w:ascii="Times New Roman" w:hAnsi="Times New Roman" w:eastAsia="宋体" w:cs="Times New Roman"/>
          <w:b/>
          <w:bCs/>
          <w:color w:val="auto"/>
          <w:sz w:val="24"/>
          <w:szCs w:val="24"/>
          <w:u w:val="single" w:color="auto"/>
        </w:rPr>
        <w:t>喷漆废气G5</w:t>
      </w:r>
    </w:p>
    <w:p w14:paraId="345AB4C0">
      <w:pPr>
        <w:spacing w:line="360" w:lineRule="auto"/>
        <w:ind w:firstLine="480" w:firstLineChars="200"/>
        <w:rPr>
          <w:rFonts w:hint="default" w:ascii="Times New Roman" w:hAnsi="Times New Roman" w:eastAsia="宋体" w:cs="Times New Roman"/>
          <w:color w:val="auto"/>
          <w:sz w:val="24"/>
          <w:u w:val="single" w:color="auto"/>
        </w:rPr>
      </w:pPr>
      <w:bookmarkStart w:id="154" w:name="_Hlk103353775"/>
      <w:r>
        <w:rPr>
          <w:rFonts w:hint="default" w:ascii="Times New Roman" w:hAnsi="Times New Roman" w:eastAsia="宋体" w:cs="Times New Roman"/>
          <w:color w:val="auto"/>
          <w:sz w:val="24"/>
          <w:u w:val="single" w:color="auto"/>
        </w:rPr>
        <w:t>喷涂车间采用高压无气喷涂设备进行喷涂。在每天的喷涂工作完成后均需要对喷枪进行清洗，项目喷枪清洗在喷涂车间内进行，清洗剂为</w:t>
      </w:r>
      <w:r>
        <w:rPr>
          <w:rFonts w:hint="eastAsia" w:ascii="Times New Roman" w:hAnsi="Times New Roman" w:eastAsia="宋体" w:cs="Times New Roman"/>
          <w:color w:val="auto"/>
          <w:sz w:val="24"/>
          <w:u w:val="single" w:color="auto"/>
          <w:lang w:val="en-US" w:eastAsia="zh-CN"/>
        </w:rPr>
        <w:t>稀释剂</w:t>
      </w:r>
      <w:r>
        <w:rPr>
          <w:rFonts w:hint="default" w:ascii="Times New Roman" w:hAnsi="Times New Roman" w:eastAsia="宋体" w:cs="Times New Roman"/>
          <w:color w:val="auto"/>
          <w:sz w:val="24"/>
          <w:u w:val="single" w:color="auto"/>
        </w:rPr>
        <w:t>，年用量约为0.</w:t>
      </w:r>
      <w:r>
        <w:rPr>
          <w:rFonts w:hint="eastAsia" w:ascii="Times New Roman" w:hAnsi="Times New Roman" w:eastAsia="宋体" w:cs="Times New Roman"/>
          <w:color w:val="auto"/>
          <w:sz w:val="24"/>
          <w:u w:val="single" w:color="auto"/>
          <w:lang w:val="en-US" w:eastAsia="zh-CN"/>
        </w:rPr>
        <w:t>66</w:t>
      </w:r>
      <w:r>
        <w:rPr>
          <w:rFonts w:hint="default" w:ascii="Times New Roman" w:hAnsi="Times New Roman" w:eastAsia="宋体" w:cs="Times New Roman"/>
          <w:color w:val="auto"/>
          <w:sz w:val="24"/>
          <w:u w:val="single" w:color="auto"/>
        </w:rPr>
        <w:t>t，</w:t>
      </w:r>
      <w:r>
        <w:rPr>
          <w:rFonts w:hint="eastAsia" w:ascii="Times New Roman" w:hAnsi="Times New Roman" w:eastAsia="宋体" w:cs="Times New Roman"/>
          <w:color w:val="auto"/>
          <w:sz w:val="24"/>
          <w:u w:val="single" w:color="auto"/>
          <w:lang w:val="en-US" w:eastAsia="zh-CN"/>
        </w:rPr>
        <w:t>稀释剂</w:t>
      </w:r>
      <w:r>
        <w:rPr>
          <w:rFonts w:hint="default" w:ascii="Times New Roman" w:hAnsi="Times New Roman" w:eastAsia="宋体" w:cs="Times New Roman"/>
          <w:color w:val="auto"/>
          <w:sz w:val="24"/>
          <w:u w:val="single" w:color="auto"/>
        </w:rPr>
        <w:t>按最不利情况全部挥发计。喷涂作业产生的废气主要为非甲烷总烃、二甲苯、</w:t>
      </w:r>
      <w:r>
        <w:rPr>
          <w:rFonts w:hint="eastAsia" w:ascii="Times New Roman" w:hAnsi="Times New Roman" w:eastAsia="宋体" w:cs="Times New Roman"/>
          <w:color w:val="auto"/>
          <w:sz w:val="24"/>
          <w:u w:val="single" w:color="auto"/>
          <w:lang w:val="en-US" w:eastAsia="zh-CN"/>
        </w:rPr>
        <w:t>甲苯、</w:t>
      </w:r>
      <w:r>
        <w:rPr>
          <w:rFonts w:hint="default" w:ascii="Times New Roman" w:hAnsi="Times New Roman" w:eastAsia="宋体" w:cs="Times New Roman"/>
          <w:color w:val="auto"/>
          <w:sz w:val="24"/>
          <w:u w:val="single" w:color="auto"/>
        </w:rPr>
        <w:t>颗粒物。</w:t>
      </w:r>
    </w:p>
    <w:p w14:paraId="35D9D173">
      <w:pPr>
        <w:spacing w:line="360" w:lineRule="auto"/>
        <w:ind w:firstLine="480" w:firstLineChars="200"/>
        <w:rPr>
          <w:rFonts w:hint="default"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本项目</w:t>
      </w:r>
      <w:r>
        <w:rPr>
          <w:rFonts w:hint="default" w:ascii="Times New Roman" w:hAnsi="Times New Roman" w:eastAsia="宋体" w:cs="Times New Roman"/>
          <w:color w:val="auto"/>
          <w:sz w:val="24"/>
          <w:szCs w:val="24"/>
          <w:u w:val="single" w:color="auto"/>
        </w:rPr>
        <w:t>参考《污染源源强核算技术指南 汽车制造》（HJ 1097—2020）中的5.1.1.4喷底漆、中涂、面漆（含色漆+罩光漆）及烘干工序的物料衡算法计算本项目喷漆、自然晾干过程有机废气的产生量。物料带入挥发性有机物量采用下列公式计算。</w:t>
      </w:r>
    </w:p>
    <w:p w14:paraId="4DF23056">
      <w:pPr>
        <w:adjustRightInd w:val="0"/>
        <w:snapToGrid w:val="0"/>
        <w:spacing w:line="360" w:lineRule="auto"/>
        <w:jc w:val="center"/>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position w:val="-24"/>
          <w:sz w:val="24"/>
          <w:szCs w:val="24"/>
          <w:u w:val="single" w:color="auto"/>
        </w:rPr>
        <w:object>
          <v:shape id="_x0000_i1028" o:spt="75" type="#_x0000_t75" style="height:30.75pt;width:77.25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p>
    <w:p w14:paraId="0614749D">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式中：</w:t>
      </w:r>
    </w:p>
    <w:p w14:paraId="39B09BD0">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D</w:t>
      </w:r>
      <w:r>
        <w:rPr>
          <w:rFonts w:hint="default" w:ascii="Times New Roman" w:hAnsi="Times New Roman" w:eastAsia="宋体" w:cs="Times New Roman"/>
          <w:color w:val="auto"/>
          <w:sz w:val="24"/>
          <w:szCs w:val="24"/>
          <w:u w:val="single" w:color="auto"/>
          <w:vertAlign w:val="subscript"/>
        </w:rPr>
        <w:t>物料</w:t>
      </w:r>
      <w:r>
        <w:rPr>
          <w:rFonts w:hint="default" w:ascii="Times New Roman" w:hAnsi="Times New Roman" w:eastAsia="宋体" w:cs="Times New Roman"/>
          <w:color w:val="auto"/>
          <w:sz w:val="24"/>
          <w:szCs w:val="24"/>
          <w:u w:val="single" w:color="auto"/>
        </w:rPr>
        <w:t>—核算时段内某物料（油漆）带入挥发性有机物量，t；</w:t>
      </w:r>
    </w:p>
    <w:p w14:paraId="5E52AD26">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G—核算时段内含挥发性有机物某物料（油漆）消耗量，t；</w:t>
      </w:r>
    </w:p>
    <w:p w14:paraId="62F0DBBE">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W—核算时段内某物料（油漆）中挥发性有机物含量，%，采用设计值确定。</w:t>
      </w:r>
    </w:p>
    <w:p w14:paraId="3A812EF3">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本项目物料带入挥发性有机物量的计算参数及结果见下表。</w:t>
      </w:r>
    </w:p>
    <w:p w14:paraId="40073D8E">
      <w:pPr>
        <w:adjustRightInd w:val="0"/>
        <w:snapToGrid w:val="0"/>
        <w:jc w:val="center"/>
        <w:rPr>
          <w:rFonts w:ascii="Times New Roman" w:hAnsi="Times New Roman"/>
          <w:color w:val="auto"/>
          <w:u w:val="single" w:color="auto"/>
        </w:rPr>
      </w:pPr>
      <w:r>
        <w:rPr>
          <w:rFonts w:hint="eastAsia" w:ascii="Times New Roman" w:hAnsi="Times New Roman"/>
          <w:b/>
          <w:color w:val="auto"/>
          <w:u w:val="single" w:color="auto"/>
        </w:rPr>
        <w:t>表</w:t>
      </w:r>
      <w:r>
        <w:rPr>
          <w:rFonts w:hint="eastAsia" w:ascii="Times New Roman" w:hAnsi="Times New Roman"/>
          <w:b/>
          <w:color w:val="auto"/>
          <w:u w:val="single" w:color="auto"/>
          <w:lang w:val="en-US" w:eastAsia="zh-CN"/>
        </w:rPr>
        <w:t>2.3-6</w:t>
      </w:r>
      <w:r>
        <w:rPr>
          <w:rFonts w:ascii="Times New Roman" w:hAnsi="Times New Roman"/>
          <w:b/>
          <w:color w:val="auto"/>
          <w:u w:val="single" w:color="auto"/>
        </w:rPr>
        <w:t xml:space="preserve">  </w:t>
      </w:r>
      <w:r>
        <w:rPr>
          <w:rFonts w:hint="eastAsia" w:ascii="Times New Roman" w:hAnsi="Times New Roman"/>
          <w:b/>
          <w:color w:val="auto"/>
          <w:u w:val="single" w:color="auto"/>
        </w:rPr>
        <w:t>本项目物料带入挥发性有机物量的计算参数及结果</w:t>
      </w:r>
    </w:p>
    <w:tbl>
      <w:tblPr>
        <w:tblStyle w:val="3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1" w:type="dxa"/>
          <w:bottom w:w="0" w:type="dxa"/>
          <w:right w:w="11" w:type="dxa"/>
        </w:tblCellMar>
      </w:tblPr>
      <w:tblGrid>
        <w:gridCol w:w="445"/>
        <w:gridCol w:w="1327"/>
        <w:gridCol w:w="731"/>
        <w:gridCol w:w="688"/>
        <w:gridCol w:w="721"/>
        <w:gridCol w:w="485"/>
        <w:gridCol w:w="771"/>
        <w:gridCol w:w="749"/>
        <w:gridCol w:w="763"/>
        <w:gridCol w:w="771"/>
        <w:gridCol w:w="869"/>
      </w:tblGrid>
      <w:tr w14:paraId="2C43F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blHeader/>
          <w:jc w:val="center"/>
        </w:trPr>
        <w:tc>
          <w:tcPr>
            <w:tcW w:w="1064" w:type="pct"/>
            <w:gridSpan w:val="2"/>
            <w:vMerge w:val="restart"/>
            <w:vAlign w:val="center"/>
          </w:tcPr>
          <w:p w14:paraId="67F5C665">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名称</w:t>
            </w:r>
          </w:p>
        </w:tc>
        <w:tc>
          <w:tcPr>
            <w:tcW w:w="439" w:type="pct"/>
            <w:vMerge w:val="restart"/>
            <w:vAlign w:val="center"/>
          </w:tcPr>
          <w:p w14:paraId="70688E83">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物料用量t/a</w:t>
            </w:r>
          </w:p>
        </w:tc>
        <w:tc>
          <w:tcPr>
            <w:tcW w:w="846" w:type="pct"/>
            <w:gridSpan w:val="2"/>
            <w:vAlign w:val="center"/>
          </w:tcPr>
          <w:p w14:paraId="2C8BB2F8">
            <w:pPr>
              <w:widowControl/>
              <w:adjustRightInd w:val="0"/>
              <w:snapToGrid w:val="0"/>
              <w:jc w:val="center"/>
              <w:textAlignment w:val="center"/>
              <w:rPr>
                <w:rFonts w:hint="eastAsia" w:ascii="Times New Roman" w:hAnsi="Times New Roman" w:eastAsia="宋体" w:cs="Times New Roman"/>
                <w:b/>
                <w:bCs/>
                <w:color w:val="auto"/>
                <w:szCs w:val="21"/>
                <w:u w:val="single" w:color="auto"/>
                <w:lang w:val="en-US" w:eastAsia="zh-CN"/>
              </w:rPr>
            </w:pPr>
            <w:r>
              <w:rPr>
                <w:rFonts w:hint="eastAsia" w:ascii="Times New Roman" w:hAnsi="Times New Roman" w:eastAsia="宋体" w:cs="Times New Roman"/>
                <w:b/>
                <w:bCs/>
                <w:color w:val="auto"/>
                <w:szCs w:val="21"/>
                <w:u w:val="single" w:color="auto"/>
                <w:lang w:val="en-US" w:eastAsia="zh-CN"/>
              </w:rPr>
              <w:t>甲苯</w:t>
            </w:r>
          </w:p>
        </w:tc>
        <w:tc>
          <w:tcPr>
            <w:tcW w:w="754" w:type="pct"/>
            <w:gridSpan w:val="2"/>
            <w:vAlign w:val="center"/>
          </w:tcPr>
          <w:p w14:paraId="2A2F43DA">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二甲苯</w:t>
            </w:r>
          </w:p>
        </w:tc>
        <w:tc>
          <w:tcPr>
            <w:tcW w:w="908" w:type="pct"/>
            <w:gridSpan w:val="2"/>
            <w:vAlign w:val="center"/>
          </w:tcPr>
          <w:p w14:paraId="70142366">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非甲烷总烃</w:t>
            </w:r>
          </w:p>
        </w:tc>
        <w:tc>
          <w:tcPr>
            <w:tcW w:w="985" w:type="pct"/>
            <w:gridSpan w:val="2"/>
            <w:vAlign w:val="center"/>
          </w:tcPr>
          <w:p w14:paraId="1391B629">
            <w:pPr>
              <w:widowControl/>
              <w:adjustRightInd w:val="0"/>
              <w:snapToGrid w:val="0"/>
              <w:jc w:val="center"/>
              <w:textAlignment w:val="center"/>
              <w:rPr>
                <w:rFonts w:hint="eastAsia" w:ascii="Times New Roman" w:hAnsi="Times New Roman" w:eastAsia="宋体" w:cs="Times New Roman"/>
                <w:b/>
                <w:bCs/>
                <w:color w:val="auto"/>
                <w:szCs w:val="21"/>
                <w:u w:val="single" w:color="auto"/>
                <w:lang w:val="en-US" w:eastAsia="zh-CN"/>
              </w:rPr>
            </w:pPr>
            <w:r>
              <w:rPr>
                <w:rFonts w:ascii="Times New Roman" w:hAnsi="Times New Roman" w:eastAsia="宋体" w:cs="Times New Roman"/>
                <w:b/>
                <w:bCs/>
                <w:color w:val="auto"/>
                <w:kern w:val="0"/>
                <w:szCs w:val="21"/>
                <w:u w:val="single" w:color="auto"/>
                <w:lang w:bidi="ar"/>
              </w:rPr>
              <w:t>固组分</w:t>
            </w:r>
          </w:p>
        </w:tc>
      </w:tr>
      <w:tr w14:paraId="79C22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blHeader/>
          <w:jc w:val="center"/>
        </w:trPr>
        <w:tc>
          <w:tcPr>
            <w:tcW w:w="1064" w:type="pct"/>
            <w:gridSpan w:val="2"/>
            <w:vMerge w:val="continue"/>
            <w:vAlign w:val="center"/>
          </w:tcPr>
          <w:p w14:paraId="1AE486D4">
            <w:pPr>
              <w:widowControl/>
              <w:adjustRightInd w:val="0"/>
              <w:snapToGrid w:val="0"/>
              <w:jc w:val="center"/>
              <w:textAlignment w:val="center"/>
              <w:rPr>
                <w:rFonts w:hint="default" w:ascii="Times New Roman" w:hAnsi="Times New Roman" w:eastAsia="宋体" w:cs="Times New Roman"/>
                <w:b/>
                <w:bCs/>
                <w:color w:val="auto"/>
                <w:u w:val="single" w:color="auto"/>
              </w:rPr>
            </w:pPr>
          </w:p>
        </w:tc>
        <w:tc>
          <w:tcPr>
            <w:tcW w:w="439" w:type="pct"/>
            <w:vMerge w:val="continue"/>
            <w:vAlign w:val="center"/>
          </w:tcPr>
          <w:p w14:paraId="22766450">
            <w:pPr>
              <w:widowControl/>
              <w:adjustRightInd w:val="0"/>
              <w:snapToGrid w:val="0"/>
              <w:jc w:val="center"/>
              <w:textAlignment w:val="center"/>
              <w:rPr>
                <w:rFonts w:hint="default" w:ascii="Times New Roman" w:hAnsi="Times New Roman" w:eastAsia="宋体" w:cs="Times New Roman"/>
                <w:b/>
                <w:bCs/>
                <w:color w:val="auto"/>
                <w:u w:val="single" w:color="auto"/>
              </w:rPr>
            </w:pPr>
          </w:p>
        </w:tc>
        <w:tc>
          <w:tcPr>
            <w:tcW w:w="413" w:type="pct"/>
            <w:vAlign w:val="center"/>
          </w:tcPr>
          <w:p w14:paraId="163B429E">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占比%</w:t>
            </w:r>
          </w:p>
        </w:tc>
        <w:tc>
          <w:tcPr>
            <w:tcW w:w="433" w:type="pct"/>
            <w:vAlign w:val="center"/>
          </w:tcPr>
          <w:p w14:paraId="79CF32CF">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带入量t/a</w:t>
            </w:r>
          </w:p>
        </w:tc>
        <w:tc>
          <w:tcPr>
            <w:tcW w:w="291" w:type="pct"/>
            <w:vAlign w:val="center"/>
          </w:tcPr>
          <w:p w14:paraId="3189F9E9">
            <w:pPr>
              <w:widowControl/>
              <w:adjustRightInd w:val="0"/>
              <w:snapToGrid w:val="0"/>
              <w:jc w:val="center"/>
              <w:textAlignment w:val="center"/>
              <w:rPr>
                <w:rFonts w:hint="default" w:ascii="Times New Roman" w:hAnsi="Times New Roman" w:eastAsia="宋体" w:cs="Times New Roman"/>
                <w:b/>
                <w:bCs/>
                <w:color w:val="auto"/>
                <w:u w:val="single" w:color="auto"/>
              </w:rPr>
            </w:pPr>
            <w:r>
              <w:rPr>
                <w:rFonts w:hint="default" w:ascii="Times New Roman" w:hAnsi="Times New Roman" w:eastAsia="宋体" w:cs="Times New Roman"/>
                <w:b/>
                <w:bCs/>
                <w:color w:val="auto"/>
                <w:szCs w:val="21"/>
                <w:u w:val="single" w:color="auto"/>
              </w:rPr>
              <w:t>占比%</w:t>
            </w:r>
          </w:p>
        </w:tc>
        <w:tc>
          <w:tcPr>
            <w:tcW w:w="463" w:type="pct"/>
            <w:vAlign w:val="center"/>
          </w:tcPr>
          <w:p w14:paraId="687B1397">
            <w:pPr>
              <w:widowControl/>
              <w:adjustRightInd w:val="0"/>
              <w:snapToGrid w:val="0"/>
              <w:jc w:val="center"/>
              <w:textAlignment w:val="center"/>
              <w:rPr>
                <w:rFonts w:hint="default" w:ascii="Times New Roman" w:hAnsi="Times New Roman" w:eastAsia="宋体" w:cs="Times New Roman"/>
                <w:b/>
                <w:bCs/>
                <w:color w:val="auto"/>
                <w:u w:val="single" w:color="auto"/>
              </w:rPr>
            </w:pPr>
            <w:r>
              <w:rPr>
                <w:rFonts w:hint="default" w:ascii="Times New Roman" w:hAnsi="Times New Roman" w:eastAsia="宋体" w:cs="Times New Roman"/>
                <w:b/>
                <w:bCs/>
                <w:color w:val="auto"/>
                <w:szCs w:val="21"/>
                <w:u w:val="single" w:color="auto"/>
              </w:rPr>
              <w:t>带入量t/a</w:t>
            </w:r>
          </w:p>
        </w:tc>
        <w:tc>
          <w:tcPr>
            <w:tcW w:w="450" w:type="pct"/>
            <w:vAlign w:val="center"/>
          </w:tcPr>
          <w:p w14:paraId="550F484C">
            <w:pPr>
              <w:widowControl/>
              <w:adjustRightInd w:val="0"/>
              <w:snapToGrid w:val="0"/>
              <w:jc w:val="center"/>
              <w:textAlignment w:val="center"/>
              <w:rPr>
                <w:rFonts w:hint="default" w:ascii="Times New Roman" w:hAnsi="Times New Roman" w:eastAsia="宋体" w:cs="Times New Roman"/>
                <w:b/>
                <w:bCs/>
                <w:color w:val="auto"/>
                <w:u w:val="single" w:color="auto"/>
              </w:rPr>
            </w:pPr>
            <w:r>
              <w:rPr>
                <w:rFonts w:hint="default" w:ascii="Times New Roman" w:hAnsi="Times New Roman" w:eastAsia="宋体" w:cs="Times New Roman"/>
                <w:b/>
                <w:bCs/>
                <w:color w:val="auto"/>
                <w:szCs w:val="21"/>
                <w:u w:val="single" w:color="auto"/>
              </w:rPr>
              <w:t>占比%</w:t>
            </w:r>
          </w:p>
        </w:tc>
        <w:tc>
          <w:tcPr>
            <w:tcW w:w="458" w:type="pct"/>
            <w:vAlign w:val="center"/>
          </w:tcPr>
          <w:p w14:paraId="57AADA33">
            <w:pPr>
              <w:widowControl/>
              <w:adjustRightInd w:val="0"/>
              <w:snapToGrid w:val="0"/>
              <w:jc w:val="center"/>
              <w:textAlignment w:val="center"/>
              <w:rPr>
                <w:rFonts w:hint="default" w:ascii="Times New Roman" w:hAnsi="Times New Roman" w:eastAsia="宋体" w:cs="Times New Roman"/>
                <w:b/>
                <w:bCs/>
                <w:color w:val="auto"/>
                <w:u w:val="single" w:color="auto"/>
              </w:rPr>
            </w:pPr>
            <w:r>
              <w:rPr>
                <w:rFonts w:hint="default" w:ascii="Times New Roman" w:hAnsi="Times New Roman" w:eastAsia="宋体" w:cs="Times New Roman"/>
                <w:b/>
                <w:bCs/>
                <w:color w:val="auto"/>
                <w:szCs w:val="21"/>
                <w:u w:val="single" w:color="auto"/>
              </w:rPr>
              <w:t>带入量t/a</w:t>
            </w:r>
          </w:p>
        </w:tc>
        <w:tc>
          <w:tcPr>
            <w:tcW w:w="463" w:type="pct"/>
            <w:vAlign w:val="center"/>
          </w:tcPr>
          <w:p w14:paraId="2EF0D204">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占比%</w:t>
            </w:r>
          </w:p>
        </w:tc>
        <w:tc>
          <w:tcPr>
            <w:tcW w:w="522" w:type="pct"/>
            <w:vAlign w:val="center"/>
          </w:tcPr>
          <w:p w14:paraId="270F8EFD">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带入量t/a</w:t>
            </w:r>
          </w:p>
        </w:tc>
      </w:tr>
      <w:tr w14:paraId="0C9D8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restart"/>
            <w:vAlign w:val="center"/>
          </w:tcPr>
          <w:p w14:paraId="3A0DE7B0">
            <w:pPr>
              <w:adjustRightInd w:val="0"/>
              <w:snapToGrid w:val="0"/>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喷漆、自然晾干（喷涂车间）</w:t>
            </w:r>
          </w:p>
        </w:tc>
        <w:tc>
          <w:tcPr>
            <w:tcW w:w="797" w:type="pct"/>
            <w:vAlign w:val="center"/>
          </w:tcPr>
          <w:p w14:paraId="4D81B445">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环氧富锌底漆</w:t>
            </w:r>
          </w:p>
        </w:tc>
        <w:tc>
          <w:tcPr>
            <w:tcW w:w="731" w:type="dxa"/>
            <w:vAlign w:val="center"/>
          </w:tcPr>
          <w:p w14:paraId="2D6CFF1C">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688" w:type="dxa"/>
            <w:vAlign w:val="center"/>
          </w:tcPr>
          <w:p w14:paraId="71E8FC78">
            <w:pPr>
              <w:keepNext w:val="0"/>
              <w:keepLines w:val="0"/>
              <w:widowControl/>
              <w:suppressLineNumbers w:val="0"/>
              <w:jc w:val="center"/>
              <w:textAlignment w:val="center"/>
              <w:rPr>
                <w:rFonts w:hint="eastAsia" w:ascii="Times New Roman" w:hAnsi="Times New Roman" w:eastAsia="宋体" w:cs="Times New Roman"/>
                <w:color w:val="auto"/>
                <w:szCs w:val="21"/>
                <w:u w:val="single" w:color="auto"/>
                <w:lang w:val="en-US" w:eastAsia="zh-CN"/>
              </w:rPr>
            </w:pPr>
          </w:p>
        </w:tc>
        <w:tc>
          <w:tcPr>
            <w:tcW w:w="721" w:type="dxa"/>
            <w:vAlign w:val="center"/>
          </w:tcPr>
          <w:p w14:paraId="0FFCBA55">
            <w:pPr>
              <w:keepNext w:val="0"/>
              <w:keepLines w:val="0"/>
              <w:widowControl/>
              <w:suppressLineNumbers w:val="0"/>
              <w:jc w:val="center"/>
              <w:textAlignment w:val="center"/>
              <w:rPr>
                <w:rFonts w:hint="eastAsia" w:ascii="Times New Roman" w:hAnsi="Times New Roman" w:eastAsia="宋体" w:cs="Times New Roman"/>
                <w:color w:val="auto"/>
                <w:szCs w:val="21"/>
                <w:u w:val="single" w:color="auto"/>
                <w:lang w:val="en-US" w:eastAsia="zh-CN"/>
              </w:rPr>
            </w:pPr>
          </w:p>
        </w:tc>
        <w:tc>
          <w:tcPr>
            <w:tcW w:w="485" w:type="dxa"/>
            <w:vAlign w:val="center"/>
          </w:tcPr>
          <w:p w14:paraId="1786362B">
            <w:pPr>
              <w:keepNext w:val="0"/>
              <w:keepLines w:val="0"/>
              <w:widowControl/>
              <w:suppressLineNumbers w:val="0"/>
              <w:jc w:val="center"/>
              <w:textAlignment w:val="center"/>
              <w:rPr>
                <w:rFonts w:hint="eastAsia" w:ascii="Times New Roman" w:hAnsi="Times New Roman" w:eastAsia="宋体" w:cs="Times New Roman"/>
                <w:color w:val="auto"/>
                <w:szCs w:val="21"/>
                <w:u w:val="single" w:color="auto"/>
                <w:lang w:val="en-US" w:eastAsia="zh-CN"/>
              </w:rPr>
            </w:pPr>
          </w:p>
        </w:tc>
        <w:tc>
          <w:tcPr>
            <w:tcW w:w="771" w:type="dxa"/>
            <w:vAlign w:val="center"/>
          </w:tcPr>
          <w:p w14:paraId="7B5718A1">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749" w:type="dxa"/>
            <w:vAlign w:val="center"/>
          </w:tcPr>
          <w:p w14:paraId="2F663C49">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763" w:type="dxa"/>
            <w:vAlign w:val="center"/>
          </w:tcPr>
          <w:p w14:paraId="75B3FC1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771" w:type="dxa"/>
            <w:vAlign w:val="center"/>
          </w:tcPr>
          <w:p w14:paraId="02D9ED3C">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869" w:type="dxa"/>
            <w:vAlign w:val="center"/>
          </w:tcPr>
          <w:p w14:paraId="27D84DDA">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r>
      <w:tr w14:paraId="4E32B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6C766071">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42B643DC">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环氧云铁中间漆</w:t>
            </w:r>
          </w:p>
        </w:tc>
        <w:tc>
          <w:tcPr>
            <w:tcW w:w="731" w:type="dxa"/>
            <w:vAlign w:val="center"/>
          </w:tcPr>
          <w:p w14:paraId="24B6D41A">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3EB5714B">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21" w:type="dxa"/>
            <w:vAlign w:val="center"/>
          </w:tcPr>
          <w:p w14:paraId="2ADF722F">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485" w:type="dxa"/>
            <w:vAlign w:val="center"/>
          </w:tcPr>
          <w:p w14:paraId="08E67CCD">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2AA7123C">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49" w:type="dxa"/>
            <w:vAlign w:val="center"/>
          </w:tcPr>
          <w:p w14:paraId="14CD517F">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53ACFA47">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167A7422">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0B4232E7">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4D2F0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4D420FAE">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13D7F35D">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聚氨酯面漆</w:t>
            </w:r>
          </w:p>
        </w:tc>
        <w:tc>
          <w:tcPr>
            <w:tcW w:w="731" w:type="dxa"/>
            <w:vAlign w:val="center"/>
          </w:tcPr>
          <w:p w14:paraId="629034BB">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33C06F90">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21" w:type="dxa"/>
            <w:vAlign w:val="center"/>
          </w:tcPr>
          <w:p w14:paraId="21A6C624">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485" w:type="dxa"/>
            <w:vAlign w:val="center"/>
          </w:tcPr>
          <w:p w14:paraId="57449C39">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0A6D8022">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49" w:type="dxa"/>
            <w:vAlign w:val="center"/>
          </w:tcPr>
          <w:p w14:paraId="1059E7A0">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2313D9E8">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22CA0629">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27825003">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29148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49BE0866">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3E108807">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环氧固化剂</w:t>
            </w:r>
          </w:p>
        </w:tc>
        <w:tc>
          <w:tcPr>
            <w:tcW w:w="731" w:type="dxa"/>
            <w:vAlign w:val="center"/>
          </w:tcPr>
          <w:p w14:paraId="61819B8A">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2F924396">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21" w:type="dxa"/>
            <w:vAlign w:val="center"/>
          </w:tcPr>
          <w:p w14:paraId="5D936B17">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485" w:type="dxa"/>
            <w:vAlign w:val="center"/>
          </w:tcPr>
          <w:p w14:paraId="1007FD19">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2B992E5B">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49" w:type="dxa"/>
            <w:vAlign w:val="center"/>
          </w:tcPr>
          <w:p w14:paraId="27C785D4">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0D522149">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0AD654AF">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61DB4EF9">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0B438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0BC46DC2">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6AFB6737">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聚氨酯固化剂</w:t>
            </w:r>
          </w:p>
        </w:tc>
        <w:tc>
          <w:tcPr>
            <w:tcW w:w="731" w:type="dxa"/>
            <w:vAlign w:val="center"/>
          </w:tcPr>
          <w:p w14:paraId="217C3D82">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4BC29873">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21" w:type="dxa"/>
            <w:vAlign w:val="center"/>
          </w:tcPr>
          <w:p w14:paraId="6D822CAB">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485" w:type="dxa"/>
            <w:vAlign w:val="center"/>
          </w:tcPr>
          <w:p w14:paraId="7840307D">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71" w:type="dxa"/>
            <w:vAlign w:val="center"/>
          </w:tcPr>
          <w:p w14:paraId="32769914">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49" w:type="dxa"/>
            <w:vAlign w:val="center"/>
          </w:tcPr>
          <w:p w14:paraId="3D03BB54">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727D1657">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2F18395A">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1471A28E">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0DCEB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2769C257">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34941578">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环氧稀释剂</w:t>
            </w:r>
          </w:p>
        </w:tc>
        <w:tc>
          <w:tcPr>
            <w:tcW w:w="731" w:type="dxa"/>
            <w:vAlign w:val="center"/>
          </w:tcPr>
          <w:p w14:paraId="6B4CDECE">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16C7C607">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21" w:type="dxa"/>
            <w:vAlign w:val="center"/>
          </w:tcPr>
          <w:p w14:paraId="59827C21">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485" w:type="dxa"/>
            <w:vAlign w:val="center"/>
          </w:tcPr>
          <w:p w14:paraId="09F4478B">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7E6A7B35">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49" w:type="dxa"/>
            <w:vAlign w:val="center"/>
          </w:tcPr>
          <w:p w14:paraId="19264470">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300C43B8">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29DCB68A">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25F9D21D">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0E737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722E596F">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15F28151">
            <w:pPr>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聚氨酯稀释剂</w:t>
            </w:r>
          </w:p>
        </w:tc>
        <w:tc>
          <w:tcPr>
            <w:tcW w:w="731" w:type="dxa"/>
            <w:vAlign w:val="center"/>
          </w:tcPr>
          <w:p w14:paraId="2C8E23AF">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688" w:type="dxa"/>
            <w:vAlign w:val="center"/>
          </w:tcPr>
          <w:p w14:paraId="56593510">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721" w:type="dxa"/>
            <w:vAlign w:val="center"/>
          </w:tcPr>
          <w:p w14:paraId="03B78938">
            <w:pPr>
              <w:keepNext w:val="0"/>
              <w:keepLines w:val="0"/>
              <w:widowControl/>
              <w:suppressLineNumbers w:val="0"/>
              <w:jc w:val="center"/>
              <w:textAlignment w:val="center"/>
              <w:rPr>
                <w:rFonts w:hint="eastAsia" w:ascii="Times New Roman" w:hAnsi="Times New Roman" w:eastAsia="宋体" w:cs="Times New Roman"/>
                <w:color w:val="auto"/>
                <w:kern w:val="0"/>
                <w:szCs w:val="21"/>
                <w:u w:val="single" w:color="auto"/>
                <w:lang w:val="en-US" w:eastAsia="zh-CN"/>
              </w:rPr>
            </w:pPr>
          </w:p>
        </w:tc>
        <w:tc>
          <w:tcPr>
            <w:tcW w:w="485" w:type="dxa"/>
            <w:vAlign w:val="center"/>
          </w:tcPr>
          <w:p w14:paraId="3ACB870D">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0A4ECA96">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49" w:type="dxa"/>
            <w:vAlign w:val="center"/>
          </w:tcPr>
          <w:p w14:paraId="510F55C0">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63" w:type="dxa"/>
            <w:vAlign w:val="center"/>
          </w:tcPr>
          <w:p w14:paraId="040C353E">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771" w:type="dxa"/>
            <w:vAlign w:val="center"/>
          </w:tcPr>
          <w:p w14:paraId="558D374D">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c>
          <w:tcPr>
            <w:tcW w:w="869" w:type="dxa"/>
            <w:vAlign w:val="center"/>
          </w:tcPr>
          <w:p w14:paraId="51A0817A">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eastAsia="zh-CN"/>
              </w:rPr>
            </w:pPr>
          </w:p>
        </w:tc>
      </w:tr>
      <w:tr w14:paraId="13279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Merge w:val="continue"/>
            <w:vAlign w:val="center"/>
          </w:tcPr>
          <w:p w14:paraId="56365152">
            <w:pPr>
              <w:adjustRightInd w:val="0"/>
              <w:snapToGrid w:val="0"/>
              <w:jc w:val="center"/>
              <w:rPr>
                <w:rFonts w:hint="default" w:ascii="Times New Roman" w:hAnsi="Times New Roman" w:eastAsia="宋体" w:cs="Times New Roman"/>
                <w:color w:val="auto"/>
                <w:szCs w:val="21"/>
                <w:u w:val="single" w:color="auto"/>
              </w:rPr>
            </w:pPr>
          </w:p>
        </w:tc>
        <w:tc>
          <w:tcPr>
            <w:tcW w:w="797" w:type="pct"/>
            <w:vAlign w:val="center"/>
          </w:tcPr>
          <w:p w14:paraId="316A1B3D">
            <w:pPr>
              <w:adjustRightInd w:val="0"/>
              <w:snapToGrid w:val="0"/>
              <w:jc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小计</w:t>
            </w:r>
          </w:p>
        </w:tc>
        <w:tc>
          <w:tcPr>
            <w:tcW w:w="731" w:type="dxa"/>
            <w:vAlign w:val="center"/>
          </w:tcPr>
          <w:p w14:paraId="16929111">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c>
          <w:tcPr>
            <w:tcW w:w="688" w:type="dxa"/>
            <w:vAlign w:val="center"/>
          </w:tcPr>
          <w:p w14:paraId="7B111A5F">
            <w:pPr>
              <w:keepNext w:val="0"/>
              <w:keepLines w:val="0"/>
              <w:widowControl/>
              <w:suppressLineNumbers w:val="0"/>
              <w:jc w:val="center"/>
              <w:textAlignment w:val="center"/>
              <w:rPr>
                <w:rFonts w:hint="eastAsia" w:ascii="Times New Roman" w:hAnsi="Times New Roman" w:eastAsia="宋体" w:cs="Times New Roman"/>
                <w:b/>
                <w:bCs/>
                <w:color w:val="auto"/>
                <w:kern w:val="0"/>
                <w:szCs w:val="21"/>
                <w:u w:val="single" w:color="auto"/>
                <w:lang w:val="en-US" w:eastAsia="zh-CN"/>
              </w:rPr>
            </w:pPr>
          </w:p>
        </w:tc>
        <w:tc>
          <w:tcPr>
            <w:tcW w:w="721" w:type="dxa"/>
            <w:vAlign w:val="center"/>
          </w:tcPr>
          <w:p w14:paraId="21CD6A40">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c>
          <w:tcPr>
            <w:tcW w:w="485" w:type="dxa"/>
            <w:vAlign w:val="center"/>
          </w:tcPr>
          <w:p w14:paraId="1624F803">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rPr>
            </w:pPr>
          </w:p>
        </w:tc>
        <w:tc>
          <w:tcPr>
            <w:tcW w:w="771" w:type="dxa"/>
            <w:vAlign w:val="center"/>
          </w:tcPr>
          <w:p w14:paraId="1D1F4E64">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c>
          <w:tcPr>
            <w:tcW w:w="749" w:type="dxa"/>
            <w:vAlign w:val="center"/>
          </w:tcPr>
          <w:p w14:paraId="1043C312">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rPr>
            </w:pPr>
          </w:p>
        </w:tc>
        <w:tc>
          <w:tcPr>
            <w:tcW w:w="763" w:type="dxa"/>
            <w:vAlign w:val="center"/>
          </w:tcPr>
          <w:p w14:paraId="1E810901">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c>
          <w:tcPr>
            <w:tcW w:w="771" w:type="dxa"/>
            <w:vAlign w:val="center"/>
          </w:tcPr>
          <w:p w14:paraId="0896FEE8">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c>
          <w:tcPr>
            <w:tcW w:w="869" w:type="dxa"/>
            <w:vAlign w:val="center"/>
          </w:tcPr>
          <w:p w14:paraId="37CF8027">
            <w:pPr>
              <w:keepNext w:val="0"/>
              <w:keepLines w:val="0"/>
              <w:widowControl/>
              <w:suppressLineNumbers w:val="0"/>
              <w:jc w:val="center"/>
              <w:textAlignment w:val="center"/>
              <w:rPr>
                <w:rFonts w:hint="default" w:ascii="Times New Roman" w:hAnsi="Times New Roman" w:eastAsia="宋体" w:cs="Times New Roman"/>
                <w:b/>
                <w:bCs/>
                <w:color w:val="auto"/>
                <w:kern w:val="0"/>
                <w:szCs w:val="21"/>
                <w:u w:val="single" w:color="auto"/>
                <w:lang w:val="en-US" w:eastAsia="zh-CN"/>
              </w:rPr>
            </w:pPr>
          </w:p>
        </w:tc>
      </w:tr>
      <w:tr w14:paraId="54A14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267" w:type="pct"/>
            <w:vAlign w:val="center"/>
          </w:tcPr>
          <w:p w14:paraId="5875AC5F">
            <w:pPr>
              <w:adjustRightInd w:val="0"/>
              <w:snapToGrid w:val="0"/>
              <w:jc w:val="center"/>
              <w:rPr>
                <w:rFonts w:hint="eastAsia" w:ascii="Times New Roman" w:hAnsi="Times New Roman" w:eastAsia="宋体" w:cs="Times New Roman"/>
                <w:b w:val="0"/>
                <w:bCs w:val="0"/>
                <w:color w:val="auto"/>
                <w:szCs w:val="21"/>
                <w:u w:val="single" w:color="auto"/>
                <w:lang w:val="en-US" w:eastAsia="zh-CN"/>
              </w:rPr>
            </w:pPr>
            <w:r>
              <w:rPr>
                <w:rFonts w:hint="eastAsia" w:ascii="Times New Roman" w:hAnsi="Times New Roman" w:eastAsia="宋体" w:cs="Times New Roman"/>
                <w:b w:val="0"/>
                <w:bCs w:val="0"/>
                <w:color w:val="auto"/>
                <w:szCs w:val="21"/>
                <w:u w:val="single" w:color="auto"/>
                <w:lang w:val="en-US" w:eastAsia="zh-CN"/>
              </w:rPr>
              <w:t>清洗</w:t>
            </w:r>
          </w:p>
        </w:tc>
        <w:tc>
          <w:tcPr>
            <w:tcW w:w="797" w:type="pct"/>
            <w:vAlign w:val="center"/>
          </w:tcPr>
          <w:p w14:paraId="31BF355A">
            <w:pPr>
              <w:adjustRightInd w:val="0"/>
              <w:snapToGrid w:val="0"/>
              <w:jc w:val="center"/>
              <w:rPr>
                <w:rFonts w:hint="default" w:ascii="Times New Roman" w:hAnsi="Times New Roman" w:eastAsia="宋体" w:cs="Times New Roman"/>
                <w:b w:val="0"/>
                <w:bCs w:val="0"/>
                <w:color w:val="auto"/>
                <w:szCs w:val="21"/>
                <w:u w:val="single" w:color="auto"/>
              </w:rPr>
            </w:pPr>
            <w:r>
              <w:rPr>
                <w:rFonts w:hint="default" w:ascii="Times New Roman" w:hAnsi="Times New Roman" w:eastAsia="宋体" w:cs="Times New Roman"/>
                <w:b w:val="0"/>
                <w:bCs w:val="0"/>
                <w:color w:val="auto"/>
                <w:szCs w:val="21"/>
                <w:u w:val="single" w:color="auto"/>
              </w:rPr>
              <w:t>环氧稀释剂</w:t>
            </w:r>
          </w:p>
        </w:tc>
        <w:tc>
          <w:tcPr>
            <w:tcW w:w="731" w:type="dxa"/>
            <w:vAlign w:val="center"/>
          </w:tcPr>
          <w:p w14:paraId="617B214B">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688" w:type="dxa"/>
            <w:vAlign w:val="center"/>
          </w:tcPr>
          <w:p w14:paraId="7215F351">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721" w:type="dxa"/>
            <w:vAlign w:val="center"/>
          </w:tcPr>
          <w:p w14:paraId="316AA2CE">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485" w:type="dxa"/>
            <w:vAlign w:val="center"/>
          </w:tcPr>
          <w:p w14:paraId="63501C51">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771" w:type="dxa"/>
            <w:vAlign w:val="center"/>
          </w:tcPr>
          <w:p w14:paraId="7B7C8D77">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749" w:type="dxa"/>
            <w:vAlign w:val="center"/>
          </w:tcPr>
          <w:p w14:paraId="17DA8276">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763" w:type="dxa"/>
            <w:vAlign w:val="center"/>
          </w:tcPr>
          <w:p w14:paraId="1111B7C5">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771" w:type="dxa"/>
            <w:vAlign w:val="center"/>
          </w:tcPr>
          <w:p w14:paraId="72A42728">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c>
          <w:tcPr>
            <w:tcW w:w="869" w:type="dxa"/>
            <w:vAlign w:val="center"/>
          </w:tcPr>
          <w:p w14:paraId="6904FF30">
            <w:pPr>
              <w:keepNext w:val="0"/>
              <w:keepLines w:val="0"/>
              <w:widowControl/>
              <w:suppressLineNumbers w:val="0"/>
              <w:jc w:val="center"/>
              <w:textAlignment w:val="center"/>
              <w:rPr>
                <w:rFonts w:hint="default" w:ascii="Times New Roman" w:hAnsi="Times New Roman" w:eastAsia="宋体" w:cs="Times New Roman"/>
                <w:b w:val="0"/>
                <w:bCs w:val="0"/>
                <w:color w:val="auto"/>
                <w:kern w:val="0"/>
                <w:szCs w:val="21"/>
                <w:u w:val="single" w:color="auto"/>
                <w:lang w:val="en-US" w:eastAsia="zh-CN"/>
              </w:rPr>
            </w:pPr>
          </w:p>
        </w:tc>
      </w:tr>
      <w:tr w14:paraId="497E2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jc w:val="center"/>
        </w:trPr>
        <w:tc>
          <w:tcPr>
            <w:tcW w:w="1064" w:type="pct"/>
            <w:gridSpan w:val="2"/>
            <w:vAlign w:val="center"/>
          </w:tcPr>
          <w:p w14:paraId="12B6EF7A">
            <w:pPr>
              <w:widowControl/>
              <w:adjustRightInd w:val="0"/>
              <w:snapToGrid w:val="0"/>
              <w:jc w:val="center"/>
              <w:textAlignment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合计</w:t>
            </w:r>
          </w:p>
        </w:tc>
        <w:tc>
          <w:tcPr>
            <w:tcW w:w="731" w:type="dxa"/>
            <w:vAlign w:val="center"/>
          </w:tcPr>
          <w:p w14:paraId="362605CA">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lang w:val="en-US" w:eastAsia="zh-CN"/>
              </w:rPr>
            </w:pPr>
          </w:p>
        </w:tc>
        <w:tc>
          <w:tcPr>
            <w:tcW w:w="688" w:type="dxa"/>
            <w:vAlign w:val="center"/>
          </w:tcPr>
          <w:p w14:paraId="70D879DE">
            <w:pPr>
              <w:keepNext w:val="0"/>
              <w:keepLines w:val="0"/>
              <w:widowControl/>
              <w:suppressLineNumbers w:val="0"/>
              <w:jc w:val="center"/>
              <w:textAlignment w:val="center"/>
              <w:rPr>
                <w:rFonts w:hint="eastAsia" w:ascii="Times New Roman" w:hAnsi="Times New Roman" w:eastAsia="宋体" w:cs="Times New Roman"/>
                <w:b/>
                <w:bCs/>
                <w:color w:val="auto"/>
                <w:szCs w:val="21"/>
                <w:u w:val="single" w:color="auto"/>
                <w:lang w:val="en-US" w:eastAsia="zh-CN"/>
              </w:rPr>
            </w:pPr>
          </w:p>
        </w:tc>
        <w:tc>
          <w:tcPr>
            <w:tcW w:w="721" w:type="dxa"/>
            <w:vAlign w:val="center"/>
          </w:tcPr>
          <w:p w14:paraId="7706196B">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lang w:val="en-US" w:eastAsia="zh-CN"/>
              </w:rPr>
            </w:pPr>
          </w:p>
        </w:tc>
        <w:tc>
          <w:tcPr>
            <w:tcW w:w="485" w:type="dxa"/>
            <w:vAlign w:val="center"/>
          </w:tcPr>
          <w:p w14:paraId="54715523">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rPr>
            </w:pPr>
          </w:p>
        </w:tc>
        <w:tc>
          <w:tcPr>
            <w:tcW w:w="771" w:type="dxa"/>
            <w:vAlign w:val="center"/>
          </w:tcPr>
          <w:p w14:paraId="23E0BE43">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lang w:val="en-US" w:eastAsia="zh-CN"/>
              </w:rPr>
            </w:pPr>
          </w:p>
        </w:tc>
        <w:tc>
          <w:tcPr>
            <w:tcW w:w="749" w:type="dxa"/>
            <w:vAlign w:val="center"/>
          </w:tcPr>
          <w:p w14:paraId="448D71C4">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rPr>
            </w:pPr>
          </w:p>
        </w:tc>
        <w:tc>
          <w:tcPr>
            <w:tcW w:w="763" w:type="dxa"/>
            <w:vAlign w:val="center"/>
          </w:tcPr>
          <w:p w14:paraId="36FED9AC">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lang w:val="en-US" w:eastAsia="zh-CN"/>
              </w:rPr>
            </w:pPr>
          </w:p>
        </w:tc>
        <w:tc>
          <w:tcPr>
            <w:tcW w:w="771" w:type="dxa"/>
            <w:vAlign w:val="center"/>
          </w:tcPr>
          <w:p w14:paraId="637A6CEE">
            <w:pPr>
              <w:jc w:val="center"/>
              <w:rPr>
                <w:rFonts w:hint="default" w:ascii="Times New Roman" w:hAnsi="Times New Roman" w:eastAsia="宋体" w:cs="Times New Roman"/>
                <w:b/>
                <w:bCs/>
                <w:color w:val="auto"/>
                <w:szCs w:val="21"/>
                <w:u w:val="single" w:color="auto"/>
                <w:lang w:val="en-US" w:eastAsia="zh-CN"/>
              </w:rPr>
            </w:pPr>
          </w:p>
        </w:tc>
        <w:tc>
          <w:tcPr>
            <w:tcW w:w="869" w:type="dxa"/>
            <w:vAlign w:val="center"/>
          </w:tcPr>
          <w:p w14:paraId="24061110">
            <w:pPr>
              <w:keepNext w:val="0"/>
              <w:keepLines w:val="0"/>
              <w:widowControl/>
              <w:suppressLineNumbers w:val="0"/>
              <w:jc w:val="center"/>
              <w:textAlignment w:val="center"/>
              <w:rPr>
                <w:rFonts w:hint="default" w:ascii="Times New Roman" w:hAnsi="Times New Roman" w:eastAsia="宋体" w:cs="Times New Roman"/>
                <w:b/>
                <w:bCs/>
                <w:color w:val="auto"/>
                <w:szCs w:val="21"/>
                <w:u w:val="single" w:color="auto"/>
                <w:lang w:val="en-US" w:eastAsia="zh-CN"/>
              </w:rPr>
            </w:pPr>
          </w:p>
        </w:tc>
      </w:tr>
    </w:tbl>
    <w:p w14:paraId="1171DA79">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油漆中含挥发性有机物，通过刷漆、晾干等工序全部排放，</w:t>
      </w:r>
      <w:r>
        <w:rPr>
          <w:rFonts w:hint="default" w:ascii="Times New Roman" w:hAnsi="Times New Roman" w:eastAsia="宋体" w:cs="Times New Roman"/>
          <w:color w:val="auto"/>
          <w:sz w:val="24"/>
          <w:szCs w:val="24"/>
          <w:u w:val="single" w:color="auto"/>
        </w:rPr>
        <w:t>目前国家暂未发布</w:t>
      </w:r>
      <w:r>
        <w:rPr>
          <w:rFonts w:hint="eastAsia" w:ascii="Times New Roman" w:hAnsi="Times New Roman" w:eastAsia="宋体" w:cs="Times New Roman"/>
          <w:color w:val="auto"/>
          <w:sz w:val="24"/>
          <w:szCs w:val="24"/>
          <w:u w:val="single" w:color="auto"/>
          <w:lang w:val="en-US" w:eastAsia="zh-CN"/>
        </w:rPr>
        <w:t>喷涂</w:t>
      </w:r>
      <w:r>
        <w:rPr>
          <w:rFonts w:hint="default" w:ascii="Times New Roman" w:hAnsi="Times New Roman" w:eastAsia="宋体" w:cs="Times New Roman"/>
          <w:color w:val="auto"/>
          <w:sz w:val="24"/>
          <w:szCs w:val="24"/>
          <w:u w:val="single" w:color="auto"/>
        </w:rPr>
        <w:t>行业的污染源源强核算技术指南，参考《污染源源强核算技术指南</w:t>
      </w:r>
      <w:r>
        <w:rPr>
          <w:rFonts w:hint="eastAsia" w:ascii="Times New Roman" w:hAnsi="Times New Roman" w:eastAsia="宋体" w:cs="Times New Roman"/>
          <w:color w:val="auto"/>
          <w:sz w:val="24"/>
          <w:szCs w:val="24"/>
          <w:u w:val="single" w:color="auto"/>
        </w:rPr>
        <w:t xml:space="preserve"> </w:t>
      </w:r>
      <w:r>
        <w:rPr>
          <w:rFonts w:hint="default" w:ascii="Times New Roman" w:hAnsi="Times New Roman" w:eastAsia="宋体" w:cs="Times New Roman"/>
          <w:color w:val="auto"/>
          <w:sz w:val="24"/>
          <w:szCs w:val="24"/>
          <w:u w:val="single" w:color="auto"/>
        </w:rPr>
        <w:t>汽车制造》（HJ1097-2020）附录E，本次评价项目喷涂</w:t>
      </w:r>
      <w:r>
        <w:rPr>
          <w:rFonts w:hint="eastAsia" w:ascii="Times New Roman" w:hAnsi="Times New Roman" w:eastAsia="宋体" w:cs="Times New Roman"/>
          <w:color w:val="auto"/>
          <w:sz w:val="24"/>
          <w:szCs w:val="24"/>
          <w:u w:val="single" w:color="auto"/>
        </w:rPr>
        <w:t>后</w:t>
      </w:r>
      <w:r>
        <w:rPr>
          <w:rFonts w:hint="default" w:ascii="Times New Roman" w:hAnsi="Times New Roman" w:eastAsia="宋体" w:cs="Times New Roman"/>
          <w:color w:val="auto"/>
          <w:sz w:val="24"/>
          <w:szCs w:val="24"/>
          <w:u w:val="single" w:color="auto"/>
        </w:rPr>
        <w:t>晾干过程挥发性有机物挥发量按物料中挥发性有机物挥发量的</w:t>
      </w:r>
      <w:r>
        <w:rPr>
          <w:rFonts w:hint="eastAsia" w:ascii="Times New Roman" w:hAnsi="Times New Roman" w:eastAsia="宋体" w:cs="Times New Roman"/>
          <w:color w:val="auto"/>
          <w:sz w:val="24"/>
          <w:szCs w:val="24"/>
          <w:u w:val="single" w:color="auto"/>
          <w:lang w:val="en-US" w:eastAsia="zh-CN"/>
        </w:rPr>
        <w:t>30</w:t>
      </w:r>
      <w:r>
        <w:rPr>
          <w:rFonts w:hint="default" w:ascii="Times New Roman" w:hAnsi="Times New Roman" w:eastAsia="宋体" w:cs="Times New Roman"/>
          <w:color w:val="auto"/>
          <w:sz w:val="24"/>
          <w:szCs w:val="24"/>
          <w:u w:val="single" w:color="auto"/>
        </w:rPr>
        <w:t>%计。</w:t>
      </w:r>
    </w:p>
    <w:p w14:paraId="3257D8C3">
      <w:pPr>
        <w:adjustRightInd w:val="0"/>
        <w:snapToGrid w:val="0"/>
        <w:spacing w:line="360" w:lineRule="auto"/>
        <w:ind w:firstLine="480" w:firstLineChars="200"/>
        <w:rPr>
          <w:rFonts w:hint="default"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经计算，本项目各工序挥发性有机物产生量的计算参数及结果见下表。</w:t>
      </w:r>
    </w:p>
    <w:p w14:paraId="7E897754">
      <w:pPr>
        <w:adjustRightInd w:val="0"/>
        <w:snapToGrid w:val="0"/>
        <w:jc w:val="center"/>
        <w:rPr>
          <w:rFonts w:ascii="Times New Roman" w:hAnsi="Times New Roman"/>
          <w:color w:val="auto"/>
          <w:u w:val="single" w:color="auto"/>
        </w:rPr>
      </w:pPr>
      <w:r>
        <w:rPr>
          <w:rFonts w:hint="eastAsia" w:ascii="Times New Roman" w:hAnsi="Times New Roman"/>
          <w:b/>
          <w:color w:val="auto"/>
          <w:u w:val="single" w:color="auto"/>
        </w:rPr>
        <w:t>表</w:t>
      </w:r>
      <w:r>
        <w:rPr>
          <w:rFonts w:hint="eastAsia" w:ascii="Times New Roman" w:hAnsi="Times New Roman"/>
          <w:b/>
          <w:color w:val="auto"/>
          <w:u w:val="single" w:color="auto"/>
          <w:lang w:val="en-US" w:eastAsia="zh-CN"/>
        </w:rPr>
        <w:t>2.3-7</w:t>
      </w:r>
      <w:r>
        <w:rPr>
          <w:rFonts w:ascii="Times New Roman" w:hAnsi="Times New Roman"/>
          <w:b/>
          <w:color w:val="auto"/>
          <w:u w:val="single" w:color="auto"/>
        </w:rPr>
        <w:t xml:space="preserve">  </w:t>
      </w:r>
      <w:r>
        <w:rPr>
          <w:rFonts w:hint="eastAsia" w:ascii="Times New Roman" w:hAnsi="Times New Roman"/>
          <w:b/>
          <w:color w:val="auto"/>
          <w:u w:val="single" w:color="auto"/>
        </w:rPr>
        <w:t>本项目各工序挥发性有机物产生量的计算参数及结果</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1" w:type="dxa"/>
          <w:bottom w:w="0" w:type="dxa"/>
          <w:right w:w="11" w:type="dxa"/>
        </w:tblCellMar>
      </w:tblPr>
      <w:tblGrid>
        <w:gridCol w:w="626"/>
        <w:gridCol w:w="833"/>
        <w:gridCol w:w="644"/>
        <w:gridCol w:w="987"/>
        <w:gridCol w:w="914"/>
        <w:gridCol w:w="907"/>
        <w:gridCol w:w="1702"/>
        <w:gridCol w:w="673"/>
        <w:gridCol w:w="1039"/>
      </w:tblGrid>
      <w:tr w14:paraId="0D0A4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876" w:type="pct"/>
            <w:gridSpan w:val="2"/>
            <w:vMerge w:val="restart"/>
            <w:vAlign w:val="center"/>
          </w:tcPr>
          <w:p w14:paraId="712E4683">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产污工序</w:t>
            </w:r>
          </w:p>
        </w:tc>
        <w:tc>
          <w:tcPr>
            <w:tcW w:w="1529" w:type="pct"/>
            <w:gridSpan w:val="3"/>
            <w:vAlign w:val="center"/>
          </w:tcPr>
          <w:p w14:paraId="15D8877B">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D</w:t>
            </w:r>
            <w:r>
              <w:rPr>
                <w:rFonts w:hint="default" w:ascii="Times New Roman" w:hAnsi="Times New Roman" w:eastAsia="宋体" w:cs="Times New Roman"/>
                <w:b/>
                <w:bCs/>
                <w:color w:val="auto"/>
                <w:sz w:val="21"/>
                <w:szCs w:val="21"/>
                <w:u w:val="single" w:color="auto"/>
                <w:vertAlign w:val="subscript"/>
              </w:rPr>
              <w:t>物料</w:t>
            </w:r>
          </w:p>
        </w:tc>
        <w:tc>
          <w:tcPr>
            <w:tcW w:w="545" w:type="pct"/>
            <w:vMerge w:val="restart"/>
            <w:vAlign w:val="center"/>
          </w:tcPr>
          <w:p w14:paraId="70C74963">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K</w:t>
            </w:r>
            <w:r>
              <w:rPr>
                <w:rFonts w:hint="default" w:ascii="Times New Roman" w:hAnsi="Times New Roman" w:eastAsia="宋体" w:cs="Times New Roman"/>
                <w:b/>
                <w:bCs/>
                <w:color w:val="auto"/>
                <w:sz w:val="21"/>
                <w:szCs w:val="21"/>
                <w:u w:val="single" w:color="auto"/>
                <w:vertAlign w:val="subscript"/>
              </w:rPr>
              <w:t>刷漆或晾干</w:t>
            </w:r>
          </w:p>
        </w:tc>
        <w:tc>
          <w:tcPr>
            <w:tcW w:w="2048" w:type="pct"/>
            <w:gridSpan w:val="3"/>
            <w:vAlign w:val="center"/>
          </w:tcPr>
          <w:p w14:paraId="68539A7B">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D</w:t>
            </w:r>
            <w:r>
              <w:rPr>
                <w:rFonts w:hint="default" w:ascii="Times New Roman" w:hAnsi="Times New Roman" w:eastAsia="宋体" w:cs="Times New Roman"/>
                <w:b/>
                <w:bCs/>
                <w:color w:val="auto"/>
                <w:sz w:val="21"/>
                <w:szCs w:val="21"/>
                <w:u w:val="single" w:color="auto"/>
                <w:vertAlign w:val="subscript"/>
              </w:rPr>
              <w:t>刷漆或晾干</w:t>
            </w:r>
          </w:p>
        </w:tc>
      </w:tr>
      <w:tr w14:paraId="57149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876" w:type="pct"/>
            <w:gridSpan w:val="2"/>
            <w:vMerge w:val="continue"/>
            <w:vAlign w:val="center"/>
          </w:tcPr>
          <w:p w14:paraId="0ABC8B1E">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p>
        </w:tc>
        <w:tc>
          <w:tcPr>
            <w:tcW w:w="387" w:type="pct"/>
            <w:vAlign w:val="center"/>
          </w:tcPr>
          <w:p w14:paraId="2C98862E">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甲苯</w:t>
            </w:r>
          </w:p>
        </w:tc>
        <w:tc>
          <w:tcPr>
            <w:tcW w:w="593" w:type="pct"/>
            <w:vAlign w:val="center"/>
          </w:tcPr>
          <w:p w14:paraId="4CF2DE35">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lang w:eastAsia="zh-CN"/>
              </w:rPr>
            </w:pPr>
            <w:r>
              <w:rPr>
                <w:rFonts w:hint="default" w:ascii="Times New Roman" w:hAnsi="Times New Roman" w:eastAsia="宋体" w:cs="Times New Roman"/>
                <w:b/>
                <w:bCs/>
                <w:color w:val="auto"/>
                <w:sz w:val="21"/>
                <w:szCs w:val="21"/>
                <w:u w:val="single" w:color="auto"/>
                <w:lang w:val="en-US" w:eastAsia="zh-CN"/>
              </w:rPr>
              <w:t>二甲苯</w:t>
            </w:r>
          </w:p>
        </w:tc>
        <w:tc>
          <w:tcPr>
            <w:tcW w:w="548" w:type="pct"/>
            <w:vAlign w:val="center"/>
          </w:tcPr>
          <w:p w14:paraId="24F08640">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lang w:val="en-US" w:eastAsia="zh-CN"/>
              </w:rPr>
            </w:pPr>
            <w:r>
              <w:rPr>
                <w:rFonts w:hint="default" w:ascii="Times New Roman" w:hAnsi="Times New Roman" w:eastAsia="宋体" w:cs="Times New Roman"/>
                <w:b/>
                <w:bCs/>
                <w:color w:val="auto"/>
                <w:sz w:val="21"/>
                <w:szCs w:val="21"/>
                <w:u w:val="single" w:color="auto"/>
                <w:lang w:val="en-US" w:eastAsia="zh-CN"/>
              </w:rPr>
              <w:t>非甲烷总烃</w:t>
            </w:r>
          </w:p>
        </w:tc>
        <w:tc>
          <w:tcPr>
            <w:tcW w:w="545" w:type="pct"/>
            <w:vMerge w:val="continue"/>
            <w:vAlign w:val="center"/>
          </w:tcPr>
          <w:p w14:paraId="66564D0F">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p>
        </w:tc>
        <w:tc>
          <w:tcPr>
            <w:tcW w:w="1022" w:type="pct"/>
            <w:vAlign w:val="center"/>
          </w:tcPr>
          <w:p w14:paraId="51AE1672">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甲苯</w:t>
            </w:r>
          </w:p>
        </w:tc>
        <w:tc>
          <w:tcPr>
            <w:tcW w:w="404" w:type="pct"/>
            <w:vAlign w:val="center"/>
          </w:tcPr>
          <w:p w14:paraId="53FA2907">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二甲苯</w:t>
            </w:r>
          </w:p>
        </w:tc>
        <w:tc>
          <w:tcPr>
            <w:tcW w:w="622" w:type="pct"/>
            <w:vAlign w:val="center"/>
          </w:tcPr>
          <w:p w14:paraId="26186000">
            <w:pPr>
              <w:widowControl/>
              <w:adjustRightInd w:val="0"/>
              <w:snapToGrid w:val="0"/>
              <w:jc w:val="center"/>
              <w:textAlignment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非甲烷总烃</w:t>
            </w:r>
          </w:p>
        </w:tc>
      </w:tr>
      <w:tr w14:paraId="6AC3B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465" w:hRule="atLeast"/>
        </w:trPr>
        <w:tc>
          <w:tcPr>
            <w:tcW w:w="376" w:type="pct"/>
            <w:vMerge w:val="restart"/>
            <w:vAlign w:val="center"/>
          </w:tcPr>
          <w:p w14:paraId="608C1295">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喷涂车间</w:t>
            </w:r>
          </w:p>
        </w:tc>
        <w:tc>
          <w:tcPr>
            <w:tcW w:w="499" w:type="pct"/>
            <w:vAlign w:val="center"/>
          </w:tcPr>
          <w:p w14:paraId="6BA7EA06">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喷涂</w:t>
            </w:r>
          </w:p>
        </w:tc>
        <w:tc>
          <w:tcPr>
            <w:tcW w:w="644" w:type="dxa"/>
            <w:vMerge w:val="restart"/>
            <w:vAlign w:val="center"/>
          </w:tcPr>
          <w:p w14:paraId="4F5579B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987" w:type="dxa"/>
            <w:vMerge w:val="restart"/>
            <w:vAlign w:val="center"/>
          </w:tcPr>
          <w:p w14:paraId="0A74ADC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914" w:type="dxa"/>
            <w:vMerge w:val="restart"/>
            <w:vAlign w:val="center"/>
          </w:tcPr>
          <w:p w14:paraId="1B2280D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907" w:type="dxa"/>
            <w:vAlign w:val="center"/>
          </w:tcPr>
          <w:p w14:paraId="640E413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702" w:type="dxa"/>
            <w:vAlign w:val="center"/>
          </w:tcPr>
          <w:p w14:paraId="272501F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73" w:type="dxa"/>
            <w:vAlign w:val="center"/>
          </w:tcPr>
          <w:p w14:paraId="256EA5B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039" w:type="dxa"/>
            <w:vAlign w:val="center"/>
          </w:tcPr>
          <w:p w14:paraId="550DF41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r>
      <w:tr w14:paraId="132A1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376" w:type="pct"/>
            <w:vMerge w:val="continue"/>
            <w:vAlign w:val="center"/>
          </w:tcPr>
          <w:p w14:paraId="77D33571">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p>
        </w:tc>
        <w:tc>
          <w:tcPr>
            <w:tcW w:w="499" w:type="pct"/>
            <w:vAlign w:val="center"/>
          </w:tcPr>
          <w:p w14:paraId="2B090A65">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晾干</w:t>
            </w:r>
          </w:p>
        </w:tc>
        <w:tc>
          <w:tcPr>
            <w:tcW w:w="644" w:type="dxa"/>
            <w:vMerge w:val="continue"/>
            <w:vAlign w:val="center"/>
          </w:tcPr>
          <w:p w14:paraId="6575FCD5">
            <w:pPr>
              <w:jc w:val="center"/>
              <w:rPr>
                <w:rFonts w:hint="default" w:ascii="Times New Roman" w:hAnsi="Times New Roman" w:eastAsia="宋体" w:cs="Times New Roman"/>
                <w:color w:val="auto"/>
                <w:sz w:val="21"/>
                <w:szCs w:val="21"/>
                <w:u w:val="single" w:color="auto"/>
              </w:rPr>
            </w:pPr>
          </w:p>
        </w:tc>
        <w:tc>
          <w:tcPr>
            <w:tcW w:w="987" w:type="dxa"/>
            <w:vMerge w:val="continue"/>
            <w:vAlign w:val="center"/>
          </w:tcPr>
          <w:p w14:paraId="36CD0B6C">
            <w:pPr>
              <w:jc w:val="center"/>
              <w:rPr>
                <w:rFonts w:hint="default" w:ascii="Times New Roman" w:hAnsi="Times New Roman" w:eastAsia="宋体" w:cs="Times New Roman"/>
                <w:color w:val="auto"/>
                <w:sz w:val="21"/>
                <w:szCs w:val="21"/>
                <w:u w:val="single" w:color="auto"/>
              </w:rPr>
            </w:pPr>
          </w:p>
        </w:tc>
        <w:tc>
          <w:tcPr>
            <w:tcW w:w="914" w:type="dxa"/>
            <w:vMerge w:val="continue"/>
            <w:vAlign w:val="center"/>
          </w:tcPr>
          <w:p w14:paraId="0387F59F">
            <w:pPr>
              <w:jc w:val="center"/>
              <w:rPr>
                <w:rFonts w:hint="default" w:ascii="Times New Roman" w:hAnsi="Times New Roman" w:eastAsia="宋体" w:cs="Times New Roman"/>
                <w:color w:val="auto"/>
                <w:sz w:val="21"/>
                <w:szCs w:val="21"/>
                <w:u w:val="single" w:color="auto"/>
              </w:rPr>
            </w:pPr>
          </w:p>
        </w:tc>
        <w:tc>
          <w:tcPr>
            <w:tcW w:w="907" w:type="dxa"/>
            <w:vAlign w:val="center"/>
          </w:tcPr>
          <w:p w14:paraId="2C2FD82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702" w:type="dxa"/>
            <w:vAlign w:val="center"/>
          </w:tcPr>
          <w:p w14:paraId="7DD3CA1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73" w:type="dxa"/>
            <w:vAlign w:val="center"/>
          </w:tcPr>
          <w:p w14:paraId="24162F7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039" w:type="dxa"/>
            <w:vAlign w:val="center"/>
          </w:tcPr>
          <w:p w14:paraId="2F539B3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r>
      <w:tr w14:paraId="4FE23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40" w:hRule="atLeast"/>
        </w:trPr>
        <w:tc>
          <w:tcPr>
            <w:tcW w:w="376" w:type="pct"/>
            <w:vMerge w:val="continue"/>
            <w:vAlign w:val="center"/>
          </w:tcPr>
          <w:p w14:paraId="32FB2825">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p>
        </w:tc>
        <w:tc>
          <w:tcPr>
            <w:tcW w:w="499" w:type="pct"/>
            <w:vAlign w:val="center"/>
          </w:tcPr>
          <w:p w14:paraId="32E09AF4">
            <w:pPr>
              <w:widowControl/>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喷枪清洗</w:t>
            </w:r>
          </w:p>
        </w:tc>
        <w:tc>
          <w:tcPr>
            <w:tcW w:w="644" w:type="dxa"/>
            <w:vAlign w:val="center"/>
          </w:tcPr>
          <w:p w14:paraId="492B847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eastAsia="zh-CN"/>
              </w:rPr>
            </w:pPr>
          </w:p>
        </w:tc>
        <w:tc>
          <w:tcPr>
            <w:tcW w:w="987" w:type="dxa"/>
            <w:vAlign w:val="center"/>
          </w:tcPr>
          <w:p w14:paraId="67747ED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914" w:type="dxa"/>
            <w:vAlign w:val="center"/>
          </w:tcPr>
          <w:p w14:paraId="32CCDA5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907" w:type="dxa"/>
            <w:vAlign w:val="center"/>
          </w:tcPr>
          <w:p w14:paraId="3D532D3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702" w:type="dxa"/>
            <w:vAlign w:val="center"/>
          </w:tcPr>
          <w:p w14:paraId="1961903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73" w:type="dxa"/>
            <w:vAlign w:val="center"/>
          </w:tcPr>
          <w:p w14:paraId="2B42665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039" w:type="dxa"/>
            <w:vAlign w:val="center"/>
          </w:tcPr>
          <w:p w14:paraId="38E93EB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eastAsia="zh-CN"/>
              </w:rPr>
            </w:pPr>
          </w:p>
        </w:tc>
      </w:tr>
      <w:tr w14:paraId="0862B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69" w:hRule="atLeast"/>
        </w:trPr>
        <w:tc>
          <w:tcPr>
            <w:tcW w:w="5000" w:type="pct"/>
            <w:gridSpan w:val="9"/>
            <w:vAlign w:val="center"/>
          </w:tcPr>
          <w:p w14:paraId="41D55C2B">
            <w:pPr>
              <w:widowControl/>
              <w:adjustRightInd w:val="0"/>
              <w:snapToGrid w:val="0"/>
              <w:jc w:val="left"/>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注：刷漆、晾干工序挥发性有机物产生量占比系数参考《污染源源强核算技术指南 汽车制造》（HJ 1097—2020）中的附录E确定。</w:t>
            </w:r>
          </w:p>
        </w:tc>
      </w:tr>
    </w:tbl>
    <w:p w14:paraId="76A0C5F4">
      <w:pPr>
        <w:keepNext w:val="0"/>
        <w:keepLines w:val="0"/>
        <w:pageBreakBefore w:val="0"/>
        <w:widowControl w:val="0"/>
        <w:kinsoku/>
        <w:wordWrap/>
        <w:overflowPunct/>
        <w:topLinePunct w:val="0"/>
        <w:autoSpaceDE/>
        <w:autoSpaceDN/>
        <w:bidi w:val="0"/>
        <w:adjustRightInd w:val="0"/>
        <w:snapToGrid w:val="0"/>
        <w:spacing w:before="156" w:beforeLines="50"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A.喷涂车间废气</w:t>
      </w:r>
    </w:p>
    <w:bookmarkEnd w:id="154"/>
    <w:p w14:paraId="703785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val="en-US" w:eastAsia="zh-CN"/>
        </w:rPr>
      </w:pPr>
      <w:r>
        <w:rPr>
          <w:rFonts w:hint="default" w:ascii="Times New Roman" w:hAnsi="Times New Roman" w:eastAsia="宋体" w:cs="Times New Roman"/>
          <w:b w:val="0"/>
          <w:bCs w:val="0"/>
          <w:color w:val="auto"/>
          <w:sz w:val="24"/>
          <w:szCs w:val="24"/>
          <w:u w:val="single" w:color="auto"/>
        </w:rPr>
        <w:t>喷漆、晾干、调漆工序均在</w:t>
      </w:r>
      <w:r>
        <w:rPr>
          <w:rFonts w:hint="eastAsia" w:ascii="Times New Roman" w:hAnsi="Times New Roman" w:eastAsia="宋体" w:cs="Times New Roman"/>
          <w:b w:val="0"/>
          <w:bCs w:val="0"/>
          <w:color w:val="auto"/>
          <w:sz w:val="24"/>
          <w:szCs w:val="24"/>
          <w:u w:val="single" w:color="auto"/>
          <w:lang w:eastAsia="zh-CN"/>
        </w:rPr>
        <w:t>涂装车间</w:t>
      </w:r>
      <w:r>
        <w:rPr>
          <w:rFonts w:hint="default" w:ascii="Times New Roman" w:hAnsi="Times New Roman" w:eastAsia="宋体" w:cs="Times New Roman"/>
          <w:b w:val="0"/>
          <w:bCs w:val="0"/>
          <w:color w:val="auto"/>
          <w:sz w:val="24"/>
          <w:szCs w:val="24"/>
          <w:u w:val="single" w:color="auto"/>
        </w:rPr>
        <w:t>内进行，且为封闭车间，喷漆、调漆、晾干房内产生的漆雾和有机废气</w:t>
      </w:r>
      <w:r>
        <w:rPr>
          <w:rFonts w:hint="eastAsia"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设计风量为</w:t>
      </w:r>
      <w:r>
        <w:rPr>
          <w:rFonts w:hint="default" w:ascii="Times New Roman" w:hAnsi="Times New Roman" w:eastAsia="宋体" w:cs="Times New Roman"/>
          <w:b w:val="0"/>
          <w:bCs w:val="0"/>
          <w:color w:val="auto"/>
          <w:sz w:val="24"/>
          <w:szCs w:val="24"/>
          <w:u w:val="single" w:color="auto"/>
        </w:rPr>
        <w:t>60000m</w:t>
      </w:r>
      <w:r>
        <w:rPr>
          <w:rFonts w:hint="default" w:ascii="Times New Roman" w:hAnsi="Times New Roman" w:eastAsia="宋体" w:cs="Times New Roman"/>
          <w:b w:val="0"/>
          <w:bCs w:val="0"/>
          <w:color w:val="auto"/>
          <w:sz w:val="24"/>
          <w:szCs w:val="24"/>
          <w:u w:val="single" w:color="auto"/>
          <w:vertAlign w:val="superscript"/>
        </w:rPr>
        <w:t>3</w:t>
      </w:r>
      <w:r>
        <w:rPr>
          <w:rFonts w:hint="default" w:ascii="Times New Roman" w:hAnsi="Times New Roman" w:eastAsia="宋体" w:cs="Times New Roman"/>
          <w:b w:val="0"/>
          <w:bCs w:val="0"/>
          <w:color w:val="auto"/>
          <w:sz w:val="24"/>
          <w:szCs w:val="24"/>
          <w:u w:val="single" w:color="auto"/>
        </w:rPr>
        <w:t>/h</w:t>
      </w: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不单独计算调漆废气。</w:t>
      </w:r>
    </w:p>
    <w:p w14:paraId="076B75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color w:val="auto"/>
          <w:sz w:val="24"/>
          <w:szCs w:val="24"/>
          <w:u w:val="single" w:color="auto"/>
        </w:rPr>
        <w:t>参考《关于印发</w:t>
      </w:r>
      <w:r>
        <w:rPr>
          <w:rFonts w:hint="default" w:ascii="Times New Roman" w:hAnsi="Times New Roman" w:eastAsia="宋体" w:cs="Times New Roman"/>
          <w:color w:val="auto"/>
          <w:sz w:val="24"/>
          <w:szCs w:val="24"/>
          <w:u w:val="single" w:color="auto"/>
          <w:lang w:val="en-US" w:eastAsia="zh-CN"/>
        </w:rPr>
        <w:t>&lt;</w:t>
      </w:r>
      <w:r>
        <w:rPr>
          <w:rFonts w:hint="default" w:ascii="Times New Roman" w:hAnsi="Times New Roman" w:eastAsia="宋体" w:cs="Times New Roman"/>
          <w:color w:val="auto"/>
          <w:sz w:val="24"/>
          <w:szCs w:val="24"/>
          <w:u w:val="single" w:color="auto"/>
        </w:rPr>
        <w:t>主要污染物总量减排核算技术指南（2022年修订）</w:t>
      </w:r>
      <w:r>
        <w:rPr>
          <w:rFonts w:hint="default" w:ascii="Times New Roman" w:hAnsi="Times New Roman" w:eastAsia="宋体" w:cs="Times New Roman"/>
          <w:color w:val="auto"/>
          <w:sz w:val="24"/>
          <w:szCs w:val="24"/>
          <w:u w:val="single" w:color="auto"/>
          <w:lang w:val="en-US" w:eastAsia="zh-CN"/>
        </w:rPr>
        <w:t>&gt;</w:t>
      </w:r>
      <w:r>
        <w:rPr>
          <w:rFonts w:hint="default" w:ascii="Times New Roman" w:hAnsi="Times New Roman" w:eastAsia="宋体" w:cs="Times New Roman"/>
          <w:color w:val="auto"/>
          <w:sz w:val="24"/>
          <w:szCs w:val="24"/>
          <w:u w:val="single" w:color="auto"/>
        </w:rPr>
        <w:t>的通知》（环办综合函〔2022〕350号）中“表</w:t>
      </w:r>
      <w:r>
        <w:rPr>
          <w:rFonts w:hint="default" w:ascii="Times New Roman" w:hAnsi="Times New Roman" w:eastAsia="宋体" w:cs="Times New Roman"/>
          <w:color w:val="auto"/>
          <w:sz w:val="24"/>
          <w:szCs w:val="24"/>
          <w:u w:val="single" w:color="auto"/>
          <w:lang w:val="en-US" w:eastAsia="zh-CN"/>
        </w:rPr>
        <w:t>2-3</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b w:val="0"/>
          <w:bCs w:val="0"/>
          <w:color w:val="auto"/>
          <w:sz w:val="24"/>
          <w:szCs w:val="24"/>
          <w:u w:val="single" w:color="auto"/>
        </w:rPr>
        <w:t>对应的集气效率为90%。</w:t>
      </w:r>
    </w:p>
    <w:p w14:paraId="56049B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u w:val="single" w:color="auto"/>
        </w:rPr>
      </w:pPr>
      <w:r>
        <w:rPr>
          <w:rFonts w:hint="default" w:ascii="Times New Roman" w:hAnsi="Times New Roman" w:eastAsia="宋体" w:cs="Times New Roman"/>
          <w:b w:val="0"/>
          <w:bCs w:val="0"/>
          <w:color w:val="auto"/>
          <w:sz w:val="24"/>
          <w:szCs w:val="24"/>
          <w:highlight w:val="none"/>
          <w:u w:val="single" w:color="auto"/>
        </w:rPr>
        <w:t>参考</w:t>
      </w:r>
      <w:r>
        <w:rPr>
          <w:rFonts w:hint="default" w:ascii="Times New Roman" w:hAnsi="Times New Roman" w:eastAsia="宋体" w:cs="Times New Roman"/>
          <w:b w:val="0"/>
          <w:bCs w:val="0"/>
          <w:color w:val="auto"/>
          <w:sz w:val="24"/>
          <w:szCs w:val="24"/>
          <w:highlight w:val="none"/>
          <w:u w:val="single" w:color="auto"/>
          <w:lang w:val="en-US" w:eastAsia="zh-CN"/>
        </w:rPr>
        <w:t>《</w:t>
      </w:r>
      <w:r>
        <w:rPr>
          <w:rFonts w:hint="default" w:ascii="Times New Roman" w:hAnsi="Times New Roman" w:eastAsia="宋体" w:cs="Times New Roman"/>
          <w:b w:val="0"/>
          <w:bCs w:val="0"/>
          <w:color w:val="auto"/>
          <w:sz w:val="24"/>
          <w:szCs w:val="24"/>
          <w:highlight w:val="none"/>
          <w:u w:val="single" w:color="auto"/>
        </w:rPr>
        <w:t>污染源源强核算技术指南 汽车制造》（HJ1097-2020）附录</w:t>
      </w:r>
      <w:r>
        <w:rPr>
          <w:rFonts w:hint="default" w:ascii="Times New Roman" w:hAnsi="Times New Roman" w:eastAsia="宋体" w:cs="Times New Roman"/>
          <w:b w:val="0"/>
          <w:bCs w:val="0"/>
          <w:color w:val="auto"/>
          <w:sz w:val="24"/>
          <w:szCs w:val="24"/>
          <w:highlight w:val="none"/>
          <w:u w:val="single" w:color="auto"/>
          <w:lang w:val="en-US" w:eastAsia="zh-CN"/>
        </w:rPr>
        <w:t>F，</w:t>
      </w:r>
      <w:r>
        <w:rPr>
          <w:rFonts w:hint="default" w:ascii="Times New Roman" w:hAnsi="Times New Roman" w:eastAsia="宋体" w:cs="Times New Roman"/>
          <w:b w:val="0"/>
          <w:bCs w:val="0"/>
          <w:color w:val="auto"/>
          <w:sz w:val="24"/>
          <w:szCs w:val="24"/>
          <w:highlight w:val="none"/>
          <w:u w:val="single" w:color="auto"/>
        </w:rPr>
        <w:t>采用化学纤维过滤末端治理技术去除效率可达到80%</w:t>
      </w:r>
      <w:r>
        <w:rPr>
          <w:rFonts w:hint="default" w:ascii="Times New Roman" w:hAnsi="Times New Roman" w:eastAsia="宋体" w:cs="Times New Roman"/>
          <w:b w:val="0"/>
          <w:bCs w:val="0"/>
          <w:color w:val="auto"/>
          <w:sz w:val="24"/>
          <w:szCs w:val="24"/>
          <w:highlight w:val="none"/>
          <w:u w:val="single" w:color="auto"/>
          <w:lang w:eastAsia="zh-CN"/>
        </w:rPr>
        <w:t>，</w:t>
      </w:r>
      <w:r>
        <w:rPr>
          <w:rFonts w:hint="default" w:ascii="Times New Roman" w:hAnsi="Times New Roman" w:eastAsia="宋体" w:cs="Times New Roman"/>
          <w:b w:val="0"/>
          <w:bCs w:val="0"/>
          <w:color w:val="auto"/>
          <w:sz w:val="24"/>
          <w:szCs w:val="24"/>
          <w:highlight w:val="none"/>
          <w:u w:val="single" w:color="auto"/>
        </w:rPr>
        <w:t>干式过滤器属于化学纤维过滤末端治理技术，</w:t>
      </w:r>
      <w:r>
        <w:rPr>
          <w:rFonts w:hint="default" w:ascii="Times New Roman" w:hAnsi="Times New Roman" w:eastAsia="宋体" w:cs="Times New Roman"/>
          <w:b w:val="0"/>
          <w:bCs w:val="0"/>
          <w:color w:val="auto"/>
          <w:sz w:val="24"/>
          <w:szCs w:val="24"/>
          <w:highlight w:val="none"/>
          <w:u w:val="single" w:color="auto"/>
          <w:lang w:val="en-US" w:eastAsia="zh-CN"/>
        </w:rPr>
        <w:t>本项目</w:t>
      </w:r>
      <w:r>
        <w:rPr>
          <w:rFonts w:hint="default" w:ascii="Times New Roman" w:hAnsi="Times New Roman" w:eastAsia="宋体" w:cs="Times New Roman"/>
          <w:b w:val="0"/>
          <w:bCs w:val="0"/>
          <w:color w:val="auto"/>
          <w:sz w:val="24"/>
          <w:szCs w:val="24"/>
          <w:highlight w:val="none"/>
          <w:u w:val="single" w:color="auto"/>
        </w:rPr>
        <w:t>干式过滤除效率</w:t>
      </w:r>
      <w:r>
        <w:rPr>
          <w:rFonts w:hint="default" w:ascii="Times New Roman" w:hAnsi="Times New Roman" w:eastAsia="宋体" w:cs="Times New Roman"/>
          <w:b w:val="0"/>
          <w:bCs w:val="0"/>
          <w:color w:val="auto"/>
          <w:sz w:val="24"/>
          <w:szCs w:val="24"/>
          <w:highlight w:val="none"/>
          <w:u w:val="single" w:color="auto"/>
          <w:lang w:val="en-US" w:eastAsia="zh-CN"/>
        </w:rPr>
        <w:t>取80</w:t>
      </w:r>
      <w:r>
        <w:rPr>
          <w:rFonts w:hint="default" w:ascii="Times New Roman" w:hAnsi="Times New Roman" w:eastAsia="宋体" w:cs="Times New Roman"/>
          <w:b w:val="0"/>
          <w:bCs w:val="0"/>
          <w:color w:val="auto"/>
          <w:sz w:val="24"/>
          <w:szCs w:val="24"/>
          <w:highlight w:val="none"/>
          <w:u w:val="single" w:color="auto"/>
        </w:rPr>
        <w:t>%。</w:t>
      </w:r>
    </w:p>
    <w:p w14:paraId="1C006F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val="en-US" w:eastAsia="zh-CN"/>
        </w:rPr>
      </w:pPr>
      <w:r>
        <w:rPr>
          <w:rFonts w:hint="default" w:ascii="Times New Roman" w:hAnsi="Times New Roman" w:eastAsia="宋体" w:cs="Times New Roman"/>
          <w:b w:val="0"/>
          <w:bCs w:val="0"/>
          <w:color w:val="auto"/>
          <w:sz w:val="24"/>
          <w:szCs w:val="24"/>
          <w:u w:val="single" w:color="auto"/>
          <w:lang w:val="en-US" w:eastAsia="zh-CN"/>
        </w:rPr>
        <w:t>参考《</w:t>
      </w:r>
      <w:r>
        <w:rPr>
          <w:rFonts w:hint="default" w:ascii="Times New Roman" w:hAnsi="Times New Roman" w:eastAsia="宋体" w:cs="Times New Roman"/>
          <w:b w:val="0"/>
          <w:bCs w:val="0"/>
          <w:color w:val="auto"/>
          <w:sz w:val="24"/>
          <w:szCs w:val="24"/>
          <w:u w:val="single" w:color="auto"/>
        </w:rPr>
        <w:t>污染源源强核算技术指南 汽车制造》（HJ1097-2020）附录</w:t>
      </w:r>
      <w:r>
        <w:rPr>
          <w:rFonts w:hint="default" w:ascii="Times New Roman" w:hAnsi="Times New Roman" w:eastAsia="宋体" w:cs="Times New Roman"/>
          <w:b w:val="0"/>
          <w:bCs w:val="0"/>
          <w:color w:val="auto"/>
          <w:sz w:val="24"/>
          <w:szCs w:val="24"/>
          <w:u w:val="single" w:color="auto"/>
          <w:lang w:val="en-US" w:eastAsia="zh-CN"/>
        </w:rPr>
        <w:t>F，</w:t>
      </w:r>
      <w:r>
        <w:rPr>
          <w:rFonts w:hint="default" w:ascii="Times New Roman" w:hAnsi="Times New Roman" w:eastAsia="宋体" w:cs="Times New Roman"/>
          <w:b w:val="0"/>
          <w:bCs w:val="0"/>
          <w:color w:val="auto"/>
          <w:sz w:val="24"/>
          <w:szCs w:val="24"/>
          <w:u w:val="single" w:color="auto"/>
        </w:rPr>
        <w:t>吸附/脱附再生浓缩+催化燃烧</w:t>
      </w:r>
      <w:r>
        <w:rPr>
          <w:rFonts w:hint="default" w:ascii="Times New Roman" w:hAnsi="Times New Roman" w:eastAsia="宋体" w:cs="Times New Roman"/>
          <w:b w:val="0"/>
          <w:bCs w:val="0"/>
          <w:color w:val="auto"/>
          <w:sz w:val="24"/>
          <w:szCs w:val="24"/>
          <w:u w:val="single" w:color="auto"/>
          <w:lang w:val="en-US" w:eastAsia="zh-CN"/>
        </w:rPr>
        <w:t>处理效率为85%-90%；根据</w:t>
      </w:r>
      <w:r>
        <w:rPr>
          <w:rFonts w:hint="default" w:ascii="Times New Roman" w:hAnsi="Times New Roman" w:eastAsia="宋体" w:cs="Times New Roman"/>
          <w:b w:val="0"/>
          <w:bCs w:val="0"/>
          <w:color w:val="auto"/>
          <w:sz w:val="24"/>
          <w:szCs w:val="24"/>
          <w:u w:val="single" w:color="auto"/>
        </w:rPr>
        <w:t>《吸附法工业有机废气治理工程技术规范》（HJ2026-2013）</w:t>
      </w: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吸附装置净化效率不得低于90%；综上分析，本项目处理效率取90%。</w:t>
      </w:r>
    </w:p>
    <w:p w14:paraId="75E7AC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调漆在</w:t>
      </w:r>
      <w:r>
        <w:rPr>
          <w:rFonts w:hint="eastAsia" w:ascii="Times New Roman" w:hAnsi="Times New Roman" w:eastAsia="宋体" w:cs="Times New Roman"/>
          <w:b w:val="0"/>
          <w:bCs w:val="0"/>
          <w:color w:val="auto"/>
          <w:sz w:val="24"/>
          <w:szCs w:val="24"/>
          <w:u w:val="single" w:color="auto"/>
          <w:lang w:eastAsia="zh-CN"/>
        </w:rPr>
        <w:t>涂装车间</w:t>
      </w:r>
      <w:r>
        <w:rPr>
          <w:rFonts w:hint="default" w:ascii="Times New Roman" w:hAnsi="Times New Roman" w:eastAsia="宋体" w:cs="Times New Roman"/>
          <w:b w:val="0"/>
          <w:bCs w:val="0"/>
          <w:color w:val="auto"/>
          <w:sz w:val="24"/>
          <w:szCs w:val="24"/>
          <w:u w:val="single" w:color="auto"/>
        </w:rPr>
        <w:t>内自动调配，调配完成后加盖送喷漆工位，此操作过程有少量有机溶剂挥发，</w:t>
      </w:r>
      <w:r>
        <w:rPr>
          <w:rFonts w:hint="default" w:ascii="Times New Roman" w:hAnsi="Times New Roman" w:eastAsia="宋体" w:cs="Times New Roman"/>
          <w:b w:val="0"/>
          <w:bCs w:val="0"/>
          <w:color w:val="auto"/>
          <w:sz w:val="24"/>
          <w:szCs w:val="24"/>
          <w:u w:val="single" w:color="auto"/>
          <w:lang w:val="en-US" w:eastAsia="zh-CN"/>
        </w:rPr>
        <w:t>每次调漆时间约0.5h，与晾干同步进行；喷漆</w:t>
      </w:r>
      <w:r>
        <w:rPr>
          <w:rFonts w:hint="default" w:ascii="Times New Roman" w:hAnsi="Times New Roman" w:eastAsia="宋体" w:cs="Times New Roman"/>
          <w:b w:val="0"/>
          <w:bCs w:val="0"/>
          <w:color w:val="auto"/>
          <w:sz w:val="24"/>
          <w:szCs w:val="24"/>
          <w:u w:val="single" w:color="auto"/>
        </w:rPr>
        <w:t>时间</w:t>
      </w:r>
      <w:r>
        <w:rPr>
          <w:rFonts w:hint="default" w:ascii="Times New Roman" w:hAnsi="Times New Roman" w:eastAsia="宋体" w:cs="Times New Roman"/>
          <w:b w:val="0"/>
          <w:bCs w:val="0"/>
          <w:color w:val="auto"/>
          <w:sz w:val="24"/>
          <w:szCs w:val="24"/>
          <w:u w:val="single" w:color="auto"/>
          <w:lang w:val="en-US" w:eastAsia="zh-CN"/>
        </w:rPr>
        <w:t>16</w:t>
      </w:r>
      <w:r>
        <w:rPr>
          <w:rFonts w:hint="default" w:ascii="Times New Roman" w:hAnsi="Times New Roman" w:eastAsia="宋体" w:cs="Times New Roman"/>
          <w:b w:val="0"/>
          <w:bCs w:val="0"/>
          <w:color w:val="auto"/>
          <w:sz w:val="24"/>
          <w:szCs w:val="24"/>
          <w:u w:val="single" w:color="auto"/>
        </w:rPr>
        <w:t>h</w:t>
      </w:r>
      <w:r>
        <w:rPr>
          <w:rFonts w:hint="default" w:ascii="Times New Roman" w:hAnsi="Times New Roman" w:eastAsia="宋体" w:cs="Times New Roman"/>
          <w:b w:val="0"/>
          <w:bCs w:val="0"/>
          <w:color w:val="auto"/>
          <w:sz w:val="24"/>
          <w:szCs w:val="24"/>
          <w:u w:val="single" w:color="auto"/>
          <w:lang w:val="en-US" w:eastAsia="zh-CN"/>
        </w:rPr>
        <w:t>/d</w:t>
      </w:r>
      <w:r>
        <w:rPr>
          <w:rFonts w:hint="default" w:ascii="Times New Roman" w:hAnsi="Times New Roman" w:eastAsia="宋体" w:cs="Times New Roman"/>
          <w:b w:val="0"/>
          <w:bCs w:val="0"/>
          <w:color w:val="auto"/>
          <w:sz w:val="24"/>
          <w:szCs w:val="24"/>
          <w:u w:val="single" w:color="auto"/>
        </w:rPr>
        <w:t>，晾干时间</w:t>
      </w:r>
      <w:r>
        <w:rPr>
          <w:rFonts w:hint="default" w:ascii="Times New Roman" w:hAnsi="Times New Roman" w:eastAsia="宋体" w:cs="Times New Roman"/>
          <w:b w:val="0"/>
          <w:bCs w:val="0"/>
          <w:color w:val="auto"/>
          <w:sz w:val="24"/>
          <w:szCs w:val="24"/>
          <w:u w:val="single" w:color="auto"/>
          <w:lang w:val="en-US" w:eastAsia="zh-CN"/>
        </w:rPr>
        <w:t>24</w:t>
      </w:r>
      <w:r>
        <w:rPr>
          <w:rFonts w:hint="default" w:ascii="Times New Roman" w:hAnsi="Times New Roman" w:eastAsia="宋体" w:cs="Times New Roman"/>
          <w:b w:val="0"/>
          <w:bCs w:val="0"/>
          <w:color w:val="auto"/>
          <w:sz w:val="24"/>
          <w:szCs w:val="24"/>
          <w:u w:val="single" w:color="auto"/>
        </w:rPr>
        <w:t>h</w:t>
      </w:r>
      <w:r>
        <w:rPr>
          <w:rFonts w:hint="default" w:ascii="Times New Roman" w:hAnsi="Times New Roman" w:eastAsia="宋体" w:cs="Times New Roman"/>
          <w:b w:val="0"/>
          <w:bCs w:val="0"/>
          <w:color w:val="auto"/>
          <w:sz w:val="24"/>
          <w:szCs w:val="24"/>
          <w:u w:val="single" w:color="auto"/>
          <w:lang w:val="en-US" w:eastAsia="zh-CN"/>
        </w:rPr>
        <w:t>/d</w:t>
      </w:r>
      <w:r>
        <w:rPr>
          <w:rFonts w:hint="default" w:ascii="Times New Roman" w:hAnsi="Times New Roman" w:eastAsia="宋体" w:cs="Times New Roman"/>
          <w:b w:val="0"/>
          <w:bCs w:val="0"/>
          <w:color w:val="auto"/>
          <w:sz w:val="24"/>
          <w:szCs w:val="24"/>
          <w:u w:val="single" w:color="auto"/>
        </w:rPr>
        <w:t>，年工作330天，年工作7920小时（其中喷漆年工作时间5280h）。</w:t>
      </w:r>
    </w:p>
    <w:p w14:paraId="6D8C2C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①非甲烷总烃</w:t>
      </w:r>
    </w:p>
    <w:p w14:paraId="62EE78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bookmarkStart w:id="155" w:name="_Hlk103524957"/>
      <w:r>
        <w:rPr>
          <w:rFonts w:hint="default" w:ascii="Times New Roman" w:hAnsi="Times New Roman" w:eastAsia="宋体" w:cs="Times New Roman"/>
          <w:b w:val="0"/>
          <w:bCs w:val="0"/>
          <w:color w:val="auto"/>
          <w:sz w:val="24"/>
          <w:szCs w:val="24"/>
          <w:u w:val="single" w:color="auto"/>
        </w:rPr>
        <w:t>根据表</w:t>
      </w:r>
      <w:r>
        <w:rPr>
          <w:rFonts w:hint="eastAsia" w:ascii="Times New Roman" w:hAnsi="Times New Roman" w:eastAsia="宋体" w:cs="Times New Roman"/>
          <w:b w:val="0"/>
          <w:bCs w:val="0"/>
          <w:color w:val="auto"/>
          <w:sz w:val="24"/>
          <w:szCs w:val="24"/>
          <w:u w:val="single" w:color="auto"/>
          <w:lang w:val="en-US" w:eastAsia="zh-CN"/>
        </w:rPr>
        <w:t>2.3-7</w:t>
      </w:r>
      <w:r>
        <w:rPr>
          <w:rFonts w:hint="default" w:ascii="Times New Roman" w:hAnsi="Times New Roman" w:eastAsia="宋体" w:cs="Times New Roman"/>
          <w:b w:val="0"/>
          <w:bCs w:val="0"/>
          <w:color w:val="auto"/>
          <w:sz w:val="24"/>
          <w:szCs w:val="24"/>
          <w:u w:val="single" w:color="auto"/>
        </w:rPr>
        <w:t>可知，喷涂车间喷涂及喷枪清洗过程非甲烷总烃产生总量为</w:t>
      </w:r>
      <w:r>
        <w:rPr>
          <w:rFonts w:hint="eastAsia" w:ascii="Times New Roman" w:hAnsi="Times New Roman" w:eastAsia="宋体" w:cs="Times New Roman"/>
          <w:b w:val="0"/>
          <w:bCs w:val="0"/>
          <w:color w:val="auto"/>
          <w:sz w:val="24"/>
          <w:szCs w:val="24"/>
          <w:u w:val="single" w:color="auto"/>
          <w:lang w:val="en-US" w:eastAsia="zh-CN"/>
        </w:rPr>
        <w:t>39.144</w:t>
      </w:r>
      <w:r>
        <w:rPr>
          <w:rFonts w:hint="default" w:ascii="Times New Roman" w:hAnsi="Times New Roman" w:eastAsia="宋体" w:cs="Times New Roman"/>
          <w:b w:val="0"/>
          <w:bCs w:val="0"/>
          <w:color w:val="auto"/>
          <w:sz w:val="24"/>
          <w:szCs w:val="24"/>
          <w:u w:val="single" w:color="auto"/>
        </w:rPr>
        <w:t>t/a，其中有组织产生量约占90%，为</w:t>
      </w:r>
      <w:r>
        <w:rPr>
          <w:rFonts w:hint="eastAsia" w:ascii="Times New Roman" w:hAnsi="Times New Roman" w:eastAsia="宋体" w:cs="Times New Roman"/>
          <w:b w:val="0"/>
          <w:bCs w:val="0"/>
          <w:color w:val="auto"/>
          <w:sz w:val="24"/>
          <w:szCs w:val="24"/>
          <w:u w:val="single" w:color="auto"/>
          <w:lang w:val="en-US" w:eastAsia="zh-CN"/>
        </w:rPr>
        <w:t>35.23</w:t>
      </w:r>
      <w:r>
        <w:rPr>
          <w:rFonts w:hint="default" w:ascii="Times New Roman" w:hAnsi="Times New Roman" w:eastAsia="宋体" w:cs="Times New Roman"/>
          <w:b w:val="0"/>
          <w:bCs w:val="0"/>
          <w:color w:val="auto"/>
          <w:sz w:val="24"/>
          <w:szCs w:val="24"/>
          <w:u w:val="single" w:color="auto"/>
        </w:rPr>
        <w:t>t/a；无组织产生量约占10%，为</w:t>
      </w:r>
      <w:r>
        <w:rPr>
          <w:rFonts w:hint="eastAsia" w:ascii="Times New Roman" w:hAnsi="Times New Roman" w:eastAsia="宋体" w:cs="Times New Roman"/>
          <w:b w:val="0"/>
          <w:bCs w:val="0"/>
          <w:color w:val="auto"/>
          <w:sz w:val="24"/>
          <w:szCs w:val="24"/>
          <w:u w:val="single" w:color="auto"/>
          <w:lang w:val="en-US" w:eastAsia="zh-CN"/>
        </w:rPr>
        <w:t>3.914</w:t>
      </w:r>
      <w:r>
        <w:rPr>
          <w:rFonts w:hint="default" w:ascii="Times New Roman" w:hAnsi="Times New Roman" w:eastAsia="宋体" w:cs="Times New Roman"/>
          <w:b w:val="0"/>
          <w:bCs w:val="0"/>
          <w:color w:val="auto"/>
          <w:sz w:val="24"/>
          <w:szCs w:val="24"/>
          <w:u w:val="single" w:color="auto"/>
        </w:rPr>
        <w:t>t/a。</w:t>
      </w:r>
    </w:p>
    <w:p w14:paraId="03E1BE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晾干过程非甲烷总烃产生总量为</w:t>
      </w:r>
      <w:r>
        <w:rPr>
          <w:rFonts w:hint="eastAsia" w:ascii="Times New Roman" w:hAnsi="Times New Roman" w:eastAsia="宋体" w:cs="Times New Roman"/>
          <w:b w:val="0"/>
          <w:bCs w:val="0"/>
          <w:color w:val="auto"/>
          <w:sz w:val="24"/>
          <w:szCs w:val="24"/>
          <w:u w:val="single" w:color="auto"/>
          <w:lang w:val="en-US" w:eastAsia="zh-CN"/>
        </w:rPr>
        <w:t>16.493</w:t>
      </w:r>
      <w:r>
        <w:rPr>
          <w:rFonts w:hint="default" w:ascii="Times New Roman" w:hAnsi="Times New Roman" w:eastAsia="宋体" w:cs="Times New Roman"/>
          <w:b w:val="0"/>
          <w:bCs w:val="0"/>
          <w:color w:val="auto"/>
          <w:sz w:val="24"/>
          <w:szCs w:val="24"/>
          <w:u w:val="single" w:color="auto"/>
        </w:rPr>
        <w:t>/a，其中有组织产生量约占90%，为</w:t>
      </w:r>
      <w:r>
        <w:rPr>
          <w:rFonts w:hint="eastAsia" w:ascii="Times New Roman" w:hAnsi="Times New Roman" w:eastAsia="宋体" w:cs="Times New Roman"/>
          <w:b w:val="0"/>
          <w:bCs w:val="0"/>
          <w:color w:val="auto"/>
          <w:sz w:val="24"/>
          <w:szCs w:val="24"/>
          <w:u w:val="single" w:color="auto"/>
          <w:lang w:val="en-US" w:eastAsia="zh-CN"/>
        </w:rPr>
        <w:t>14.844</w:t>
      </w:r>
      <w:r>
        <w:rPr>
          <w:rFonts w:hint="default" w:ascii="Times New Roman" w:hAnsi="Times New Roman" w:eastAsia="宋体" w:cs="Times New Roman"/>
          <w:b w:val="0"/>
          <w:bCs w:val="0"/>
          <w:color w:val="auto"/>
          <w:sz w:val="24"/>
          <w:szCs w:val="24"/>
          <w:u w:val="single" w:color="auto"/>
        </w:rPr>
        <w:t>t/a；无组织产生量约占10%，为</w:t>
      </w:r>
      <w:r>
        <w:rPr>
          <w:rFonts w:hint="eastAsia" w:ascii="Times New Roman" w:hAnsi="Times New Roman" w:eastAsia="宋体" w:cs="Times New Roman"/>
          <w:b w:val="0"/>
          <w:bCs w:val="0"/>
          <w:color w:val="auto"/>
          <w:sz w:val="24"/>
          <w:szCs w:val="24"/>
          <w:u w:val="single" w:color="auto"/>
          <w:lang w:val="en-US" w:eastAsia="zh-CN"/>
        </w:rPr>
        <w:t>1.649</w:t>
      </w:r>
      <w:r>
        <w:rPr>
          <w:rFonts w:hint="default" w:ascii="Times New Roman" w:hAnsi="Times New Roman" w:eastAsia="宋体" w:cs="Times New Roman"/>
          <w:b w:val="0"/>
          <w:bCs w:val="0"/>
          <w:color w:val="auto"/>
          <w:sz w:val="24"/>
          <w:szCs w:val="24"/>
          <w:u w:val="single" w:color="auto"/>
        </w:rPr>
        <w:t>/a。</w:t>
      </w:r>
    </w:p>
    <w:bookmarkEnd w:id="155"/>
    <w:p w14:paraId="598B96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②二甲苯</w:t>
      </w:r>
    </w:p>
    <w:p w14:paraId="7FDA389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根据表</w:t>
      </w:r>
      <w:r>
        <w:rPr>
          <w:rFonts w:hint="eastAsia" w:ascii="Times New Roman" w:hAnsi="Times New Roman" w:eastAsia="宋体" w:cs="Times New Roman"/>
          <w:b w:val="0"/>
          <w:bCs w:val="0"/>
          <w:color w:val="auto"/>
          <w:sz w:val="24"/>
          <w:szCs w:val="24"/>
          <w:u w:val="single" w:color="auto"/>
          <w:lang w:val="en-US" w:eastAsia="zh-CN"/>
        </w:rPr>
        <w:t>2.3-7</w:t>
      </w:r>
      <w:r>
        <w:rPr>
          <w:rFonts w:hint="default" w:ascii="Times New Roman" w:hAnsi="Times New Roman" w:eastAsia="宋体" w:cs="Times New Roman"/>
          <w:b w:val="0"/>
          <w:bCs w:val="0"/>
          <w:color w:val="auto"/>
          <w:sz w:val="24"/>
          <w:szCs w:val="24"/>
          <w:u w:val="single" w:color="auto"/>
        </w:rPr>
        <w:t>可知，喷涂车间喷涂及喷枪清洗过程二甲苯产生总量为</w:t>
      </w:r>
      <w:r>
        <w:rPr>
          <w:rFonts w:hint="eastAsia" w:ascii="Times New Roman" w:hAnsi="Times New Roman" w:eastAsia="宋体" w:cs="Times New Roman"/>
          <w:b w:val="0"/>
          <w:bCs w:val="0"/>
          <w:color w:val="auto"/>
          <w:sz w:val="24"/>
          <w:szCs w:val="24"/>
          <w:u w:val="single" w:color="auto"/>
          <w:lang w:val="en-US" w:eastAsia="zh-CN"/>
        </w:rPr>
        <w:t>21.677</w:t>
      </w:r>
      <w:r>
        <w:rPr>
          <w:rFonts w:hint="default" w:ascii="Times New Roman" w:hAnsi="Times New Roman" w:eastAsia="宋体" w:cs="Times New Roman"/>
          <w:b w:val="0"/>
          <w:bCs w:val="0"/>
          <w:color w:val="auto"/>
          <w:sz w:val="24"/>
          <w:szCs w:val="24"/>
          <w:u w:val="single" w:color="auto"/>
        </w:rPr>
        <w:t>t/a，其中有组织产生量约占90%，为</w:t>
      </w:r>
      <w:r>
        <w:rPr>
          <w:rFonts w:hint="eastAsia" w:ascii="Times New Roman" w:hAnsi="Times New Roman" w:eastAsia="宋体" w:cs="Times New Roman"/>
          <w:b w:val="0"/>
          <w:bCs w:val="0"/>
          <w:color w:val="auto"/>
          <w:sz w:val="24"/>
          <w:szCs w:val="24"/>
          <w:u w:val="single" w:color="auto"/>
          <w:lang w:val="en-US" w:eastAsia="zh-CN"/>
        </w:rPr>
        <w:t>19.509</w:t>
      </w:r>
      <w:r>
        <w:rPr>
          <w:rFonts w:hint="default" w:ascii="Times New Roman" w:hAnsi="Times New Roman" w:eastAsia="宋体" w:cs="Times New Roman"/>
          <w:b w:val="0"/>
          <w:bCs w:val="0"/>
          <w:color w:val="auto"/>
          <w:sz w:val="24"/>
          <w:szCs w:val="24"/>
          <w:u w:val="single" w:color="auto"/>
        </w:rPr>
        <w:t>t/a；无组织产生量约占10%，为</w:t>
      </w:r>
      <w:r>
        <w:rPr>
          <w:rFonts w:hint="eastAsia" w:ascii="Times New Roman" w:hAnsi="Times New Roman" w:eastAsia="宋体" w:cs="Times New Roman"/>
          <w:b w:val="0"/>
          <w:bCs w:val="0"/>
          <w:color w:val="auto"/>
          <w:sz w:val="24"/>
          <w:szCs w:val="24"/>
          <w:u w:val="single" w:color="auto"/>
          <w:lang w:val="en-US" w:eastAsia="zh-CN"/>
        </w:rPr>
        <w:t>2.168</w:t>
      </w:r>
      <w:r>
        <w:rPr>
          <w:rFonts w:hint="default" w:ascii="Times New Roman" w:hAnsi="Times New Roman" w:eastAsia="宋体" w:cs="Times New Roman"/>
          <w:b w:val="0"/>
          <w:bCs w:val="0"/>
          <w:color w:val="auto"/>
          <w:sz w:val="24"/>
          <w:szCs w:val="24"/>
          <w:u w:val="single" w:color="auto"/>
        </w:rPr>
        <w:t>t/a。</w:t>
      </w:r>
    </w:p>
    <w:p w14:paraId="7AF2BA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晾干过程二甲苯产生总量为</w:t>
      </w:r>
      <w:r>
        <w:rPr>
          <w:rFonts w:hint="eastAsia" w:ascii="Times New Roman" w:hAnsi="Times New Roman" w:eastAsia="宋体" w:cs="Times New Roman"/>
          <w:b w:val="0"/>
          <w:bCs w:val="0"/>
          <w:color w:val="auto"/>
          <w:sz w:val="24"/>
          <w:szCs w:val="24"/>
          <w:u w:val="single" w:color="auto"/>
          <w:lang w:val="en-US" w:eastAsia="zh-CN"/>
        </w:rPr>
        <w:t>9.134</w:t>
      </w:r>
      <w:r>
        <w:rPr>
          <w:rFonts w:hint="default" w:ascii="Times New Roman" w:hAnsi="Times New Roman" w:eastAsia="宋体" w:cs="Times New Roman"/>
          <w:b w:val="0"/>
          <w:bCs w:val="0"/>
          <w:color w:val="auto"/>
          <w:sz w:val="24"/>
          <w:szCs w:val="24"/>
          <w:u w:val="single" w:color="auto"/>
        </w:rPr>
        <w:t>t/a，其中有组织产生量约占90%，为</w:t>
      </w:r>
      <w:r>
        <w:rPr>
          <w:rFonts w:hint="eastAsia" w:ascii="Times New Roman" w:hAnsi="Times New Roman" w:eastAsia="宋体" w:cs="Times New Roman"/>
          <w:b w:val="0"/>
          <w:bCs w:val="0"/>
          <w:color w:val="auto"/>
          <w:sz w:val="24"/>
          <w:szCs w:val="24"/>
          <w:u w:val="single" w:color="auto"/>
          <w:lang w:val="en-US" w:eastAsia="zh-CN"/>
        </w:rPr>
        <w:t>8.221</w:t>
      </w:r>
      <w:r>
        <w:rPr>
          <w:rFonts w:hint="default" w:ascii="Times New Roman" w:hAnsi="Times New Roman" w:eastAsia="宋体" w:cs="Times New Roman"/>
          <w:b w:val="0"/>
          <w:bCs w:val="0"/>
          <w:color w:val="auto"/>
          <w:sz w:val="24"/>
          <w:szCs w:val="24"/>
          <w:u w:val="single" w:color="auto"/>
        </w:rPr>
        <w:t>t/a；无组织产生量约占10%，为0.</w:t>
      </w:r>
      <w:r>
        <w:rPr>
          <w:rFonts w:hint="eastAsia" w:ascii="Times New Roman" w:hAnsi="Times New Roman" w:eastAsia="宋体" w:cs="Times New Roman"/>
          <w:b w:val="0"/>
          <w:bCs w:val="0"/>
          <w:color w:val="auto"/>
          <w:sz w:val="24"/>
          <w:szCs w:val="24"/>
          <w:u w:val="single" w:color="auto"/>
          <w:lang w:val="en-US" w:eastAsia="zh-CN"/>
        </w:rPr>
        <w:t>913</w:t>
      </w:r>
      <w:r>
        <w:rPr>
          <w:rFonts w:hint="default" w:ascii="Times New Roman" w:hAnsi="Times New Roman" w:eastAsia="宋体" w:cs="Times New Roman"/>
          <w:b w:val="0"/>
          <w:bCs w:val="0"/>
          <w:color w:val="auto"/>
          <w:sz w:val="24"/>
          <w:szCs w:val="24"/>
          <w:u w:val="single" w:color="auto"/>
        </w:rPr>
        <w:t>t/a。</w:t>
      </w:r>
    </w:p>
    <w:p w14:paraId="716F8E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lang w:val="en-US" w:eastAsia="zh-CN"/>
        </w:rPr>
        <w:t>③</w:t>
      </w:r>
      <w:r>
        <w:rPr>
          <w:rFonts w:hint="default" w:ascii="Times New Roman" w:hAnsi="Times New Roman" w:eastAsia="宋体" w:cs="Times New Roman"/>
          <w:b w:val="0"/>
          <w:bCs w:val="0"/>
          <w:color w:val="auto"/>
          <w:sz w:val="24"/>
          <w:szCs w:val="24"/>
          <w:u w:val="single" w:color="auto"/>
        </w:rPr>
        <w:t>甲苯</w:t>
      </w:r>
    </w:p>
    <w:p w14:paraId="434F4B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根据表</w:t>
      </w:r>
      <w:r>
        <w:rPr>
          <w:rFonts w:hint="eastAsia" w:ascii="Times New Roman" w:hAnsi="Times New Roman" w:eastAsia="宋体" w:cs="Times New Roman"/>
          <w:b w:val="0"/>
          <w:bCs w:val="0"/>
          <w:color w:val="auto"/>
          <w:sz w:val="24"/>
          <w:szCs w:val="24"/>
          <w:u w:val="single" w:color="auto"/>
          <w:lang w:val="en-US" w:eastAsia="zh-CN"/>
        </w:rPr>
        <w:t>2.3-7</w:t>
      </w:r>
      <w:r>
        <w:rPr>
          <w:rFonts w:hint="default" w:ascii="Times New Roman" w:hAnsi="Times New Roman" w:eastAsia="宋体" w:cs="Times New Roman"/>
          <w:b w:val="0"/>
          <w:bCs w:val="0"/>
          <w:color w:val="auto"/>
          <w:sz w:val="24"/>
          <w:szCs w:val="24"/>
          <w:u w:val="single" w:color="auto"/>
        </w:rPr>
        <w:t>可知，喷涂车间喷涂及喷枪清洗过程甲苯产生总量为</w:t>
      </w:r>
      <w:r>
        <w:rPr>
          <w:rFonts w:hint="default" w:ascii="Times New Roman" w:hAnsi="Times New Roman" w:eastAsia="宋体" w:cs="Times New Roman"/>
          <w:b w:val="0"/>
          <w:bCs w:val="0"/>
          <w:color w:val="auto"/>
          <w:sz w:val="24"/>
          <w:szCs w:val="24"/>
          <w:u w:val="single" w:color="auto"/>
          <w:lang w:val="en-US" w:eastAsia="zh-CN"/>
        </w:rPr>
        <w:t>0.0</w:t>
      </w:r>
      <w:r>
        <w:rPr>
          <w:rFonts w:hint="eastAsia" w:ascii="Times New Roman" w:hAnsi="Times New Roman" w:eastAsia="宋体" w:cs="Times New Roman"/>
          <w:b w:val="0"/>
          <w:bCs w:val="0"/>
          <w:color w:val="auto"/>
          <w:sz w:val="24"/>
          <w:szCs w:val="24"/>
          <w:u w:val="single" w:color="auto"/>
          <w:lang w:val="en-US" w:eastAsia="zh-CN"/>
        </w:rPr>
        <w:t>54</w:t>
      </w:r>
      <w:r>
        <w:rPr>
          <w:rFonts w:hint="default" w:ascii="Times New Roman" w:hAnsi="Times New Roman" w:eastAsia="宋体" w:cs="Times New Roman"/>
          <w:b w:val="0"/>
          <w:bCs w:val="0"/>
          <w:color w:val="auto"/>
          <w:sz w:val="24"/>
          <w:szCs w:val="24"/>
          <w:u w:val="single" w:color="auto"/>
        </w:rPr>
        <w:t>t/a，其中有组织产生量约占90%，为</w:t>
      </w:r>
      <w:r>
        <w:rPr>
          <w:rFonts w:hint="default" w:ascii="Times New Roman" w:hAnsi="Times New Roman" w:eastAsia="宋体" w:cs="Times New Roman"/>
          <w:b w:val="0"/>
          <w:bCs w:val="0"/>
          <w:color w:val="auto"/>
          <w:sz w:val="24"/>
          <w:szCs w:val="24"/>
          <w:u w:val="single" w:color="auto"/>
          <w:lang w:val="en-US" w:eastAsia="zh-CN"/>
        </w:rPr>
        <w:t>0.0</w:t>
      </w:r>
      <w:r>
        <w:rPr>
          <w:rFonts w:hint="eastAsia" w:ascii="Times New Roman" w:hAnsi="Times New Roman" w:eastAsia="宋体" w:cs="Times New Roman"/>
          <w:b w:val="0"/>
          <w:bCs w:val="0"/>
          <w:color w:val="auto"/>
          <w:sz w:val="24"/>
          <w:szCs w:val="24"/>
          <w:u w:val="single" w:color="auto"/>
          <w:lang w:val="en-US" w:eastAsia="zh-CN"/>
        </w:rPr>
        <w:t>48</w:t>
      </w:r>
      <w:r>
        <w:rPr>
          <w:rFonts w:hint="default" w:ascii="Times New Roman" w:hAnsi="Times New Roman" w:eastAsia="宋体" w:cs="Times New Roman"/>
          <w:b w:val="0"/>
          <w:bCs w:val="0"/>
          <w:color w:val="auto"/>
          <w:sz w:val="24"/>
          <w:szCs w:val="24"/>
          <w:u w:val="single" w:color="auto"/>
        </w:rPr>
        <w:t>t/a；无组织产生量约占10%，为</w:t>
      </w:r>
      <w:r>
        <w:rPr>
          <w:rFonts w:hint="default" w:ascii="Times New Roman" w:hAnsi="Times New Roman" w:eastAsia="宋体" w:cs="Times New Roman"/>
          <w:b w:val="0"/>
          <w:bCs w:val="0"/>
          <w:color w:val="auto"/>
          <w:sz w:val="24"/>
          <w:szCs w:val="24"/>
          <w:u w:val="single" w:color="auto"/>
          <w:lang w:val="en-US" w:eastAsia="zh-CN"/>
        </w:rPr>
        <w:t>0.00</w:t>
      </w:r>
      <w:r>
        <w:rPr>
          <w:rFonts w:hint="eastAsia" w:ascii="Times New Roman" w:hAnsi="Times New Roman" w:eastAsia="宋体" w:cs="Times New Roman"/>
          <w:b w:val="0"/>
          <w:bCs w:val="0"/>
          <w:color w:val="auto"/>
          <w:sz w:val="24"/>
          <w:szCs w:val="24"/>
          <w:u w:val="single" w:color="auto"/>
          <w:lang w:val="en-US" w:eastAsia="zh-CN"/>
        </w:rPr>
        <w:t>6</w:t>
      </w:r>
      <w:r>
        <w:rPr>
          <w:rFonts w:hint="default" w:ascii="Times New Roman" w:hAnsi="Times New Roman" w:eastAsia="宋体" w:cs="Times New Roman"/>
          <w:b w:val="0"/>
          <w:bCs w:val="0"/>
          <w:color w:val="auto"/>
          <w:sz w:val="24"/>
          <w:szCs w:val="24"/>
          <w:u w:val="single" w:color="auto"/>
        </w:rPr>
        <w:t>t/a。</w:t>
      </w:r>
    </w:p>
    <w:p w14:paraId="4EF591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晾干过程甲苯产生总量为</w:t>
      </w:r>
      <w:r>
        <w:rPr>
          <w:rFonts w:hint="default" w:ascii="Times New Roman" w:hAnsi="Times New Roman" w:eastAsia="宋体" w:cs="Times New Roman"/>
          <w:b w:val="0"/>
          <w:bCs w:val="0"/>
          <w:color w:val="auto"/>
          <w:sz w:val="24"/>
          <w:szCs w:val="24"/>
          <w:u w:val="single" w:color="auto"/>
          <w:lang w:val="en-US" w:eastAsia="zh-CN"/>
        </w:rPr>
        <w:t>0.0</w:t>
      </w:r>
      <w:r>
        <w:rPr>
          <w:rFonts w:hint="eastAsia" w:ascii="Times New Roman" w:hAnsi="Times New Roman" w:eastAsia="宋体" w:cs="Times New Roman"/>
          <w:b w:val="0"/>
          <w:bCs w:val="0"/>
          <w:color w:val="auto"/>
          <w:sz w:val="24"/>
          <w:szCs w:val="24"/>
          <w:u w:val="single" w:color="auto"/>
          <w:lang w:val="en-US" w:eastAsia="zh-CN"/>
        </w:rPr>
        <w:t>23</w:t>
      </w:r>
      <w:r>
        <w:rPr>
          <w:rFonts w:hint="default" w:ascii="Times New Roman" w:hAnsi="Times New Roman" w:eastAsia="宋体" w:cs="Times New Roman"/>
          <w:b w:val="0"/>
          <w:bCs w:val="0"/>
          <w:color w:val="auto"/>
          <w:sz w:val="24"/>
          <w:szCs w:val="24"/>
          <w:u w:val="single" w:color="auto"/>
        </w:rPr>
        <w:t>t/a，其中有组织产生量约占90%，为</w:t>
      </w:r>
      <w:r>
        <w:rPr>
          <w:rFonts w:hint="default" w:ascii="Times New Roman" w:hAnsi="Times New Roman" w:eastAsia="宋体" w:cs="Times New Roman"/>
          <w:b w:val="0"/>
          <w:bCs w:val="0"/>
          <w:color w:val="auto"/>
          <w:sz w:val="24"/>
          <w:szCs w:val="24"/>
          <w:u w:val="single" w:color="auto"/>
          <w:lang w:val="en-US" w:eastAsia="zh-CN"/>
        </w:rPr>
        <w:t>0.0</w:t>
      </w:r>
      <w:r>
        <w:rPr>
          <w:rFonts w:hint="eastAsia" w:ascii="Times New Roman" w:hAnsi="Times New Roman" w:eastAsia="宋体" w:cs="Times New Roman"/>
          <w:b w:val="0"/>
          <w:bCs w:val="0"/>
          <w:color w:val="auto"/>
          <w:sz w:val="24"/>
          <w:szCs w:val="24"/>
          <w:u w:val="single" w:color="auto"/>
          <w:lang w:val="en-US" w:eastAsia="zh-CN"/>
        </w:rPr>
        <w:t>21</w:t>
      </w:r>
      <w:r>
        <w:rPr>
          <w:rFonts w:hint="default" w:ascii="Times New Roman" w:hAnsi="Times New Roman" w:eastAsia="宋体" w:cs="Times New Roman"/>
          <w:b w:val="0"/>
          <w:bCs w:val="0"/>
          <w:color w:val="auto"/>
          <w:sz w:val="24"/>
          <w:szCs w:val="24"/>
          <w:u w:val="single" w:color="auto"/>
        </w:rPr>
        <w:t>t/a；无组织产生量约占10%，为</w:t>
      </w:r>
      <w:r>
        <w:rPr>
          <w:rFonts w:hint="default" w:ascii="Times New Roman" w:hAnsi="Times New Roman" w:eastAsia="宋体" w:cs="Times New Roman"/>
          <w:b w:val="0"/>
          <w:bCs w:val="0"/>
          <w:color w:val="auto"/>
          <w:sz w:val="24"/>
          <w:szCs w:val="24"/>
          <w:u w:val="single" w:color="auto"/>
          <w:lang w:val="en-US" w:eastAsia="zh-CN"/>
        </w:rPr>
        <w:t>0.002</w:t>
      </w:r>
      <w:r>
        <w:rPr>
          <w:rFonts w:hint="default" w:ascii="Times New Roman" w:hAnsi="Times New Roman" w:eastAsia="宋体" w:cs="Times New Roman"/>
          <w:b w:val="0"/>
          <w:bCs w:val="0"/>
          <w:color w:val="auto"/>
          <w:sz w:val="24"/>
          <w:szCs w:val="24"/>
          <w:u w:val="single" w:color="auto"/>
        </w:rPr>
        <w:t>t/a。</w:t>
      </w:r>
    </w:p>
    <w:p w14:paraId="59B282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lang w:val="en-US" w:eastAsia="zh-CN"/>
        </w:rPr>
        <w:t>④</w:t>
      </w:r>
      <w:r>
        <w:rPr>
          <w:rFonts w:hint="default" w:ascii="Times New Roman" w:hAnsi="Times New Roman" w:eastAsia="宋体" w:cs="Times New Roman"/>
          <w:b w:val="0"/>
          <w:bCs w:val="0"/>
          <w:color w:val="auto"/>
          <w:sz w:val="24"/>
          <w:szCs w:val="24"/>
          <w:u w:val="single" w:color="auto"/>
        </w:rPr>
        <w:t>颗粒物</w:t>
      </w:r>
    </w:p>
    <w:p w14:paraId="05622D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根据业主提供的资料，本项目油漆上漆率为</w:t>
      </w:r>
      <w:r>
        <w:rPr>
          <w:rFonts w:hint="eastAsia" w:ascii="Times New Roman" w:hAnsi="Times New Roman" w:eastAsia="宋体" w:cs="Times New Roman"/>
          <w:b w:val="0"/>
          <w:bCs w:val="0"/>
          <w:color w:val="auto"/>
          <w:sz w:val="24"/>
          <w:szCs w:val="24"/>
          <w:u w:val="single" w:color="auto"/>
          <w:lang w:val="en-US" w:eastAsia="zh-CN"/>
        </w:rPr>
        <w:t>6</w:t>
      </w:r>
      <w:r>
        <w:rPr>
          <w:rFonts w:hint="default" w:ascii="Times New Roman" w:hAnsi="Times New Roman" w:eastAsia="宋体" w:cs="Times New Roman"/>
          <w:b w:val="0"/>
          <w:bCs w:val="0"/>
          <w:color w:val="auto"/>
          <w:sz w:val="24"/>
          <w:szCs w:val="24"/>
          <w:u w:val="single" w:color="auto"/>
          <w:lang w:val="en-US" w:eastAsia="zh-CN"/>
        </w:rPr>
        <w:t>0</w:t>
      </w:r>
      <w:r>
        <w:rPr>
          <w:rFonts w:hint="default" w:ascii="Times New Roman" w:hAnsi="Times New Roman" w:eastAsia="宋体" w:cs="Times New Roman"/>
          <w:b w:val="0"/>
          <w:bCs w:val="0"/>
          <w:color w:val="auto"/>
          <w:sz w:val="24"/>
          <w:szCs w:val="24"/>
          <w:u w:val="single" w:color="auto"/>
        </w:rPr>
        <w:t>%，由表2.3-</w:t>
      </w:r>
      <w:r>
        <w:rPr>
          <w:rFonts w:hint="eastAsia" w:ascii="Times New Roman" w:hAnsi="Times New Roman" w:eastAsia="宋体" w:cs="Times New Roman"/>
          <w:b w:val="0"/>
          <w:bCs w:val="0"/>
          <w:color w:val="auto"/>
          <w:sz w:val="24"/>
          <w:szCs w:val="24"/>
          <w:u w:val="single" w:color="auto"/>
          <w:lang w:val="en-US" w:eastAsia="zh-CN"/>
        </w:rPr>
        <w:t>6</w:t>
      </w:r>
      <w:r>
        <w:rPr>
          <w:rFonts w:hint="default" w:ascii="Times New Roman" w:hAnsi="Times New Roman" w:eastAsia="宋体" w:cs="Times New Roman"/>
          <w:b w:val="0"/>
          <w:bCs w:val="0"/>
          <w:color w:val="auto"/>
          <w:sz w:val="24"/>
          <w:szCs w:val="24"/>
          <w:u w:val="single" w:color="auto"/>
        </w:rPr>
        <w:t>可知，本项目固组分含量为</w:t>
      </w:r>
      <w:r>
        <w:rPr>
          <w:rFonts w:hint="eastAsia" w:ascii="Times New Roman" w:hAnsi="Times New Roman" w:eastAsia="宋体" w:cs="Times New Roman"/>
          <w:b w:val="0"/>
          <w:bCs w:val="0"/>
          <w:color w:val="auto"/>
          <w:sz w:val="24"/>
          <w:szCs w:val="24"/>
          <w:u w:val="single" w:color="auto"/>
          <w:lang w:val="en-US" w:eastAsia="zh-CN"/>
        </w:rPr>
        <w:t>182.799</w:t>
      </w:r>
      <w:r>
        <w:rPr>
          <w:rFonts w:hint="default" w:ascii="Times New Roman" w:hAnsi="Times New Roman" w:eastAsia="宋体" w:cs="Times New Roman"/>
          <w:b w:val="0"/>
          <w:bCs w:val="0"/>
          <w:color w:val="auto"/>
          <w:sz w:val="24"/>
          <w:szCs w:val="24"/>
          <w:u w:val="single" w:color="auto"/>
        </w:rPr>
        <w:t>t/a，则漆雾产生量为</w:t>
      </w:r>
      <w:r>
        <w:rPr>
          <w:rFonts w:hint="eastAsia" w:ascii="Times New Roman" w:hAnsi="Times New Roman" w:eastAsia="宋体" w:cs="Times New Roman"/>
          <w:b w:val="0"/>
          <w:bCs w:val="0"/>
          <w:color w:val="auto"/>
          <w:sz w:val="24"/>
          <w:szCs w:val="24"/>
          <w:u w:val="single" w:color="auto"/>
          <w:lang w:val="en-US" w:eastAsia="zh-CN"/>
        </w:rPr>
        <w:t>73.119</w:t>
      </w:r>
      <w:r>
        <w:rPr>
          <w:rFonts w:hint="default" w:ascii="Times New Roman" w:hAnsi="Times New Roman" w:eastAsia="宋体" w:cs="Times New Roman"/>
          <w:b w:val="0"/>
          <w:bCs w:val="0"/>
          <w:color w:val="auto"/>
          <w:sz w:val="24"/>
          <w:szCs w:val="24"/>
          <w:u w:val="single" w:color="auto"/>
        </w:rPr>
        <w:t>t/a，年喷漆时间为5280h。本项目产生的漆雾</w:t>
      </w:r>
      <w:r>
        <w:rPr>
          <w:rFonts w:hint="default" w:ascii="Times New Roman" w:hAnsi="Times New Roman" w:eastAsia="宋体" w:cs="Times New Roman"/>
          <w:b w:val="0"/>
          <w:bCs w:val="0"/>
          <w:color w:val="auto"/>
          <w:sz w:val="24"/>
          <w:szCs w:val="24"/>
          <w:u w:val="single" w:color="auto"/>
          <w:lang w:val="en-US" w:eastAsia="zh-CN"/>
        </w:rPr>
        <w:t>90</w:t>
      </w:r>
      <w:r>
        <w:rPr>
          <w:rFonts w:hint="default" w:ascii="Times New Roman" w:hAnsi="Times New Roman" w:eastAsia="宋体" w:cs="Times New Roman"/>
          <w:b w:val="0"/>
          <w:bCs w:val="0"/>
          <w:color w:val="auto"/>
          <w:sz w:val="24"/>
          <w:szCs w:val="24"/>
          <w:u w:val="single" w:color="auto"/>
        </w:rPr>
        <w:t>%经抽风口收集进入干式过滤处理，1</w:t>
      </w:r>
      <w:r>
        <w:rPr>
          <w:rFonts w:hint="default" w:ascii="Times New Roman" w:hAnsi="Times New Roman" w:eastAsia="宋体" w:cs="Times New Roman"/>
          <w:b w:val="0"/>
          <w:bCs w:val="0"/>
          <w:color w:val="auto"/>
          <w:sz w:val="24"/>
          <w:szCs w:val="24"/>
          <w:u w:val="single" w:color="auto"/>
          <w:lang w:val="en-US" w:eastAsia="zh-CN"/>
        </w:rPr>
        <w:t>0</w:t>
      </w:r>
      <w:r>
        <w:rPr>
          <w:rFonts w:hint="default" w:ascii="Times New Roman" w:hAnsi="Times New Roman" w:eastAsia="宋体" w:cs="Times New Roman"/>
          <w:b w:val="0"/>
          <w:bCs w:val="0"/>
          <w:color w:val="auto"/>
          <w:sz w:val="24"/>
          <w:szCs w:val="24"/>
          <w:u w:val="single" w:color="auto"/>
        </w:rPr>
        <w:t>%漆雾无组织排放</w:t>
      </w: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未收集漆雾有部分漆雾因重力沉降为漆渣。参考《</w:t>
      </w:r>
      <w:r>
        <w:rPr>
          <w:rFonts w:hint="default" w:ascii="Times New Roman" w:hAnsi="Times New Roman" w:eastAsia="宋体" w:cs="Times New Roman"/>
          <w:b w:val="0"/>
          <w:bCs w:val="0"/>
          <w:color w:val="auto"/>
          <w:sz w:val="24"/>
          <w:szCs w:val="24"/>
          <w:u w:val="single" w:color="auto"/>
        </w:rPr>
        <w:t>未纳入排污许可管理行业适用的排污系数物料衡算方法（试行）</w:t>
      </w:r>
      <w:r>
        <w:rPr>
          <w:rFonts w:hint="default" w:ascii="Times New Roman" w:hAnsi="Times New Roman" w:eastAsia="宋体" w:cs="Times New Roman"/>
          <w:b w:val="0"/>
          <w:bCs w:val="0"/>
          <w:color w:val="auto"/>
          <w:sz w:val="24"/>
          <w:szCs w:val="24"/>
          <w:u w:val="single" w:color="auto"/>
          <w:lang w:val="en-US" w:eastAsia="zh-CN"/>
        </w:rPr>
        <w:t>》（原环境保护部公告 2017</w:t>
      </w:r>
      <w:r>
        <w:rPr>
          <w:rFonts w:hint="eastAsia" w:ascii="Times New Roman" w:hAnsi="Times New Roman" w:eastAsia="宋体" w:cs="Times New Roman"/>
          <w:b w:val="0"/>
          <w:bCs w:val="0"/>
          <w:color w:val="auto"/>
          <w:sz w:val="24"/>
          <w:szCs w:val="24"/>
          <w:u w:val="single" w:color="auto"/>
          <w:lang w:val="en-US" w:eastAsia="zh-CN"/>
        </w:rPr>
        <w:t>年第</w:t>
      </w:r>
      <w:r>
        <w:rPr>
          <w:rFonts w:hint="default" w:ascii="Times New Roman" w:hAnsi="Times New Roman" w:eastAsia="宋体" w:cs="Times New Roman"/>
          <w:b w:val="0"/>
          <w:bCs w:val="0"/>
          <w:color w:val="auto"/>
          <w:sz w:val="24"/>
          <w:szCs w:val="24"/>
          <w:u w:val="single" w:color="auto"/>
          <w:lang w:val="en-US" w:eastAsia="zh-CN"/>
        </w:rPr>
        <w:t>81号）中“47 锯材加工业”的系数，车间在不装除尘设备的情况下，重力沉降法的效率约为85%，本项目未收集漆雾沉降率保守按75%计</w:t>
      </w:r>
      <w:r>
        <w:rPr>
          <w:rFonts w:hint="default" w:ascii="Times New Roman" w:hAnsi="Times New Roman" w:eastAsia="宋体" w:cs="Times New Roman"/>
          <w:b w:val="0"/>
          <w:bCs w:val="0"/>
          <w:color w:val="auto"/>
          <w:sz w:val="24"/>
          <w:szCs w:val="24"/>
          <w:u w:val="single" w:color="auto"/>
        </w:rPr>
        <w:t>。</w:t>
      </w:r>
      <w:r>
        <w:rPr>
          <w:rFonts w:hint="default" w:ascii="Times New Roman" w:hAnsi="Times New Roman" w:eastAsia="宋体" w:cs="Times New Roman"/>
          <w:b w:val="0"/>
          <w:bCs w:val="0"/>
          <w:color w:val="auto"/>
          <w:sz w:val="24"/>
          <w:szCs w:val="24"/>
          <w:u w:val="single" w:color="auto"/>
          <w:lang w:val="en-US" w:eastAsia="zh-CN"/>
        </w:rPr>
        <w:t>有</w:t>
      </w:r>
      <w:r>
        <w:rPr>
          <w:rFonts w:hint="default" w:ascii="Times New Roman" w:hAnsi="Times New Roman" w:eastAsia="宋体" w:cs="Times New Roman"/>
          <w:b w:val="0"/>
          <w:bCs w:val="0"/>
          <w:color w:val="auto"/>
          <w:sz w:val="24"/>
          <w:szCs w:val="24"/>
          <w:u w:val="single" w:color="auto"/>
        </w:rPr>
        <w:t>组织漆雾产生量为</w:t>
      </w:r>
      <w:r>
        <w:rPr>
          <w:rFonts w:hint="eastAsia" w:ascii="Times New Roman" w:hAnsi="Times New Roman" w:eastAsia="宋体" w:cs="Times New Roman"/>
          <w:b w:val="0"/>
          <w:bCs w:val="0"/>
          <w:color w:val="auto"/>
          <w:sz w:val="24"/>
          <w:szCs w:val="24"/>
          <w:u w:val="single" w:color="auto"/>
          <w:lang w:val="en-US" w:eastAsia="zh-CN"/>
        </w:rPr>
        <w:t>65.807</w:t>
      </w:r>
      <w:r>
        <w:rPr>
          <w:rFonts w:hint="default" w:ascii="Times New Roman" w:hAnsi="Times New Roman" w:eastAsia="宋体" w:cs="Times New Roman"/>
          <w:b w:val="0"/>
          <w:bCs w:val="0"/>
          <w:color w:val="auto"/>
          <w:sz w:val="24"/>
          <w:szCs w:val="24"/>
          <w:u w:val="single" w:color="auto"/>
        </w:rPr>
        <w:t>t/a，产生速率为</w:t>
      </w:r>
      <w:r>
        <w:rPr>
          <w:rFonts w:hint="eastAsia" w:ascii="Times New Roman" w:hAnsi="Times New Roman" w:eastAsia="宋体" w:cs="Times New Roman"/>
          <w:b w:val="0"/>
          <w:bCs w:val="0"/>
          <w:color w:val="auto"/>
          <w:sz w:val="24"/>
          <w:szCs w:val="24"/>
          <w:u w:val="single" w:color="auto"/>
          <w:lang w:val="en-US" w:eastAsia="zh-CN"/>
        </w:rPr>
        <w:t>12.463</w:t>
      </w:r>
      <w:r>
        <w:rPr>
          <w:rFonts w:hint="default" w:ascii="Times New Roman" w:hAnsi="Times New Roman" w:eastAsia="宋体" w:cs="Times New Roman"/>
          <w:b w:val="0"/>
          <w:bCs w:val="0"/>
          <w:color w:val="auto"/>
          <w:sz w:val="24"/>
          <w:szCs w:val="24"/>
          <w:u w:val="single" w:color="auto"/>
        </w:rPr>
        <w:t>kg/h，干式过滤去除效率</w:t>
      </w:r>
      <w:r>
        <w:rPr>
          <w:rFonts w:hint="eastAsia" w:ascii="Times New Roman" w:hAnsi="Times New Roman" w:eastAsia="宋体" w:cs="Times New Roman"/>
          <w:b w:val="0"/>
          <w:bCs w:val="0"/>
          <w:color w:val="auto"/>
          <w:sz w:val="24"/>
          <w:szCs w:val="24"/>
          <w:u w:val="single" w:color="auto"/>
          <w:lang w:val="en-US" w:eastAsia="zh-CN"/>
        </w:rPr>
        <w:t>80</w:t>
      </w:r>
      <w:r>
        <w:rPr>
          <w:rFonts w:hint="default" w:ascii="Times New Roman" w:hAnsi="Times New Roman" w:eastAsia="宋体" w:cs="Times New Roman"/>
          <w:b w:val="0"/>
          <w:bCs w:val="0"/>
          <w:color w:val="auto"/>
          <w:sz w:val="24"/>
          <w:szCs w:val="24"/>
          <w:u w:val="single" w:color="auto"/>
        </w:rPr>
        <w:t>%</w:t>
      </w: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rPr>
        <w:t>车间废气处理后汇经</w:t>
      </w:r>
      <w:r>
        <w:rPr>
          <w:rFonts w:hint="default" w:ascii="Times New Roman" w:hAnsi="Times New Roman" w:eastAsia="宋体" w:cs="Times New Roman"/>
          <w:b w:val="0"/>
          <w:bCs w:val="0"/>
          <w:color w:val="auto"/>
          <w:sz w:val="24"/>
          <w:szCs w:val="24"/>
          <w:u w:val="single" w:color="auto"/>
          <w:lang w:eastAsia="zh-CN"/>
        </w:rPr>
        <w:t>30m</w:t>
      </w:r>
      <w:r>
        <w:rPr>
          <w:rFonts w:hint="default" w:ascii="Times New Roman" w:hAnsi="Times New Roman" w:eastAsia="宋体" w:cs="Times New Roman"/>
          <w:b w:val="0"/>
          <w:bCs w:val="0"/>
          <w:color w:val="auto"/>
          <w:sz w:val="24"/>
          <w:szCs w:val="24"/>
          <w:u w:val="single" w:color="auto"/>
        </w:rPr>
        <w:t>高排气筒（DA002）排放，则有组织漆雾排放量为</w:t>
      </w:r>
      <w:r>
        <w:rPr>
          <w:rFonts w:hint="eastAsia" w:ascii="Times New Roman" w:hAnsi="Times New Roman" w:eastAsia="宋体" w:cs="Times New Roman"/>
          <w:b w:val="0"/>
          <w:bCs w:val="0"/>
          <w:color w:val="auto"/>
          <w:sz w:val="24"/>
          <w:szCs w:val="24"/>
          <w:u w:val="single" w:color="auto"/>
          <w:lang w:val="en-US" w:eastAsia="zh-CN"/>
        </w:rPr>
        <w:t>13.161</w:t>
      </w:r>
      <w:r>
        <w:rPr>
          <w:rFonts w:hint="default" w:ascii="Times New Roman" w:hAnsi="Times New Roman" w:eastAsia="宋体" w:cs="Times New Roman"/>
          <w:b w:val="0"/>
          <w:bCs w:val="0"/>
          <w:color w:val="auto"/>
          <w:sz w:val="24"/>
          <w:szCs w:val="24"/>
          <w:u w:val="single" w:color="auto"/>
        </w:rPr>
        <w:t>t/a，排放速率</w:t>
      </w:r>
      <w:r>
        <w:rPr>
          <w:rFonts w:hint="eastAsia" w:ascii="Times New Roman" w:hAnsi="Times New Roman" w:eastAsia="宋体" w:cs="Times New Roman"/>
          <w:b w:val="0"/>
          <w:bCs w:val="0"/>
          <w:color w:val="auto"/>
          <w:sz w:val="24"/>
          <w:szCs w:val="24"/>
          <w:u w:val="single" w:color="auto"/>
          <w:lang w:val="en-US" w:eastAsia="zh-CN"/>
        </w:rPr>
        <w:t>2.493</w:t>
      </w:r>
      <w:r>
        <w:rPr>
          <w:rFonts w:hint="default" w:ascii="Times New Roman" w:hAnsi="Times New Roman" w:eastAsia="宋体" w:cs="Times New Roman"/>
          <w:b w:val="0"/>
          <w:bCs w:val="0"/>
          <w:color w:val="auto"/>
          <w:sz w:val="24"/>
          <w:szCs w:val="24"/>
          <w:u w:val="single" w:color="auto"/>
        </w:rPr>
        <w:t>kg/h。</w:t>
      </w:r>
      <w:r>
        <w:rPr>
          <w:rFonts w:hint="default" w:ascii="Times New Roman" w:hAnsi="Times New Roman" w:eastAsia="宋体" w:cs="Times New Roman"/>
          <w:b w:val="0"/>
          <w:bCs w:val="0"/>
          <w:color w:val="auto"/>
          <w:sz w:val="24"/>
          <w:szCs w:val="24"/>
          <w:u w:val="single" w:color="auto"/>
          <w:lang w:val="en-US" w:eastAsia="zh-CN"/>
        </w:rPr>
        <w:t>漆雾</w:t>
      </w:r>
      <w:r>
        <w:rPr>
          <w:rFonts w:hint="default" w:ascii="Times New Roman" w:hAnsi="Times New Roman" w:eastAsia="宋体" w:cs="Times New Roman"/>
          <w:b w:val="0"/>
          <w:bCs w:val="0"/>
          <w:color w:val="auto"/>
          <w:sz w:val="24"/>
          <w:szCs w:val="24"/>
          <w:u w:val="single" w:color="auto"/>
        </w:rPr>
        <w:t>无组织产生量为</w:t>
      </w:r>
      <w:r>
        <w:rPr>
          <w:rFonts w:hint="eastAsia" w:ascii="Times New Roman" w:hAnsi="Times New Roman" w:eastAsia="宋体" w:cs="Times New Roman"/>
          <w:b w:val="0"/>
          <w:bCs w:val="0"/>
          <w:color w:val="auto"/>
          <w:sz w:val="24"/>
          <w:szCs w:val="24"/>
          <w:u w:val="single" w:color="auto"/>
          <w:lang w:val="en-US" w:eastAsia="zh-CN"/>
        </w:rPr>
        <w:t>7.312</w:t>
      </w:r>
      <w:r>
        <w:rPr>
          <w:rFonts w:hint="default" w:ascii="Times New Roman" w:hAnsi="Times New Roman" w:eastAsia="宋体" w:cs="Times New Roman"/>
          <w:b w:val="0"/>
          <w:bCs w:val="0"/>
          <w:color w:val="auto"/>
          <w:sz w:val="24"/>
          <w:szCs w:val="24"/>
          <w:u w:val="single" w:color="auto"/>
        </w:rPr>
        <w:t>t/a（</w:t>
      </w:r>
      <w:r>
        <w:rPr>
          <w:rFonts w:hint="eastAsia" w:ascii="Times New Roman" w:hAnsi="Times New Roman" w:eastAsia="宋体" w:cs="Times New Roman"/>
          <w:b w:val="0"/>
          <w:bCs w:val="0"/>
          <w:color w:val="auto"/>
          <w:sz w:val="24"/>
          <w:szCs w:val="24"/>
          <w:u w:val="single" w:color="auto"/>
          <w:lang w:val="en-US" w:eastAsia="zh-CN"/>
        </w:rPr>
        <w:t>1.385</w:t>
      </w:r>
      <w:r>
        <w:rPr>
          <w:rFonts w:hint="default" w:ascii="Times New Roman" w:hAnsi="Times New Roman" w:eastAsia="宋体" w:cs="Times New Roman"/>
          <w:b w:val="0"/>
          <w:bCs w:val="0"/>
          <w:color w:val="auto"/>
          <w:sz w:val="24"/>
          <w:szCs w:val="24"/>
          <w:u w:val="single" w:color="auto"/>
        </w:rPr>
        <w:t>kg/h)，考虑漆雾的沉降，大概</w:t>
      </w:r>
      <w:r>
        <w:rPr>
          <w:rFonts w:hint="default" w:ascii="Times New Roman" w:hAnsi="Times New Roman" w:eastAsia="宋体" w:cs="Times New Roman"/>
          <w:b w:val="0"/>
          <w:bCs w:val="0"/>
          <w:color w:val="auto"/>
          <w:sz w:val="24"/>
          <w:szCs w:val="24"/>
          <w:u w:val="single" w:color="auto"/>
          <w:lang w:val="en-US" w:eastAsia="zh-CN"/>
        </w:rPr>
        <w:t>75</w:t>
      </w:r>
      <w:r>
        <w:rPr>
          <w:rFonts w:hint="default" w:ascii="Times New Roman" w:hAnsi="Times New Roman" w:eastAsia="宋体" w:cs="Times New Roman"/>
          <w:b w:val="0"/>
          <w:bCs w:val="0"/>
          <w:color w:val="auto"/>
          <w:sz w:val="24"/>
          <w:szCs w:val="24"/>
          <w:u w:val="single" w:color="auto"/>
        </w:rPr>
        <w:t>%沉降在车间形成漆渣，漆雾无组织产排量为</w:t>
      </w:r>
      <w:r>
        <w:rPr>
          <w:rFonts w:hint="eastAsia" w:ascii="Times New Roman" w:hAnsi="Times New Roman" w:eastAsia="宋体" w:cs="Times New Roman"/>
          <w:b w:val="0"/>
          <w:bCs w:val="0"/>
          <w:color w:val="auto"/>
          <w:sz w:val="24"/>
          <w:szCs w:val="24"/>
          <w:u w:val="single" w:color="auto"/>
          <w:lang w:val="en-US" w:eastAsia="zh-CN"/>
        </w:rPr>
        <w:t>1.818</w:t>
      </w:r>
      <w:r>
        <w:rPr>
          <w:rFonts w:hint="default" w:ascii="Times New Roman" w:hAnsi="Times New Roman" w:eastAsia="宋体" w:cs="Times New Roman"/>
          <w:b w:val="0"/>
          <w:bCs w:val="0"/>
          <w:color w:val="auto"/>
          <w:sz w:val="24"/>
          <w:szCs w:val="24"/>
          <w:u w:val="single" w:color="auto"/>
        </w:rPr>
        <w:t>t/a（0.</w:t>
      </w:r>
      <w:r>
        <w:rPr>
          <w:rFonts w:hint="eastAsia" w:ascii="Times New Roman" w:hAnsi="Times New Roman" w:eastAsia="宋体" w:cs="Times New Roman"/>
          <w:b w:val="0"/>
          <w:bCs w:val="0"/>
          <w:color w:val="auto"/>
          <w:sz w:val="24"/>
          <w:szCs w:val="24"/>
          <w:u w:val="single" w:color="auto"/>
          <w:lang w:val="en-US" w:eastAsia="zh-CN"/>
        </w:rPr>
        <w:t>346</w:t>
      </w:r>
      <w:r>
        <w:rPr>
          <w:rFonts w:hint="default" w:ascii="Times New Roman" w:hAnsi="Times New Roman" w:eastAsia="宋体" w:cs="Times New Roman"/>
          <w:b w:val="0"/>
          <w:bCs w:val="0"/>
          <w:color w:val="auto"/>
          <w:sz w:val="24"/>
          <w:szCs w:val="24"/>
          <w:u w:val="single" w:color="auto"/>
        </w:rPr>
        <w:t>kg/h)。</w:t>
      </w:r>
    </w:p>
    <w:p w14:paraId="691669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rPr>
      </w:pPr>
      <w:r>
        <w:rPr>
          <w:rFonts w:hint="default" w:ascii="Times New Roman" w:hAnsi="Times New Roman" w:eastAsia="宋体" w:cs="Times New Roman"/>
          <w:b w:val="0"/>
          <w:bCs w:val="0"/>
          <w:color w:val="auto"/>
          <w:sz w:val="24"/>
          <w:szCs w:val="24"/>
          <w:u w:val="single" w:color="auto"/>
        </w:rPr>
        <w:t>项目喷涂车间废气产排情况详见表</w:t>
      </w:r>
      <w:r>
        <w:rPr>
          <w:rFonts w:hint="eastAsia" w:ascii="Times New Roman" w:hAnsi="Times New Roman" w:eastAsia="宋体" w:cs="Times New Roman"/>
          <w:b w:val="0"/>
          <w:bCs w:val="0"/>
          <w:color w:val="auto"/>
          <w:sz w:val="24"/>
          <w:szCs w:val="24"/>
          <w:u w:val="single" w:color="auto"/>
          <w:lang w:val="en-US" w:eastAsia="zh-CN"/>
        </w:rPr>
        <w:t>2.3-8</w:t>
      </w:r>
      <w:r>
        <w:rPr>
          <w:rFonts w:hint="default" w:ascii="Times New Roman" w:hAnsi="Times New Roman" w:eastAsia="宋体" w:cs="Times New Roman"/>
          <w:b w:val="0"/>
          <w:bCs w:val="0"/>
          <w:color w:val="auto"/>
          <w:sz w:val="24"/>
          <w:szCs w:val="24"/>
          <w:u w:val="single" w:color="auto"/>
        </w:rPr>
        <w:t>~表</w:t>
      </w:r>
      <w:r>
        <w:rPr>
          <w:rFonts w:hint="eastAsia" w:ascii="Times New Roman" w:hAnsi="Times New Roman" w:eastAsia="宋体" w:cs="Times New Roman"/>
          <w:b w:val="0"/>
          <w:bCs w:val="0"/>
          <w:color w:val="auto"/>
          <w:sz w:val="24"/>
          <w:szCs w:val="24"/>
          <w:u w:val="single" w:color="auto"/>
          <w:lang w:val="en-US" w:eastAsia="zh-CN"/>
        </w:rPr>
        <w:t>2.3-9</w:t>
      </w:r>
      <w:r>
        <w:rPr>
          <w:rFonts w:hint="default" w:ascii="Times New Roman" w:hAnsi="Times New Roman" w:eastAsia="宋体" w:cs="Times New Roman"/>
          <w:b w:val="0"/>
          <w:bCs w:val="0"/>
          <w:color w:val="auto"/>
          <w:sz w:val="24"/>
          <w:szCs w:val="24"/>
          <w:u w:val="single" w:color="auto"/>
        </w:rPr>
        <w:t>。</w:t>
      </w:r>
    </w:p>
    <w:p w14:paraId="262927A3">
      <w:pPr>
        <w:ind w:firstLine="420" w:firstLineChars="200"/>
        <w:jc w:val="center"/>
        <w:rPr>
          <w:rFonts w:hint="eastAsia" w:ascii="Times New Roman" w:hAnsi="Times New Roman"/>
          <w:b/>
          <w:bCs/>
          <w:color w:val="auto"/>
          <w:szCs w:val="21"/>
          <w:u w:val="single" w:color="auto"/>
        </w:rPr>
      </w:pPr>
      <w:r>
        <w:rPr>
          <w:rFonts w:hint="eastAsia" w:ascii="Times New Roman" w:hAnsi="Times New Roman"/>
          <w:b/>
          <w:bCs/>
          <w:color w:val="auto"/>
          <w:szCs w:val="21"/>
          <w:u w:val="single" w:color="auto"/>
        </w:rPr>
        <w:t>表</w:t>
      </w:r>
      <w:r>
        <w:rPr>
          <w:rFonts w:hint="eastAsia" w:ascii="Times New Roman" w:hAnsi="Times New Roman"/>
          <w:b/>
          <w:bCs/>
          <w:color w:val="auto"/>
          <w:szCs w:val="21"/>
          <w:u w:val="single" w:color="auto"/>
          <w:lang w:val="en-US" w:eastAsia="zh-CN"/>
        </w:rPr>
        <w:t>2.3-8</w:t>
      </w:r>
      <w:r>
        <w:rPr>
          <w:rFonts w:ascii="Times New Roman" w:hAnsi="Times New Roman"/>
          <w:b/>
          <w:bCs/>
          <w:color w:val="auto"/>
          <w:szCs w:val="21"/>
          <w:u w:val="single" w:color="auto"/>
        </w:rPr>
        <w:t xml:space="preserve">  </w:t>
      </w:r>
      <w:r>
        <w:rPr>
          <w:rFonts w:hint="eastAsia" w:ascii="Times New Roman" w:hAnsi="Times New Roman"/>
          <w:b/>
          <w:bCs/>
          <w:color w:val="auto"/>
          <w:szCs w:val="21"/>
          <w:u w:val="single" w:color="auto"/>
        </w:rPr>
        <w:t>喷涂车间有组织废气产排情况</w:t>
      </w:r>
    </w:p>
    <w:tbl>
      <w:tblPr>
        <w:tblStyle w:val="3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29"/>
        <w:gridCol w:w="1390"/>
        <w:gridCol w:w="1092"/>
        <w:gridCol w:w="976"/>
        <w:gridCol w:w="1143"/>
        <w:gridCol w:w="816"/>
        <w:gridCol w:w="1033"/>
        <w:gridCol w:w="1038"/>
      </w:tblGrid>
      <w:tr w14:paraId="5B62C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04" w:type="pct"/>
            <w:vMerge w:val="restart"/>
            <w:shd w:val="clear" w:color="auto" w:fill="auto"/>
            <w:vAlign w:val="center"/>
          </w:tcPr>
          <w:p w14:paraId="4BF46A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污染源</w:t>
            </w:r>
          </w:p>
        </w:tc>
        <w:tc>
          <w:tcPr>
            <w:tcW w:w="816" w:type="pct"/>
            <w:vMerge w:val="restart"/>
            <w:shd w:val="clear" w:color="auto" w:fill="auto"/>
            <w:vAlign w:val="center"/>
          </w:tcPr>
          <w:p w14:paraId="3A94A4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污染物</w:t>
            </w:r>
          </w:p>
        </w:tc>
        <w:tc>
          <w:tcPr>
            <w:tcW w:w="1214" w:type="pct"/>
            <w:gridSpan w:val="2"/>
            <w:shd w:val="clear" w:color="auto" w:fill="auto"/>
            <w:vAlign w:val="center"/>
          </w:tcPr>
          <w:p w14:paraId="7D57A7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产生情况</w:t>
            </w:r>
          </w:p>
        </w:tc>
        <w:tc>
          <w:tcPr>
            <w:tcW w:w="671" w:type="pct"/>
            <w:vMerge w:val="restart"/>
            <w:shd w:val="clear" w:color="auto" w:fill="auto"/>
            <w:vAlign w:val="center"/>
          </w:tcPr>
          <w:p w14:paraId="062FEA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废气治理措施</w:t>
            </w:r>
          </w:p>
        </w:tc>
        <w:tc>
          <w:tcPr>
            <w:tcW w:w="479" w:type="pct"/>
            <w:vMerge w:val="restart"/>
            <w:shd w:val="clear" w:color="auto" w:fill="auto"/>
            <w:vAlign w:val="center"/>
          </w:tcPr>
          <w:p w14:paraId="5F612E7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处理效率</w:t>
            </w:r>
          </w:p>
        </w:tc>
        <w:tc>
          <w:tcPr>
            <w:tcW w:w="1215" w:type="pct"/>
            <w:gridSpan w:val="2"/>
            <w:shd w:val="clear" w:color="auto" w:fill="auto"/>
            <w:vAlign w:val="center"/>
          </w:tcPr>
          <w:p w14:paraId="0B5BC8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排放情况</w:t>
            </w:r>
          </w:p>
        </w:tc>
      </w:tr>
      <w:tr w14:paraId="097B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3178554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b/>
                <w:bCs/>
                <w:i w:val="0"/>
                <w:iCs w:val="0"/>
                <w:color w:val="auto"/>
                <w:sz w:val="21"/>
                <w:szCs w:val="21"/>
                <w:u w:val="single" w:color="auto"/>
              </w:rPr>
            </w:pPr>
          </w:p>
        </w:tc>
        <w:tc>
          <w:tcPr>
            <w:tcW w:w="816" w:type="pct"/>
            <w:vMerge w:val="continue"/>
            <w:shd w:val="clear" w:color="auto" w:fill="auto"/>
            <w:vAlign w:val="center"/>
          </w:tcPr>
          <w:p w14:paraId="278D326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b/>
                <w:bCs/>
                <w:i w:val="0"/>
                <w:iCs w:val="0"/>
                <w:color w:val="auto"/>
                <w:sz w:val="21"/>
                <w:szCs w:val="21"/>
                <w:u w:val="single" w:color="auto"/>
              </w:rPr>
            </w:pPr>
          </w:p>
        </w:tc>
        <w:tc>
          <w:tcPr>
            <w:tcW w:w="641" w:type="pct"/>
            <w:shd w:val="clear" w:color="auto" w:fill="auto"/>
            <w:vAlign w:val="center"/>
          </w:tcPr>
          <w:p w14:paraId="29A9D5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产生速率(kg/h)</w:t>
            </w:r>
          </w:p>
        </w:tc>
        <w:tc>
          <w:tcPr>
            <w:tcW w:w="572" w:type="pct"/>
            <w:shd w:val="clear" w:color="auto" w:fill="auto"/>
            <w:vAlign w:val="center"/>
          </w:tcPr>
          <w:p w14:paraId="3F78F1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产生量(t/a)</w:t>
            </w:r>
          </w:p>
        </w:tc>
        <w:tc>
          <w:tcPr>
            <w:tcW w:w="671" w:type="pct"/>
            <w:vMerge w:val="continue"/>
            <w:shd w:val="clear" w:color="auto" w:fill="auto"/>
            <w:vAlign w:val="center"/>
          </w:tcPr>
          <w:p w14:paraId="79F09FC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b/>
                <w:bCs/>
                <w:i w:val="0"/>
                <w:iCs w:val="0"/>
                <w:color w:val="auto"/>
                <w:sz w:val="21"/>
                <w:szCs w:val="21"/>
                <w:u w:val="single" w:color="auto"/>
              </w:rPr>
            </w:pPr>
          </w:p>
        </w:tc>
        <w:tc>
          <w:tcPr>
            <w:tcW w:w="479" w:type="pct"/>
            <w:vMerge w:val="continue"/>
            <w:shd w:val="clear" w:color="auto" w:fill="auto"/>
            <w:vAlign w:val="center"/>
          </w:tcPr>
          <w:p w14:paraId="505FF1B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b/>
                <w:bCs/>
                <w:i w:val="0"/>
                <w:iCs w:val="0"/>
                <w:color w:val="auto"/>
                <w:sz w:val="21"/>
                <w:szCs w:val="21"/>
                <w:u w:val="single" w:color="auto"/>
              </w:rPr>
            </w:pPr>
          </w:p>
        </w:tc>
        <w:tc>
          <w:tcPr>
            <w:tcW w:w="606" w:type="pct"/>
            <w:shd w:val="clear" w:color="auto" w:fill="auto"/>
            <w:vAlign w:val="center"/>
          </w:tcPr>
          <w:p w14:paraId="639CF2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排放速率(kg/h)</w:t>
            </w:r>
          </w:p>
        </w:tc>
        <w:tc>
          <w:tcPr>
            <w:tcW w:w="608" w:type="pct"/>
            <w:shd w:val="clear" w:color="auto" w:fill="auto"/>
            <w:vAlign w:val="center"/>
          </w:tcPr>
          <w:p w14:paraId="57E6834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排放量(t/a)</w:t>
            </w:r>
          </w:p>
        </w:tc>
      </w:tr>
      <w:tr w14:paraId="45C5F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restart"/>
            <w:shd w:val="clear" w:color="auto" w:fill="auto"/>
            <w:vAlign w:val="center"/>
          </w:tcPr>
          <w:p w14:paraId="4D21C95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喷涂及喷枪清洗</w:t>
            </w:r>
          </w:p>
        </w:tc>
        <w:tc>
          <w:tcPr>
            <w:tcW w:w="816" w:type="pct"/>
            <w:shd w:val="clear" w:color="auto" w:fill="auto"/>
            <w:vAlign w:val="center"/>
          </w:tcPr>
          <w:p w14:paraId="345949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1092" w:type="dxa"/>
            <w:shd w:val="clear" w:color="auto" w:fill="auto"/>
            <w:vAlign w:val="center"/>
          </w:tcPr>
          <w:p w14:paraId="0AB92C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00FEFE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restart"/>
            <w:shd w:val="clear" w:color="auto" w:fill="auto"/>
            <w:vAlign w:val="center"/>
          </w:tcPr>
          <w:p w14:paraId="0BD101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317EB17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29ED0E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1D8F42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6F170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5D0C756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60CA5C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1092" w:type="dxa"/>
            <w:shd w:val="clear" w:color="auto" w:fill="auto"/>
            <w:vAlign w:val="center"/>
          </w:tcPr>
          <w:p w14:paraId="240E68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2D7D8D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6CDB8AA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2292B0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74A340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337D57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24EC1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40" w:hRule="atLeast"/>
        </w:trPr>
        <w:tc>
          <w:tcPr>
            <w:tcW w:w="604" w:type="pct"/>
            <w:vMerge w:val="continue"/>
            <w:shd w:val="clear" w:color="auto" w:fill="auto"/>
            <w:vAlign w:val="center"/>
          </w:tcPr>
          <w:p w14:paraId="74698F6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21927E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1092" w:type="dxa"/>
            <w:shd w:val="clear" w:color="auto" w:fill="auto"/>
            <w:vAlign w:val="center"/>
          </w:tcPr>
          <w:p w14:paraId="548A61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2A2F62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40628B1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4ED891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30CA18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1A28BC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0EF3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6C0AE60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37C748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颗粒物</w:t>
            </w:r>
          </w:p>
        </w:tc>
        <w:tc>
          <w:tcPr>
            <w:tcW w:w="1092" w:type="dxa"/>
            <w:shd w:val="clear" w:color="auto" w:fill="auto"/>
            <w:vAlign w:val="center"/>
          </w:tcPr>
          <w:p w14:paraId="07F49A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06D5F5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06D92BC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796D9B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03BCF2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1038" w:type="dxa"/>
            <w:shd w:val="clear" w:color="auto" w:fill="auto"/>
            <w:vAlign w:val="center"/>
          </w:tcPr>
          <w:p w14:paraId="490713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r>
      <w:tr w14:paraId="2EB21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04" w:type="pct"/>
            <w:vMerge w:val="restart"/>
            <w:shd w:val="clear" w:color="auto" w:fill="auto"/>
            <w:vAlign w:val="center"/>
          </w:tcPr>
          <w:p w14:paraId="454E6B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晾干</w:t>
            </w:r>
          </w:p>
        </w:tc>
        <w:tc>
          <w:tcPr>
            <w:tcW w:w="816" w:type="pct"/>
            <w:shd w:val="clear" w:color="auto" w:fill="auto"/>
            <w:vAlign w:val="center"/>
          </w:tcPr>
          <w:p w14:paraId="67E6F6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1092" w:type="dxa"/>
            <w:shd w:val="clear" w:color="auto" w:fill="auto"/>
            <w:vAlign w:val="center"/>
          </w:tcPr>
          <w:p w14:paraId="6DEC15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58B6B9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7971903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4C3F50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16ECEC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30FAD3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04FF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22EFAB1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17924A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1092" w:type="dxa"/>
            <w:shd w:val="clear" w:color="auto" w:fill="auto"/>
            <w:vAlign w:val="center"/>
          </w:tcPr>
          <w:p w14:paraId="1CDFB5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210FBE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30329EE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255F79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44DE10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244215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974A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04" w:type="pct"/>
            <w:vMerge w:val="continue"/>
            <w:shd w:val="clear" w:color="auto" w:fill="auto"/>
            <w:vAlign w:val="center"/>
          </w:tcPr>
          <w:p w14:paraId="3C13324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1297F6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1092" w:type="dxa"/>
            <w:shd w:val="clear" w:color="auto" w:fill="auto"/>
            <w:vAlign w:val="center"/>
          </w:tcPr>
          <w:p w14:paraId="051221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43B26A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761349A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2B86F5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6E8754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3BDB28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6E02E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restart"/>
            <w:shd w:val="clear" w:color="auto" w:fill="auto"/>
            <w:vAlign w:val="center"/>
          </w:tcPr>
          <w:p w14:paraId="3E4243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合计(DA002)</w:t>
            </w:r>
          </w:p>
        </w:tc>
        <w:tc>
          <w:tcPr>
            <w:tcW w:w="816" w:type="pct"/>
            <w:shd w:val="clear" w:color="auto" w:fill="auto"/>
            <w:vAlign w:val="center"/>
          </w:tcPr>
          <w:p w14:paraId="1F4CD8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1092" w:type="dxa"/>
            <w:shd w:val="clear" w:color="auto" w:fill="auto"/>
            <w:vAlign w:val="center"/>
          </w:tcPr>
          <w:p w14:paraId="4E7CD7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58140C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7A86F14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4E7A02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3246D3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0898A6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6AAA8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11C0B47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5CFF24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1092" w:type="dxa"/>
            <w:shd w:val="clear" w:color="auto" w:fill="auto"/>
            <w:vAlign w:val="center"/>
          </w:tcPr>
          <w:p w14:paraId="690C8F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537278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32B7DCF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373263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2E9C4E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1F7733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75A3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04" w:type="pct"/>
            <w:vMerge w:val="continue"/>
            <w:shd w:val="clear" w:color="auto" w:fill="auto"/>
            <w:vAlign w:val="center"/>
          </w:tcPr>
          <w:p w14:paraId="70226BF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353A75B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1092" w:type="dxa"/>
            <w:shd w:val="clear" w:color="auto" w:fill="auto"/>
            <w:vAlign w:val="center"/>
          </w:tcPr>
          <w:p w14:paraId="667E4B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573588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6E16E81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479" w:type="pct"/>
            <w:shd w:val="clear" w:color="auto" w:fill="auto"/>
            <w:vAlign w:val="center"/>
          </w:tcPr>
          <w:p w14:paraId="651AD3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568510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76DCB5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7E979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604" w:type="pct"/>
            <w:vMerge w:val="continue"/>
            <w:shd w:val="clear" w:color="auto" w:fill="auto"/>
            <w:vAlign w:val="center"/>
          </w:tcPr>
          <w:p w14:paraId="45C1CFA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pct"/>
            <w:shd w:val="clear" w:color="auto" w:fill="auto"/>
            <w:vAlign w:val="center"/>
          </w:tcPr>
          <w:p w14:paraId="7FB6B5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颗粒物</w:t>
            </w:r>
          </w:p>
        </w:tc>
        <w:tc>
          <w:tcPr>
            <w:tcW w:w="1092" w:type="dxa"/>
            <w:shd w:val="clear" w:color="auto" w:fill="auto"/>
            <w:vAlign w:val="center"/>
          </w:tcPr>
          <w:p w14:paraId="1D9CE1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976" w:type="dxa"/>
            <w:shd w:val="clear" w:color="auto" w:fill="auto"/>
            <w:vAlign w:val="center"/>
          </w:tcPr>
          <w:p w14:paraId="290AB1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71" w:type="pct"/>
            <w:vMerge w:val="continue"/>
            <w:shd w:val="clear" w:color="auto" w:fill="auto"/>
            <w:vAlign w:val="center"/>
          </w:tcPr>
          <w:p w14:paraId="1736C76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single" w:color="auto"/>
              </w:rPr>
            </w:pPr>
          </w:p>
        </w:tc>
        <w:tc>
          <w:tcPr>
            <w:tcW w:w="816" w:type="dxa"/>
            <w:shd w:val="clear" w:color="auto" w:fill="auto"/>
            <w:vAlign w:val="center"/>
          </w:tcPr>
          <w:p w14:paraId="593E39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single" w:color="auto"/>
              </w:rPr>
            </w:pPr>
          </w:p>
        </w:tc>
        <w:tc>
          <w:tcPr>
            <w:tcW w:w="1033" w:type="dxa"/>
            <w:shd w:val="clear" w:color="auto" w:fill="auto"/>
            <w:vAlign w:val="center"/>
          </w:tcPr>
          <w:p w14:paraId="7BBA8F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038" w:type="dxa"/>
            <w:shd w:val="clear" w:color="auto" w:fill="auto"/>
            <w:vAlign w:val="center"/>
          </w:tcPr>
          <w:p w14:paraId="5DE9E7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bl>
    <w:p w14:paraId="7EF26E65">
      <w:pPr>
        <w:ind w:firstLine="420" w:firstLineChars="200"/>
        <w:jc w:val="center"/>
        <w:rPr>
          <w:rFonts w:hint="eastAsia" w:ascii="Times New Roman" w:hAnsi="Times New Roman"/>
          <w:b/>
          <w:bCs/>
          <w:color w:val="auto"/>
          <w:szCs w:val="21"/>
          <w:u w:val="single" w:color="auto"/>
        </w:rPr>
      </w:pPr>
      <w:r>
        <w:rPr>
          <w:rFonts w:hint="eastAsia" w:ascii="Times New Roman" w:hAnsi="Times New Roman"/>
          <w:b/>
          <w:bCs/>
          <w:color w:val="auto"/>
          <w:szCs w:val="21"/>
          <w:u w:val="single" w:color="auto"/>
        </w:rPr>
        <w:t>表</w:t>
      </w:r>
      <w:r>
        <w:rPr>
          <w:rFonts w:hint="eastAsia" w:ascii="Times New Roman" w:hAnsi="Times New Roman"/>
          <w:b/>
          <w:bCs/>
          <w:color w:val="auto"/>
          <w:szCs w:val="21"/>
          <w:u w:val="single" w:color="auto"/>
          <w:lang w:val="en-US" w:eastAsia="zh-CN"/>
        </w:rPr>
        <w:t>2.3-9</w:t>
      </w:r>
      <w:r>
        <w:rPr>
          <w:rFonts w:ascii="Times New Roman" w:hAnsi="Times New Roman"/>
          <w:b/>
          <w:bCs/>
          <w:color w:val="auto"/>
          <w:szCs w:val="21"/>
          <w:u w:val="single" w:color="auto"/>
        </w:rPr>
        <w:t xml:space="preserve">  </w:t>
      </w:r>
      <w:r>
        <w:rPr>
          <w:rFonts w:hint="eastAsia" w:ascii="Times New Roman" w:hAnsi="Times New Roman"/>
          <w:b/>
          <w:bCs/>
          <w:color w:val="auto"/>
          <w:szCs w:val="21"/>
          <w:u w:val="single" w:color="auto"/>
        </w:rPr>
        <w:t>喷涂车间无组织废气产排情况</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85"/>
        <w:gridCol w:w="1287"/>
        <w:gridCol w:w="794"/>
        <w:gridCol w:w="1289"/>
        <w:gridCol w:w="1287"/>
        <w:gridCol w:w="1287"/>
        <w:gridCol w:w="1290"/>
      </w:tblGrid>
      <w:tr w14:paraId="5B762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754" w:type="pct"/>
            <w:vMerge w:val="restart"/>
            <w:shd w:val="clear" w:color="auto" w:fill="auto"/>
            <w:vAlign w:val="center"/>
          </w:tcPr>
          <w:p w14:paraId="4252FAF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污染源</w:t>
            </w:r>
          </w:p>
        </w:tc>
        <w:tc>
          <w:tcPr>
            <w:tcW w:w="755" w:type="pct"/>
            <w:vMerge w:val="restart"/>
            <w:shd w:val="clear" w:color="auto" w:fill="auto"/>
            <w:vAlign w:val="center"/>
          </w:tcPr>
          <w:p w14:paraId="10B4AE6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污染物</w:t>
            </w:r>
          </w:p>
        </w:tc>
        <w:tc>
          <w:tcPr>
            <w:tcW w:w="1222" w:type="pct"/>
            <w:gridSpan w:val="2"/>
            <w:shd w:val="clear" w:color="auto" w:fill="auto"/>
            <w:vAlign w:val="center"/>
          </w:tcPr>
          <w:p w14:paraId="718A61D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产生情况</w:t>
            </w:r>
          </w:p>
        </w:tc>
        <w:tc>
          <w:tcPr>
            <w:tcW w:w="755" w:type="pct"/>
            <w:vMerge w:val="restart"/>
            <w:shd w:val="clear" w:color="auto" w:fill="auto"/>
            <w:vAlign w:val="center"/>
          </w:tcPr>
          <w:p w14:paraId="79C9BBF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措施及其处理效率</w:t>
            </w:r>
          </w:p>
        </w:tc>
        <w:tc>
          <w:tcPr>
            <w:tcW w:w="1512" w:type="pct"/>
            <w:gridSpan w:val="2"/>
            <w:shd w:val="clear" w:color="auto" w:fill="auto"/>
            <w:vAlign w:val="center"/>
          </w:tcPr>
          <w:p w14:paraId="44521C9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排放情况</w:t>
            </w:r>
          </w:p>
        </w:tc>
      </w:tr>
      <w:tr w14:paraId="2AB2B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34FB6CF0">
            <w:pPr>
              <w:jc w:val="center"/>
              <w:rPr>
                <w:rFonts w:hint="default" w:ascii="Times New Roman" w:hAnsi="Times New Roman" w:eastAsia="宋体" w:cs="Times New Roman"/>
                <w:b/>
                <w:bCs/>
                <w:i w:val="0"/>
                <w:iCs w:val="0"/>
                <w:color w:val="auto"/>
                <w:sz w:val="21"/>
                <w:szCs w:val="21"/>
                <w:u w:val="single" w:color="auto"/>
              </w:rPr>
            </w:pPr>
          </w:p>
        </w:tc>
        <w:tc>
          <w:tcPr>
            <w:tcW w:w="755" w:type="pct"/>
            <w:vMerge w:val="continue"/>
            <w:shd w:val="clear" w:color="auto" w:fill="auto"/>
            <w:vAlign w:val="center"/>
          </w:tcPr>
          <w:p w14:paraId="0F5CAE04">
            <w:pPr>
              <w:jc w:val="center"/>
              <w:rPr>
                <w:rFonts w:hint="default" w:ascii="Times New Roman" w:hAnsi="Times New Roman" w:eastAsia="宋体" w:cs="Times New Roman"/>
                <w:b/>
                <w:bCs/>
                <w:i w:val="0"/>
                <w:iCs w:val="0"/>
                <w:color w:val="auto"/>
                <w:sz w:val="21"/>
                <w:szCs w:val="21"/>
                <w:u w:val="single" w:color="auto"/>
              </w:rPr>
            </w:pPr>
          </w:p>
        </w:tc>
        <w:tc>
          <w:tcPr>
            <w:tcW w:w="466" w:type="pct"/>
            <w:shd w:val="clear" w:color="auto" w:fill="auto"/>
            <w:vAlign w:val="center"/>
          </w:tcPr>
          <w:p w14:paraId="4590B54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产生速率(kg/h)</w:t>
            </w:r>
          </w:p>
        </w:tc>
        <w:tc>
          <w:tcPr>
            <w:tcW w:w="756" w:type="pct"/>
            <w:shd w:val="clear" w:color="auto" w:fill="auto"/>
            <w:vAlign w:val="center"/>
          </w:tcPr>
          <w:p w14:paraId="3B6BC0B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产生量(t/a)</w:t>
            </w:r>
          </w:p>
        </w:tc>
        <w:tc>
          <w:tcPr>
            <w:tcW w:w="755" w:type="pct"/>
            <w:vMerge w:val="continue"/>
            <w:shd w:val="clear" w:color="auto" w:fill="auto"/>
            <w:vAlign w:val="center"/>
          </w:tcPr>
          <w:p w14:paraId="0E3C704B">
            <w:pPr>
              <w:jc w:val="center"/>
              <w:rPr>
                <w:rFonts w:hint="default" w:ascii="Times New Roman" w:hAnsi="Times New Roman" w:eastAsia="宋体" w:cs="Times New Roman"/>
                <w:b/>
                <w:bCs/>
                <w:i w:val="0"/>
                <w:iCs w:val="0"/>
                <w:color w:val="auto"/>
                <w:sz w:val="21"/>
                <w:szCs w:val="21"/>
                <w:u w:val="single" w:color="auto"/>
              </w:rPr>
            </w:pPr>
          </w:p>
        </w:tc>
        <w:tc>
          <w:tcPr>
            <w:tcW w:w="755" w:type="pct"/>
            <w:shd w:val="clear" w:color="auto" w:fill="auto"/>
            <w:vAlign w:val="center"/>
          </w:tcPr>
          <w:p w14:paraId="5A24742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排放速率(kg/h)</w:t>
            </w:r>
          </w:p>
        </w:tc>
        <w:tc>
          <w:tcPr>
            <w:tcW w:w="757" w:type="pct"/>
            <w:shd w:val="clear" w:color="auto" w:fill="auto"/>
            <w:vAlign w:val="center"/>
          </w:tcPr>
          <w:p w14:paraId="0802B68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排放量(t/a)</w:t>
            </w:r>
          </w:p>
        </w:tc>
      </w:tr>
      <w:tr w14:paraId="11278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754" w:type="pct"/>
            <w:vMerge w:val="restart"/>
            <w:shd w:val="clear" w:color="auto" w:fill="auto"/>
            <w:vAlign w:val="center"/>
          </w:tcPr>
          <w:p w14:paraId="0D8FB7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喷涂及喷枪清洗</w:t>
            </w:r>
          </w:p>
        </w:tc>
        <w:tc>
          <w:tcPr>
            <w:tcW w:w="755" w:type="pct"/>
            <w:shd w:val="clear" w:color="auto" w:fill="auto"/>
            <w:vAlign w:val="center"/>
          </w:tcPr>
          <w:p w14:paraId="4BC086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794" w:type="dxa"/>
            <w:shd w:val="clear" w:color="auto" w:fill="auto"/>
            <w:vAlign w:val="center"/>
          </w:tcPr>
          <w:p w14:paraId="45EE7D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3033E4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60AD67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7" w:type="dxa"/>
            <w:shd w:val="clear" w:color="auto" w:fill="auto"/>
            <w:vAlign w:val="center"/>
          </w:tcPr>
          <w:p w14:paraId="67D6CB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19A579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4D4DB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3DA4767E">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637495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794" w:type="dxa"/>
            <w:shd w:val="clear" w:color="auto" w:fill="auto"/>
            <w:vAlign w:val="center"/>
          </w:tcPr>
          <w:p w14:paraId="12C5B8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736FA3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17AF495A">
            <w:pPr>
              <w:jc w:val="center"/>
              <w:rPr>
                <w:rFonts w:hint="default" w:ascii="Times New Roman" w:hAnsi="Times New Roman" w:eastAsia="宋体" w:cs="Times New Roman"/>
                <w:i w:val="0"/>
                <w:iCs w:val="0"/>
                <w:color w:val="auto"/>
                <w:sz w:val="21"/>
                <w:szCs w:val="21"/>
                <w:u w:val="single" w:color="auto"/>
                <w:lang w:val="en-US" w:eastAsia="zh-CN"/>
              </w:rPr>
            </w:pPr>
          </w:p>
        </w:tc>
        <w:tc>
          <w:tcPr>
            <w:tcW w:w="1287" w:type="dxa"/>
            <w:shd w:val="clear" w:color="auto" w:fill="auto"/>
            <w:vAlign w:val="center"/>
          </w:tcPr>
          <w:p w14:paraId="577044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5A2BC0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5BCBD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7C6185CF">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6E66BE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794" w:type="dxa"/>
            <w:shd w:val="clear" w:color="auto" w:fill="auto"/>
            <w:vAlign w:val="center"/>
          </w:tcPr>
          <w:p w14:paraId="3AA4A2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78D306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051BE5A4">
            <w:pPr>
              <w:jc w:val="center"/>
              <w:rPr>
                <w:rFonts w:hint="default" w:ascii="Times New Roman" w:hAnsi="Times New Roman" w:eastAsia="宋体" w:cs="Times New Roman"/>
                <w:i w:val="0"/>
                <w:iCs w:val="0"/>
                <w:color w:val="auto"/>
                <w:sz w:val="21"/>
                <w:szCs w:val="21"/>
                <w:u w:val="single" w:color="auto"/>
                <w:lang w:val="en-US" w:eastAsia="zh-CN"/>
              </w:rPr>
            </w:pPr>
          </w:p>
        </w:tc>
        <w:tc>
          <w:tcPr>
            <w:tcW w:w="1287" w:type="dxa"/>
            <w:shd w:val="clear" w:color="auto" w:fill="auto"/>
            <w:vAlign w:val="center"/>
          </w:tcPr>
          <w:p w14:paraId="567A12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2919D9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1AC82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0867DCCD">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427F78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颗粒物</w:t>
            </w:r>
          </w:p>
        </w:tc>
        <w:tc>
          <w:tcPr>
            <w:tcW w:w="794" w:type="dxa"/>
            <w:shd w:val="clear" w:color="auto" w:fill="auto"/>
            <w:vAlign w:val="center"/>
          </w:tcPr>
          <w:p w14:paraId="4DCEC8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3F36D0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36A636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1287" w:type="dxa"/>
            <w:shd w:val="clear" w:color="auto" w:fill="auto"/>
            <w:vAlign w:val="center"/>
          </w:tcPr>
          <w:p w14:paraId="5117D1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5CCA9C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01039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restart"/>
            <w:shd w:val="clear" w:color="auto" w:fill="auto"/>
            <w:vAlign w:val="center"/>
          </w:tcPr>
          <w:p w14:paraId="0099C3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晾干</w:t>
            </w:r>
          </w:p>
        </w:tc>
        <w:tc>
          <w:tcPr>
            <w:tcW w:w="755" w:type="pct"/>
            <w:shd w:val="clear" w:color="auto" w:fill="auto"/>
            <w:vAlign w:val="center"/>
          </w:tcPr>
          <w:p w14:paraId="6D9419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794" w:type="dxa"/>
            <w:shd w:val="clear" w:color="auto" w:fill="auto"/>
            <w:vAlign w:val="center"/>
          </w:tcPr>
          <w:p w14:paraId="44BB0C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044B48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0D54E2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7" w:type="dxa"/>
            <w:shd w:val="clear" w:color="auto" w:fill="auto"/>
            <w:vAlign w:val="center"/>
          </w:tcPr>
          <w:p w14:paraId="631B65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3C4BBB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3BB7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2B6FF7A0">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013FED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794" w:type="dxa"/>
            <w:shd w:val="clear" w:color="auto" w:fill="auto"/>
            <w:vAlign w:val="center"/>
          </w:tcPr>
          <w:p w14:paraId="0C0E6C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4F666D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5474B2D7">
            <w:pPr>
              <w:jc w:val="center"/>
              <w:rPr>
                <w:rFonts w:hint="default" w:ascii="Times New Roman" w:hAnsi="Times New Roman" w:eastAsia="宋体" w:cs="Times New Roman"/>
                <w:i w:val="0"/>
                <w:iCs w:val="0"/>
                <w:color w:val="auto"/>
                <w:sz w:val="21"/>
                <w:szCs w:val="21"/>
                <w:u w:val="single" w:color="auto"/>
                <w:lang w:val="en-US" w:eastAsia="zh-CN"/>
              </w:rPr>
            </w:pPr>
          </w:p>
        </w:tc>
        <w:tc>
          <w:tcPr>
            <w:tcW w:w="1287" w:type="dxa"/>
            <w:shd w:val="clear" w:color="auto" w:fill="auto"/>
            <w:vAlign w:val="center"/>
          </w:tcPr>
          <w:p w14:paraId="5B00D7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474B6B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4745E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729A3F12">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59A01B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794" w:type="dxa"/>
            <w:shd w:val="clear" w:color="auto" w:fill="auto"/>
            <w:vAlign w:val="center"/>
          </w:tcPr>
          <w:p w14:paraId="35FCEC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2F195A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2583D85A">
            <w:pPr>
              <w:jc w:val="center"/>
              <w:rPr>
                <w:rFonts w:hint="default" w:ascii="Times New Roman" w:hAnsi="Times New Roman" w:eastAsia="宋体" w:cs="Times New Roman"/>
                <w:i w:val="0"/>
                <w:iCs w:val="0"/>
                <w:color w:val="auto"/>
                <w:sz w:val="21"/>
                <w:szCs w:val="21"/>
                <w:u w:val="single" w:color="auto"/>
                <w:lang w:val="en-US" w:eastAsia="zh-CN"/>
              </w:rPr>
            </w:pPr>
          </w:p>
        </w:tc>
        <w:tc>
          <w:tcPr>
            <w:tcW w:w="1287" w:type="dxa"/>
            <w:shd w:val="clear" w:color="auto" w:fill="auto"/>
            <w:vAlign w:val="center"/>
          </w:tcPr>
          <w:p w14:paraId="42EED7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63E5A2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7C3C7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restart"/>
            <w:shd w:val="clear" w:color="auto" w:fill="auto"/>
            <w:vAlign w:val="center"/>
          </w:tcPr>
          <w:p w14:paraId="1C8437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合计</w:t>
            </w:r>
          </w:p>
        </w:tc>
        <w:tc>
          <w:tcPr>
            <w:tcW w:w="755" w:type="pct"/>
            <w:shd w:val="clear" w:color="auto" w:fill="auto"/>
            <w:vAlign w:val="center"/>
          </w:tcPr>
          <w:p w14:paraId="23BB27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794" w:type="dxa"/>
            <w:shd w:val="clear" w:color="auto" w:fill="auto"/>
            <w:vAlign w:val="center"/>
          </w:tcPr>
          <w:p w14:paraId="168D88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423E8B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3C5E8F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7" w:type="dxa"/>
            <w:shd w:val="clear" w:color="auto" w:fill="auto"/>
            <w:vAlign w:val="center"/>
          </w:tcPr>
          <w:p w14:paraId="7516B9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4E5C35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65F65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67BA78B1">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1CF72D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794" w:type="dxa"/>
            <w:shd w:val="clear" w:color="auto" w:fill="auto"/>
            <w:vAlign w:val="center"/>
          </w:tcPr>
          <w:p w14:paraId="35E1F6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1D72E8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2D8486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7" w:type="dxa"/>
            <w:shd w:val="clear" w:color="auto" w:fill="auto"/>
            <w:vAlign w:val="center"/>
          </w:tcPr>
          <w:p w14:paraId="621A04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284B2D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25EE2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3C647D5F">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6CA43F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794" w:type="dxa"/>
            <w:shd w:val="clear" w:color="auto" w:fill="auto"/>
            <w:vAlign w:val="center"/>
          </w:tcPr>
          <w:p w14:paraId="391D7F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0D5EDD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46C1E564">
            <w:pPr>
              <w:jc w:val="center"/>
              <w:rPr>
                <w:rFonts w:hint="default" w:ascii="Times New Roman" w:hAnsi="Times New Roman" w:eastAsia="宋体" w:cs="Times New Roman"/>
                <w:i w:val="0"/>
                <w:iCs w:val="0"/>
                <w:color w:val="auto"/>
                <w:sz w:val="21"/>
                <w:szCs w:val="21"/>
                <w:u w:val="single" w:color="auto"/>
                <w:lang w:val="en-US" w:eastAsia="zh-CN"/>
              </w:rPr>
            </w:pPr>
          </w:p>
        </w:tc>
        <w:tc>
          <w:tcPr>
            <w:tcW w:w="1287" w:type="dxa"/>
            <w:shd w:val="clear" w:color="auto" w:fill="auto"/>
            <w:vAlign w:val="center"/>
          </w:tcPr>
          <w:p w14:paraId="58E717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6D835A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CF77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754" w:type="pct"/>
            <w:vMerge w:val="continue"/>
            <w:shd w:val="clear" w:color="auto" w:fill="auto"/>
            <w:vAlign w:val="center"/>
          </w:tcPr>
          <w:p w14:paraId="40B385BF">
            <w:pPr>
              <w:jc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2601D0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漆雾</w:t>
            </w:r>
          </w:p>
        </w:tc>
        <w:tc>
          <w:tcPr>
            <w:tcW w:w="794" w:type="dxa"/>
            <w:shd w:val="clear" w:color="auto" w:fill="auto"/>
            <w:vAlign w:val="center"/>
          </w:tcPr>
          <w:p w14:paraId="28A5DB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9" w:type="dxa"/>
            <w:shd w:val="clear" w:color="auto" w:fill="auto"/>
            <w:vAlign w:val="center"/>
          </w:tcPr>
          <w:p w14:paraId="33CC37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755" w:type="pct"/>
            <w:shd w:val="clear" w:color="auto" w:fill="auto"/>
            <w:vAlign w:val="center"/>
          </w:tcPr>
          <w:p w14:paraId="5955D3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87" w:type="dxa"/>
            <w:shd w:val="clear" w:color="auto" w:fill="auto"/>
            <w:vAlign w:val="center"/>
          </w:tcPr>
          <w:p w14:paraId="471B1C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1290" w:type="dxa"/>
            <w:shd w:val="clear" w:color="auto" w:fill="auto"/>
            <w:vAlign w:val="center"/>
          </w:tcPr>
          <w:p w14:paraId="2EBED7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bl>
    <w:p w14:paraId="77E7976C">
      <w:pPr>
        <w:ind w:firstLine="420" w:firstLineChars="200"/>
        <w:jc w:val="center"/>
        <w:rPr>
          <w:rFonts w:hint="eastAsia" w:ascii="Times New Roman" w:hAnsi="Times New Roman"/>
          <w:b/>
          <w:bCs/>
          <w:color w:val="auto"/>
          <w:szCs w:val="21"/>
          <w:u w:val="single" w:color="auto"/>
        </w:rPr>
      </w:pPr>
    </w:p>
    <w:p w14:paraId="5573165E">
      <w:pPr>
        <w:pStyle w:val="36"/>
        <w:rPr>
          <w:rFonts w:hint="eastAsia"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lang w:val="en-US" w:eastAsia="zh-CN"/>
        </w:rPr>
        <w:t>4、</w:t>
      </w:r>
      <w:r>
        <w:rPr>
          <w:rFonts w:hint="eastAsia" w:ascii="Times New Roman" w:hAnsi="Times New Roman" w:eastAsia="宋体" w:cs="Times New Roman"/>
          <w:color w:val="auto"/>
          <w:szCs w:val="24"/>
          <w:u w:val="single" w:color="auto"/>
        </w:rPr>
        <w:t>危废仓库废气G</w:t>
      </w:r>
      <w:r>
        <w:rPr>
          <w:rFonts w:hint="eastAsia" w:ascii="Times New Roman" w:hAnsi="Times New Roman" w:eastAsia="宋体" w:cs="Times New Roman"/>
          <w:color w:val="auto"/>
          <w:szCs w:val="24"/>
          <w:u w:val="single" w:color="auto"/>
          <w:lang w:val="en-US" w:eastAsia="zh-CN"/>
        </w:rPr>
        <w:t>6</w:t>
      </w:r>
    </w:p>
    <w:p w14:paraId="40B76C67">
      <w:pPr>
        <w:pStyle w:val="36"/>
        <w:snapToGrid w:val="0"/>
        <w:spacing w:after="0" w:line="360" w:lineRule="auto"/>
        <w:ind w:firstLine="476"/>
        <w:rPr>
          <w:rFonts w:hint="default" w:ascii="Times New Roman" w:hAnsi="Times New Roman" w:eastAsia="宋体" w:cs="Times New Roman"/>
          <w:color w:val="auto"/>
          <w:u w:val="single" w:color="auto"/>
        </w:rPr>
      </w:pPr>
      <w:r>
        <w:rPr>
          <w:rFonts w:hint="default" w:ascii="Times New Roman" w:hAnsi="Times New Roman" w:eastAsia="宋体" w:cs="Times New Roman"/>
          <w:color w:val="auto"/>
          <w:szCs w:val="24"/>
          <w:u w:val="single" w:color="auto"/>
        </w:rPr>
        <w:t>本项目危废</w:t>
      </w:r>
      <w:r>
        <w:rPr>
          <w:rFonts w:hint="default" w:ascii="Times New Roman" w:hAnsi="Times New Roman" w:eastAsia="宋体" w:cs="Times New Roman"/>
          <w:color w:val="auto"/>
          <w:szCs w:val="24"/>
          <w:u w:val="single" w:color="auto"/>
          <w:lang w:eastAsia="zh-CN"/>
        </w:rPr>
        <w:t>暂存间</w:t>
      </w:r>
      <w:r>
        <w:rPr>
          <w:rFonts w:hint="default" w:ascii="Times New Roman" w:hAnsi="Times New Roman" w:eastAsia="宋体" w:cs="Times New Roman"/>
          <w:color w:val="auto"/>
          <w:szCs w:val="24"/>
          <w:u w:val="single" w:color="auto"/>
        </w:rPr>
        <w:t>主要贮存生产、原料使用、废气处理过程中产生的废清洗剂、废包装桶、漆渣、废过滤棉、废沸石、废活性炭、废劳保用品等，贮存过程中均会挥发出少量有机废气。</w:t>
      </w:r>
      <w:r>
        <w:rPr>
          <w:rFonts w:hint="default" w:ascii="Times New Roman" w:hAnsi="Times New Roman" w:eastAsia="宋体" w:cs="Times New Roman"/>
          <w:color w:val="auto"/>
          <w:u w:val="single" w:color="auto"/>
        </w:rPr>
        <w:t>类比项目为惠州市科丽能环保科技有限公司危险废物收集中转项目，类比可行性如下表所示。</w:t>
      </w:r>
    </w:p>
    <w:p w14:paraId="42398318">
      <w:pPr>
        <w:snapToGrid w:val="0"/>
        <w:spacing w:before="156" w:beforeLines="50"/>
        <w:jc w:val="center"/>
        <w:rPr>
          <w:rFonts w:hint="default" w:ascii="Times New Roman" w:hAnsi="Times New Roman" w:eastAsia="宋体" w:cs="Times New Roman"/>
          <w:b/>
          <w:bCs/>
          <w:color w:val="auto"/>
          <w:sz w:val="24"/>
          <w:szCs w:val="24"/>
          <w:u w:val="single" w:color="auto"/>
          <w:lang w:val="en-US" w:eastAsia="zh-CN"/>
        </w:rPr>
      </w:pPr>
      <w:r>
        <w:rPr>
          <w:rFonts w:hint="default" w:ascii="Times New Roman" w:hAnsi="Times New Roman" w:eastAsia="宋体" w:cs="Times New Roman"/>
          <w:b/>
          <w:bCs/>
          <w:color w:val="auto"/>
          <w:sz w:val="24"/>
          <w:szCs w:val="24"/>
          <w:u w:val="single" w:color="auto"/>
          <w:lang w:val="en-US" w:eastAsia="zh-CN"/>
        </w:rPr>
        <w:t>表</w:t>
      </w:r>
      <w:r>
        <w:rPr>
          <w:rFonts w:hint="eastAsia" w:ascii="Times New Roman" w:hAnsi="Times New Roman" w:eastAsia="宋体" w:cs="Times New Roman"/>
          <w:b/>
          <w:bCs/>
          <w:color w:val="auto"/>
          <w:sz w:val="24"/>
          <w:szCs w:val="24"/>
          <w:u w:val="single" w:color="auto"/>
          <w:lang w:val="en-US" w:eastAsia="zh-CN"/>
        </w:rPr>
        <w:t>2.3-10</w:t>
      </w:r>
      <w:r>
        <w:rPr>
          <w:rFonts w:hint="default" w:ascii="Times New Roman" w:hAnsi="Times New Roman" w:eastAsia="宋体" w:cs="Times New Roman"/>
          <w:b/>
          <w:bCs/>
          <w:color w:val="auto"/>
          <w:sz w:val="24"/>
          <w:szCs w:val="24"/>
          <w:u w:val="single" w:color="auto"/>
          <w:lang w:val="en-US" w:eastAsia="zh-CN"/>
        </w:rPr>
        <w:t xml:space="preserve">  可类比性分析</w:t>
      </w:r>
    </w:p>
    <w:tbl>
      <w:tblPr>
        <w:tblStyle w:val="37"/>
        <w:tblW w:w="5000" w:type="pct"/>
        <w:tblInd w:w="0" w:type="dxa"/>
        <w:tblLayout w:type="autofit"/>
        <w:tblCellMar>
          <w:top w:w="0" w:type="dxa"/>
          <w:left w:w="108" w:type="dxa"/>
          <w:bottom w:w="0" w:type="dxa"/>
          <w:right w:w="108" w:type="dxa"/>
        </w:tblCellMar>
      </w:tblPr>
      <w:tblGrid>
        <w:gridCol w:w="2050"/>
        <w:gridCol w:w="2993"/>
        <w:gridCol w:w="1488"/>
        <w:gridCol w:w="1991"/>
      </w:tblGrid>
      <w:tr w14:paraId="18E73861">
        <w:tblPrEx>
          <w:tblCellMar>
            <w:top w:w="0" w:type="dxa"/>
            <w:left w:w="108" w:type="dxa"/>
            <w:bottom w:w="0" w:type="dxa"/>
            <w:right w:w="108" w:type="dxa"/>
          </w:tblCellMar>
        </w:tblPrEx>
        <w:trPr>
          <w:trHeight w:val="288" w:hRule="atLeast"/>
          <w:tblHeader/>
        </w:trPr>
        <w:tc>
          <w:tcPr>
            <w:tcW w:w="1203" w:type="pct"/>
            <w:tcBorders>
              <w:top w:val="single" w:color="auto" w:sz="4" w:space="0"/>
              <w:left w:val="single" w:color="auto" w:sz="4" w:space="0"/>
              <w:bottom w:val="single" w:color="auto" w:sz="4" w:space="0"/>
              <w:right w:val="single" w:color="auto" w:sz="4" w:space="0"/>
            </w:tcBorders>
            <w:noWrap w:val="0"/>
            <w:vAlign w:val="center"/>
          </w:tcPr>
          <w:p w14:paraId="0F8E23E8">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项目</w:t>
            </w:r>
          </w:p>
        </w:tc>
        <w:tc>
          <w:tcPr>
            <w:tcW w:w="1756" w:type="pct"/>
            <w:tcBorders>
              <w:top w:val="single" w:color="auto" w:sz="4" w:space="0"/>
              <w:left w:val="nil"/>
              <w:bottom w:val="single" w:color="auto" w:sz="4" w:space="0"/>
              <w:right w:val="single" w:color="auto" w:sz="4" w:space="0"/>
            </w:tcBorders>
            <w:noWrap w:val="0"/>
            <w:vAlign w:val="center"/>
          </w:tcPr>
          <w:p w14:paraId="2762FEB0">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危废种类</w:t>
            </w:r>
          </w:p>
        </w:tc>
        <w:tc>
          <w:tcPr>
            <w:tcW w:w="873" w:type="pct"/>
            <w:tcBorders>
              <w:top w:val="single" w:color="auto" w:sz="4" w:space="0"/>
              <w:left w:val="nil"/>
              <w:bottom w:val="single" w:color="auto" w:sz="4" w:space="0"/>
              <w:right w:val="single" w:color="auto" w:sz="4" w:space="0"/>
            </w:tcBorders>
            <w:noWrap w:val="0"/>
            <w:vAlign w:val="center"/>
          </w:tcPr>
          <w:p w14:paraId="08962F31">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包装形式</w:t>
            </w:r>
          </w:p>
        </w:tc>
        <w:tc>
          <w:tcPr>
            <w:tcW w:w="1168" w:type="pct"/>
            <w:tcBorders>
              <w:top w:val="single" w:color="auto" w:sz="4" w:space="0"/>
              <w:left w:val="nil"/>
              <w:bottom w:val="single" w:color="auto" w:sz="4" w:space="0"/>
              <w:right w:val="single" w:color="auto" w:sz="4" w:space="0"/>
            </w:tcBorders>
            <w:noWrap w:val="0"/>
            <w:vAlign w:val="center"/>
          </w:tcPr>
          <w:p w14:paraId="56545DD0">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储存环境</w:t>
            </w:r>
          </w:p>
        </w:tc>
      </w:tr>
      <w:tr w14:paraId="4FC7283F">
        <w:tblPrEx>
          <w:tblCellMar>
            <w:top w:w="0" w:type="dxa"/>
            <w:left w:w="108" w:type="dxa"/>
            <w:bottom w:w="0" w:type="dxa"/>
            <w:right w:w="108" w:type="dxa"/>
          </w:tblCellMar>
        </w:tblPrEx>
        <w:trPr>
          <w:trHeight w:val="1140" w:hRule="atLeast"/>
        </w:trPr>
        <w:tc>
          <w:tcPr>
            <w:tcW w:w="1203" w:type="pct"/>
            <w:tcBorders>
              <w:top w:val="nil"/>
              <w:left w:val="single" w:color="auto" w:sz="4" w:space="0"/>
              <w:bottom w:val="single" w:color="auto" w:sz="4" w:space="0"/>
              <w:right w:val="single" w:color="auto" w:sz="4" w:space="0"/>
            </w:tcBorders>
            <w:noWrap w:val="0"/>
            <w:vAlign w:val="center"/>
          </w:tcPr>
          <w:p w14:paraId="2611703C">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惠州市科丽能环保科技有限公司危险废物收集中转项目</w:t>
            </w:r>
          </w:p>
        </w:tc>
        <w:tc>
          <w:tcPr>
            <w:tcW w:w="1756" w:type="pct"/>
            <w:tcBorders>
              <w:top w:val="nil"/>
              <w:left w:val="nil"/>
              <w:bottom w:val="single" w:color="auto" w:sz="4" w:space="0"/>
              <w:right w:val="single" w:color="auto" w:sz="4" w:space="0"/>
            </w:tcBorders>
            <w:noWrap w:val="0"/>
            <w:vAlign w:val="center"/>
          </w:tcPr>
          <w:p w14:paraId="61DC305C">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HW12、HW16、HW17、HW49、HW13、HW08、HW29、HW09、HW35、HW11</w:t>
            </w:r>
          </w:p>
        </w:tc>
        <w:tc>
          <w:tcPr>
            <w:tcW w:w="873" w:type="pct"/>
            <w:tcBorders>
              <w:top w:val="nil"/>
              <w:left w:val="nil"/>
              <w:bottom w:val="single" w:color="auto" w:sz="4" w:space="0"/>
              <w:right w:val="single" w:color="auto" w:sz="4" w:space="0"/>
            </w:tcBorders>
            <w:noWrap w:val="0"/>
            <w:vAlign w:val="center"/>
          </w:tcPr>
          <w:p w14:paraId="3EF91308">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会产生气体的均为密封包装</w:t>
            </w:r>
          </w:p>
        </w:tc>
        <w:tc>
          <w:tcPr>
            <w:tcW w:w="1168" w:type="pct"/>
            <w:tcBorders>
              <w:top w:val="nil"/>
              <w:left w:val="nil"/>
              <w:bottom w:val="single" w:color="auto" w:sz="4" w:space="0"/>
              <w:right w:val="single" w:color="auto" w:sz="4" w:space="0"/>
            </w:tcBorders>
            <w:noWrap w:val="0"/>
            <w:vAlign w:val="center"/>
          </w:tcPr>
          <w:p w14:paraId="307611E1">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常温+整体换气的形式收集废气</w:t>
            </w:r>
          </w:p>
        </w:tc>
      </w:tr>
      <w:tr w14:paraId="027015C3">
        <w:tblPrEx>
          <w:tblCellMar>
            <w:top w:w="0" w:type="dxa"/>
            <w:left w:w="108" w:type="dxa"/>
            <w:bottom w:w="0" w:type="dxa"/>
            <w:right w:w="108" w:type="dxa"/>
          </w:tblCellMar>
        </w:tblPrEx>
        <w:trPr>
          <w:trHeight w:val="288" w:hRule="atLeast"/>
        </w:trPr>
        <w:tc>
          <w:tcPr>
            <w:tcW w:w="1203" w:type="pct"/>
            <w:tcBorders>
              <w:top w:val="nil"/>
              <w:left w:val="single" w:color="auto" w:sz="4" w:space="0"/>
              <w:bottom w:val="single" w:color="auto" w:sz="4" w:space="0"/>
              <w:right w:val="single" w:color="auto" w:sz="4" w:space="0"/>
            </w:tcBorders>
            <w:noWrap w:val="0"/>
            <w:vAlign w:val="center"/>
          </w:tcPr>
          <w:p w14:paraId="6234AC08">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本项目</w:t>
            </w:r>
          </w:p>
        </w:tc>
        <w:tc>
          <w:tcPr>
            <w:tcW w:w="1756" w:type="pct"/>
            <w:tcBorders>
              <w:top w:val="nil"/>
              <w:left w:val="nil"/>
              <w:bottom w:val="single" w:color="auto" w:sz="4" w:space="0"/>
              <w:right w:val="single" w:color="auto" w:sz="4" w:space="0"/>
            </w:tcBorders>
            <w:noWrap w:val="0"/>
            <w:vAlign w:val="center"/>
          </w:tcPr>
          <w:p w14:paraId="6EAAFDA8">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HW</w:t>
            </w:r>
            <w:r>
              <w:rPr>
                <w:rFonts w:hint="default" w:ascii="Times New Roman" w:hAnsi="Times New Roman" w:eastAsia="宋体" w:cs="Times New Roman"/>
                <w:color w:val="auto"/>
                <w:sz w:val="22"/>
                <w:szCs w:val="22"/>
                <w:u w:val="single" w:color="auto"/>
                <w:lang w:val="en-US" w:eastAsia="zh-CN"/>
              </w:rPr>
              <w:t>06</w:t>
            </w:r>
            <w:r>
              <w:rPr>
                <w:rFonts w:hint="default" w:ascii="Times New Roman" w:hAnsi="Times New Roman" w:eastAsia="宋体" w:cs="Times New Roman"/>
                <w:color w:val="auto"/>
                <w:sz w:val="22"/>
                <w:szCs w:val="22"/>
                <w:u w:val="single" w:color="auto"/>
              </w:rPr>
              <w:t>、HW08</w:t>
            </w:r>
            <w:r>
              <w:rPr>
                <w:rFonts w:hint="default" w:ascii="Times New Roman" w:hAnsi="Times New Roman" w:eastAsia="宋体" w:cs="Times New Roman"/>
                <w:color w:val="auto"/>
                <w:sz w:val="22"/>
                <w:szCs w:val="22"/>
                <w:u w:val="single" w:color="auto"/>
                <w:lang w:eastAsia="zh-CN"/>
              </w:rPr>
              <w:t>、</w:t>
            </w:r>
            <w:r>
              <w:rPr>
                <w:rFonts w:hint="default" w:ascii="Times New Roman" w:hAnsi="Times New Roman" w:eastAsia="宋体" w:cs="Times New Roman"/>
                <w:color w:val="auto"/>
                <w:sz w:val="22"/>
                <w:szCs w:val="22"/>
                <w:u w:val="single" w:color="auto"/>
              </w:rPr>
              <w:t>HW12、HW49</w:t>
            </w:r>
          </w:p>
        </w:tc>
        <w:tc>
          <w:tcPr>
            <w:tcW w:w="873" w:type="pct"/>
            <w:tcBorders>
              <w:top w:val="nil"/>
              <w:left w:val="nil"/>
              <w:bottom w:val="single" w:color="auto" w:sz="4" w:space="0"/>
              <w:right w:val="single" w:color="auto" w:sz="4" w:space="0"/>
            </w:tcBorders>
            <w:noWrap w:val="0"/>
            <w:vAlign w:val="center"/>
          </w:tcPr>
          <w:p w14:paraId="0FAD7E39">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密封包装</w:t>
            </w:r>
          </w:p>
        </w:tc>
        <w:tc>
          <w:tcPr>
            <w:tcW w:w="1168" w:type="pct"/>
            <w:tcBorders>
              <w:top w:val="nil"/>
              <w:left w:val="nil"/>
              <w:bottom w:val="single" w:color="auto" w:sz="4" w:space="0"/>
              <w:right w:val="single" w:color="auto" w:sz="4" w:space="0"/>
            </w:tcBorders>
            <w:noWrap w:val="0"/>
            <w:vAlign w:val="center"/>
          </w:tcPr>
          <w:p w14:paraId="3561CB37">
            <w:pPr>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常温+整体换气的形式收集废气</w:t>
            </w:r>
          </w:p>
        </w:tc>
      </w:tr>
    </w:tbl>
    <w:p w14:paraId="6F2F5EF1">
      <w:pPr>
        <w:snapToGrid w:val="0"/>
        <w:spacing w:line="360" w:lineRule="auto"/>
        <w:ind w:firstLine="480" w:firstLineChars="200"/>
        <w:jc w:val="left"/>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综上，DA002和涂装车间排放情况</w:t>
      </w:r>
      <w:r>
        <w:rPr>
          <w:rFonts w:ascii="Times New Roman" w:hAnsi="Times New Roman" w:eastAsia="宋体" w:cs="Times New Roman"/>
          <w:color w:val="auto"/>
          <w:sz w:val="24"/>
          <w:szCs w:val="24"/>
          <w:u w:val="single" w:color="auto"/>
        </w:rPr>
        <w:t>见表2.3-1</w:t>
      </w:r>
      <w:r>
        <w:rPr>
          <w:rFonts w:hint="eastAsia" w:ascii="Times New Roman" w:hAnsi="Times New Roman" w:eastAsia="宋体" w:cs="Times New Roman"/>
          <w:color w:val="auto"/>
          <w:sz w:val="24"/>
          <w:szCs w:val="24"/>
          <w:u w:val="single" w:color="auto"/>
          <w:lang w:val="en-US" w:eastAsia="zh-CN"/>
        </w:rPr>
        <w:t>1</w:t>
      </w:r>
      <w:r>
        <w:rPr>
          <w:rFonts w:ascii="Times New Roman" w:hAnsi="Times New Roman" w:eastAsia="宋体" w:cs="Times New Roman"/>
          <w:color w:val="auto"/>
          <w:sz w:val="24"/>
          <w:szCs w:val="24"/>
          <w:u w:val="single" w:color="auto"/>
        </w:rPr>
        <w:t>。</w:t>
      </w:r>
    </w:p>
    <w:p w14:paraId="68A3FF6E">
      <w:pPr>
        <w:snapToGrid w:val="0"/>
        <w:spacing w:before="156" w:beforeLines="50"/>
        <w:jc w:val="center"/>
        <w:rPr>
          <w:rFonts w:hint="eastAsia" w:ascii="Times New Roman" w:hAnsi="Times New Roman" w:eastAsia="宋体" w:cs="Times New Roman"/>
          <w:b/>
          <w:bCs/>
          <w:color w:val="auto"/>
          <w:sz w:val="24"/>
          <w:szCs w:val="24"/>
          <w:u w:val="single" w:color="auto"/>
        </w:rPr>
      </w:pPr>
      <w:r>
        <w:rPr>
          <w:rFonts w:hint="eastAsia" w:ascii="Times New Roman" w:hAnsi="Times New Roman" w:eastAsia="宋体" w:cs="Times New Roman"/>
          <w:b/>
          <w:bCs/>
          <w:color w:val="auto"/>
          <w:sz w:val="24"/>
          <w:szCs w:val="24"/>
          <w:u w:val="single" w:color="auto"/>
        </w:rPr>
        <w:t>表2.3-1</w:t>
      </w:r>
      <w:r>
        <w:rPr>
          <w:rFonts w:hint="eastAsia" w:ascii="Times New Roman" w:hAnsi="Times New Roman" w:eastAsia="宋体" w:cs="Times New Roman"/>
          <w:b/>
          <w:bCs/>
          <w:color w:val="auto"/>
          <w:sz w:val="24"/>
          <w:szCs w:val="24"/>
          <w:u w:val="single" w:color="auto"/>
          <w:lang w:val="en-US" w:eastAsia="zh-CN"/>
        </w:rPr>
        <w:t>1</w:t>
      </w:r>
      <w:r>
        <w:rPr>
          <w:rFonts w:hint="eastAsia" w:ascii="Times New Roman" w:hAnsi="Times New Roman" w:eastAsia="宋体" w:cs="Times New Roman"/>
          <w:b/>
          <w:bCs/>
          <w:color w:val="auto"/>
          <w:sz w:val="24"/>
          <w:szCs w:val="24"/>
          <w:u w:val="single" w:color="auto"/>
        </w:rPr>
        <w:t xml:space="preserve"> </w:t>
      </w:r>
      <w:r>
        <w:rPr>
          <w:rFonts w:hint="eastAsia" w:ascii="Times New Roman" w:hAnsi="Times New Roman" w:eastAsia="宋体" w:cs="Times New Roman"/>
          <w:b/>
          <w:bCs/>
          <w:color w:val="auto"/>
          <w:sz w:val="24"/>
          <w:szCs w:val="24"/>
          <w:u w:val="single" w:color="auto"/>
          <w:lang w:eastAsia="zh-CN"/>
        </w:rPr>
        <w:t>涂装车间</w:t>
      </w:r>
      <w:r>
        <w:rPr>
          <w:rFonts w:hint="eastAsia" w:ascii="Times New Roman" w:hAnsi="Times New Roman" w:eastAsia="宋体" w:cs="Times New Roman"/>
          <w:b/>
          <w:bCs/>
          <w:color w:val="auto"/>
          <w:sz w:val="24"/>
          <w:szCs w:val="24"/>
          <w:u w:val="single" w:color="auto"/>
        </w:rPr>
        <w:t>废气排放情况详见下表</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4"/>
        <w:gridCol w:w="2534"/>
        <w:gridCol w:w="2013"/>
        <w:gridCol w:w="2079"/>
      </w:tblGrid>
      <w:tr w14:paraId="767C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8" w:type="pct"/>
            <w:gridSpan w:val="2"/>
            <w:vAlign w:val="center"/>
          </w:tcPr>
          <w:p w14:paraId="00F38C7C">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污染物</w:t>
            </w:r>
          </w:p>
        </w:tc>
        <w:tc>
          <w:tcPr>
            <w:tcW w:w="2401" w:type="pct"/>
            <w:gridSpan w:val="2"/>
            <w:vAlign w:val="center"/>
          </w:tcPr>
          <w:p w14:paraId="55E3874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排放情况</w:t>
            </w:r>
          </w:p>
        </w:tc>
      </w:tr>
      <w:tr w14:paraId="1B648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restart"/>
            <w:vAlign w:val="center"/>
          </w:tcPr>
          <w:p w14:paraId="66D0A01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DA002</w:t>
            </w:r>
          </w:p>
        </w:tc>
        <w:tc>
          <w:tcPr>
            <w:tcW w:w="1486" w:type="pct"/>
            <w:vAlign w:val="center"/>
          </w:tcPr>
          <w:p w14:paraId="3EE1432C">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污染因子</w:t>
            </w:r>
          </w:p>
        </w:tc>
        <w:tc>
          <w:tcPr>
            <w:tcW w:w="2013" w:type="dxa"/>
            <w:vAlign w:val="center"/>
          </w:tcPr>
          <w:p w14:paraId="3DAEE72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排放速率(kg/h)</w:t>
            </w:r>
          </w:p>
        </w:tc>
        <w:tc>
          <w:tcPr>
            <w:tcW w:w="2079" w:type="dxa"/>
            <w:vAlign w:val="center"/>
          </w:tcPr>
          <w:p w14:paraId="2E73973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排放量(t/a)</w:t>
            </w:r>
          </w:p>
        </w:tc>
      </w:tr>
      <w:tr w14:paraId="3F97F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37E91521">
            <w:pPr>
              <w:snapToGrid w:val="0"/>
              <w:jc w:val="center"/>
              <w:rPr>
                <w:rFonts w:ascii="Times New Roman" w:hAnsi="Times New Roman" w:eastAsia="宋体" w:cs="Times New Roman"/>
                <w:color w:val="auto"/>
                <w:szCs w:val="21"/>
                <w:u w:val="single" w:color="auto"/>
              </w:rPr>
            </w:pPr>
          </w:p>
        </w:tc>
        <w:tc>
          <w:tcPr>
            <w:tcW w:w="2534" w:type="dxa"/>
            <w:vAlign w:val="center"/>
          </w:tcPr>
          <w:p w14:paraId="1D151D7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2013" w:type="dxa"/>
            <w:vAlign w:val="center"/>
          </w:tcPr>
          <w:p w14:paraId="6182F698">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2079" w:type="dxa"/>
            <w:vAlign w:val="center"/>
          </w:tcPr>
          <w:p w14:paraId="7D9B0C24">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778BC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1DEA2055">
            <w:pPr>
              <w:snapToGrid w:val="0"/>
              <w:jc w:val="center"/>
              <w:rPr>
                <w:rFonts w:ascii="Times New Roman" w:hAnsi="Times New Roman" w:eastAsia="宋体" w:cs="Times New Roman"/>
                <w:color w:val="auto"/>
                <w:szCs w:val="21"/>
                <w:u w:val="single" w:color="auto"/>
              </w:rPr>
            </w:pPr>
          </w:p>
        </w:tc>
        <w:tc>
          <w:tcPr>
            <w:tcW w:w="2534" w:type="dxa"/>
            <w:vAlign w:val="center"/>
          </w:tcPr>
          <w:p w14:paraId="08217420">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2013" w:type="dxa"/>
            <w:vAlign w:val="center"/>
          </w:tcPr>
          <w:p w14:paraId="2A64E416">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2079" w:type="dxa"/>
            <w:vAlign w:val="center"/>
          </w:tcPr>
          <w:p w14:paraId="3C55A72B">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2D519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171B9933">
            <w:pPr>
              <w:snapToGrid w:val="0"/>
              <w:jc w:val="center"/>
              <w:rPr>
                <w:rFonts w:ascii="Times New Roman" w:hAnsi="Times New Roman" w:eastAsia="宋体" w:cs="Times New Roman"/>
                <w:color w:val="auto"/>
                <w:szCs w:val="21"/>
                <w:u w:val="single" w:color="auto"/>
              </w:rPr>
            </w:pPr>
          </w:p>
        </w:tc>
        <w:tc>
          <w:tcPr>
            <w:tcW w:w="2534" w:type="dxa"/>
            <w:vAlign w:val="center"/>
          </w:tcPr>
          <w:p w14:paraId="206D87E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2013" w:type="dxa"/>
            <w:vAlign w:val="center"/>
          </w:tcPr>
          <w:p w14:paraId="382F11C2">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c>
          <w:tcPr>
            <w:tcW w:w="2079" w:type="dxa"/>
            <w:vAlign w:val="center"/>
          </w:tcPr>
          <w:p w14:paraId="20E4B67C">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4A8AB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70133A4A">
            <w:pPr>
              <w:snapToGrid w:val="0"/>
              <w:jc w:val="center"/>
              <w:rPr>
                <w:rFonts w:ascii="Times New Roman" w:hAnsi="Times New Roman" w:eastAsia="宋体" w:cs="Times New Roman"/>
                <w:color w:val="auto"/>
                <w:szCs w:val="21"/>
                <w:u w:val="single" w:color="auto"/>
              </w:rPr>
            </w:pPr>
          </w:p>
        </w:tc>
        <w:tc>
          <w:tcPr>
            <w:tcW w:w="2534" w:type="dxa"/>
            <w:vAlign w:val="center"/>
          </w:tcPr>
          <w:p w14:paraId="7CB6919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i w:val="0"/>
                <w:iCs w:val="0"/>
                <w:color w:val="auto"/>
                <w:kern w:val="0"/>
                <w:sz w:val="21"/>
                <w:szCs w:val="21"/>
                <w:u w:val="single" w:color="auto"/>
                <w:lang w:val="en-US" w:eastAsia="zh-CN" w:bidi="ar"/>
              </w:rPr>
              <w:t>漆雾</w:t>
            </w:r>
          </w:p>
        </w:tc>
        <w:tc>
          <w:tcPr>
            <w:tcW w:w="2013" w:type="dxa"/>
            <w:vAlign w:val="center"/>
          </w:tcPr>
          <w:p w14:paraId="10F4E9DF">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2079" w:type="dxa"/>
            <w:vAlign w:val="center"/>
          </w:tcPr>
          <w:p w14:paraId="7CFB7CBC">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06053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restart"/>
            <w:vAlign w:val="center"/>
          </w:tcPr>
          <w:p w14:paraId="5DE5E135">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涂装车间</w:t>
            </w:r>
            <w:r>
              <w:rPr>
                <w:rFonts w:ascii="Times New Roman" w:hAnsi="Times New Roman" w:eastAsia="宋体" w:cs="Times New Roman"/>
                <w:color w:val="auto"/>
                <w:szCs w:val="21"/>
                <w:u w:val="single" w:color="auto"/>
              </w:rPr>
              <w:t>（无组织）</w:t>
            </w:r>
          </w:p>
        </w:tc>
        <w:tc>
          <w:tcPr>
            <w:tcW w:w="2534" w:type="dxa"/>
            <w:vAlign w:val="center"/>
          </w:tcPr>
          <w:p w14:paraId="42982533">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2013" w:type="dxa"/>
            <w:vAlign w:val="center"/>
          </w:tcPr>
          <w:p w14:paraId="05D01498">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2079" w:type="dxa"/>
            <w:vAlign w:val="center"/>
          </w:tcPr>
          <w:p w14:paraId="2E0DED94">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05158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27E95CC1">
            <w:pPr>
              <w:snapToGrid w:val="0"/>
              <w:jc w:val="center"/>
              <w:rPr>
                <w:rFonts w:ascii="Times New Roman" w:hAnsi="Times New Roman" w:eastAsia="宋体" w:cs="Times New Roman"/>
                <w:color w:val="auto"/>
                <w:szCs w:val="21"/>
                <w:u w:val="single" w:color="auto"/>
              </w:rPr>
            </w:pPr>
          </w:p>
        </w:tc>
        <w:tc>
          <w:tcPr>
            <w:tcW w:w="2534" w:type="dxa"/>
            <w:vAlign w:val="center"/>
          </w:tcPr>
          <w:p w14:paraId="0C3244E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2013" w:type="dxa"/>
            <w:vAlign w:val="center"/>
          </w:tcPr>
          <w:p w14:paraId="6CB892AD">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c>
          <w:tcPr>
            <w:tcW w:w="2079" w:type="dxa"/>
            <w:vAlign w:val="center"/>
          </w:tcPr>
          <w:p w14:paraId="0656CEEF">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3DE7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00EF3118">
            <w:pPr>
              <w:snapToGrid w:val="0"/>
              <w:jc w:val="center"/>
              <w:rPr>
                <w:rFonts w:ascii="Times New Roman" w:hAnsi="Times New Roman" w:eastAsia="宋体" w:cs="Times New Roman"/>
                <w:color w:val="auto"/>
                <w:szCs w:val="21"/>
                <w:u w:val="single" w:color="auto"/>
              </w:rPr>
            </w:pPr>
          </w:p>
        </w:tc>
        <w:tc>
          <w:tcPr>
            <w:tcW w:w="2534" w:type="dxa"/>
            <w:vAlign w:val="center"/>
          </w:tcPr>
          <w:p w14:paraId="7A446C6F">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2013" w:type="dxa"/>
            <w:vAlign w:val="center"/>
          </w:tcPr>
          <w:p w14:paraId="52AECF33">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c>
          <w:tcPr>
            <w:tcW w:w="2079" w:type="dxa"/>
            <w:vAlign w:val="center"/>
          </w:tcPr>
          <w:p w14:paraId="5FF098A3">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r w14:paraId="404A2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1" w:type="pct"/>
            <w:vMerge w:val="continue"/>
            <w:vAlign w:val="center"/>
          </w:tcPr>
          <w:p w14:paraId="4D9DABF0">
            <w:pPr>
              <w:snapToGrid w:val="0"/>
              <w:jc w:val="center"/>
              <w:rPr>
                <w:rFonts w:ascii="Times New Roman" w:hAnsi="Times New Roman" w:eastAsia="宋体" w:cs="Times New Roman"/>
                <w:color w:val="auto"/>
                <w:szCs w:val="21"/>
                <w:u w:val="single" w:color="auto"/>
              </w:rPr>
            </w:pPr>
          </w:p>
        </w:tc>
        <w:tc>
          <w:tcPr>
            <w:tcW w:w="2534" w:type="dxa"/>
            <w:vAlign w:val="center"/>
          </w:tcPr>
          <w:p w14:paraId="51A0895F">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i w:val="0"/>
                <w:iCs w:val="0"/>
                <w:color w:val="auto"/>
                <w:kern w:val="0"/>
                <w:sz w:val="21"/>
                <w:szCs w:val="21"/>
                <w:u w:val="single" w:color="auto"/>
                <w:lang w:val="en-US" w:eastAsia="zh-CN" w:bidi="ar"/>
              </w:rPr>
              <w:t>漆雾</w:t>
            </w:r>
          </w:p>
        </w:tc>
        <w:tc>
          <w:tcPr>
            <w:tcW w:w="2013" w:type="dxa"/>
            <w:vAlign w:val="center"/>
          </w:tcPr>
          <w:p w14:paraId="6E999BA4">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c>
          <w:tcPr>
            <w:tcW w:w="2079" w:type="dxa"/>
            <w:vAlign w:val="center"/>
          </w:tcPr>
          <w:p w14:paraId="686216FC">
            <w:pPr>
              <w:keepNext w:val="0"/>
              <w:keepLines w:val="0"/>
              <w:widowControl/>
              <w:suppressLineNumbers w:val="0"/>
              <w:jc w:val="center"/>
              <w:textAlignment w:val="center"/>
              <w:rPr>
                <w:rFonts w:ascii="Times New Roman" w:hAnsi="Times New Roman" w:eastAsia="宋体" w:cs="Times New Roman"/>
                <w:color w:val="auto"/>
                <w:szCs w:val="21"/>
                <w:u w:val="single" w:color="auto"/>
              </w:rPr>
            </w:pPr>
          </w:p>
        </w:tc>
      </w:tr>
    </w:tbl>
    <w:p w14:paraId="59EAE7C9">
      <w:pPr>
        <w:pStyle w:val="36"/>
        <w:snapToGrid w:val="0"/>
        <w:spacing w:after="0" w:line="360" w:lineRule="auto"/>
        <w:ind w:firstLine="476"/>
        <w:rPr>
          <w:rFonts w:hint="default" w:ascii="Times New Roman" w:hAnsi="Times New Roman" w:eastAsia="宋体" w:cs="Times New Roman"/>
          <w:color w:val="auto"/>
          <w:szCs w:val="24"/>
          <w:u w:val="none" w:color="auto"/>
          <w:lang w:val="en-US" w:eastAsia="zh-CN"/>
        </w:rPr>
      </w:pPr>
    </w:p>
    <w:p w14:paraId="11E37725">
      <w:pPr>
        <w:pStyle w:val="36"/>
        <w:rPr>
          <w:rFonts w:hint="eastAsia" w:ascii="Times New Roman" w:hAnsi="Times New Roman" w:eastAsia="宋体" w:cs="Times New Roman"/>
          <w:color w:val="auto"/>
          <w:szCs w:val="24"/>
          <w:u w:val="none" w:color="auto"/>
          <w:lang w:eastAsia="zh-CN"/>
        </w:rPr>
      </w:pPr>
      <w:r>
        <w:rPr>
          <w:rFonts w:hint="eastAsia" w:ascii="Times New Roman" w:hAnsi="Times New Roman" w:eastAsia="宋体" w:cs="Times New Roman"/>
          <w:color w:val="auto"/>
          <w:szCs w:val="24"/>
          <w:u w:val="none" w:color="auto"/>
          <w:lang w:val="en-US" w:eastAsia="zh-CN"/>
        </w:rPr>
        <w:t>6</w:t>
      </w:r>
      <w:r>
        <w:rPr>
          <w:rFonts w:hint="eastAsia" w:ascii="Times New Roman" w:hAnsi="Times New Roman" w:eastAsia="宋体" w:cs="Times New Roman"/>
          <w:color w:val="auto"/>
          <w:szCs w:val="24"/>
          <w:u w:val="none" w:color="auto"/>
        </w:rPr>
        <w:t>、食堂油烟G</w:t>
      </w:r>
      <w:r>
        <w:rPr>
          <w:rFonts w:hint="eastAsia" w:ascii="Times New Roman" w:hAnsi="Times New Roman" w:eastAsia="宋体" w:cs="Times New Roman"/>
          <w:color w:val="auto"/>
          <w:szCs w:val="24"/>
          <w:u w:val="none" w:color="auto"/>
          <w:lang w:val="en-US" w:eastAsia="zh-CN"/>
        </w:rPr>
        <w:t>7</w:t>
      </w:r>
    </w:p>
    <w:p w14:paraId="1EF8BA11">
      <w:pPr>
        <w:pStyle w:val="36"/>
        <w:snapToGrid w:val="0"/>
        <w:spacing w:after="0" w:line="360" w:lineRule="auto"/>
        <w:ind w:firstLine="476"/>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项目拟建设1个食堂，设置2个灶头，食堂采用液化气作为燃料，液化气属于清洁能源，完全燃烧后的产物主要为二氧化碳和水蒸汽，对周围环境空气影响很小。但食堂运营过程中将产生油烟废气，项目职工</w:t>
      </w:r>
      <w:r>
        <w:rPr>
          <w:rFonts w:hint="eastAsia" w:ascii="Times New Roman" w:hAnsi="Times New Roman" w:eastAsia="宋体" w:cs="Times New Roman"/>
          <w:color w:val="auto"/>
          <w:szCs w:val="24"/>
          <w:u w:val="none" w:color="auto"/>
        </w:rPr>
        <w:t>150</w:t>
      </w:r>
      <w:r>
        <w:rPr>
          <w:rFonts w:ascii="Times New Roman" w:hAnsi="Times New Roman" w:eastAsia="宋体" w:cs="Times New Roman"/>
          <w:color w:val="auto"/>
          <w:szCs w:val="24"/>
          <w:u w:val="none" w:color="auto"/>
        </w:rPr>
        <w:t>人，</w:t>
      </w:r>
      <w:r>
        <w:rPr>
          <w:rFonts w:hint="eastAsia" w:ascii="Times New Roman" w:hAnsi="Times New Roman" w:eastAsia="宋体" w:cs="Times New Roman"/>
          <w:color w:val="auto"/>
          <w:szCs w:val="24"/>
          <w:u w:val="none" w:color="auto"/>
        </w:rPr>
        <w:t>均</w:t>
      </w:r>
      <w:r>
        <w:rPr>
          <w:rFonts w:ascii="Times New Roman" w:hAnsi="Times New Roman" w:eastAsia="宋体" w:cs="Times New Roman"/>
          <w:color w:val="auto"/>
          <w:szCs w:val="24"/>
          <w:u w:val="none" w:color="auto"/>
        </w:rPr>
        <w:t>在厂内食宿。餐饮建设规模化为小型（基准灶头数≥1，＜3个），工作时间为4h/d，食用油用量平均按0.02kg/人天计，油的平均挥发量为总耗油量的2.83%，经计算，本项目食堂油烟产生量为</w:t>
      </w:r>
      <w:r>
        <w:rPr>
          <w:rFonts w:hint="eastAsia" w:ascii="Times New Roman" w:hAnsi="Times New Roman" w:eastAsia="宋体" w:cs="Times New Roman"/>
          <w:color w:val="auto"/>
          <w:szCs w:val="24"/>
          <w:u w:val="none" w:color="auto"/>
        </w:rPr>
        <w:t>0.021</w:t>
      </w:r>
      <w:r>
        <w:rPr>
          <w:rFonts w:ascii="Times New Roman" w:hAnsi="Times New Roman" w:eastAsia="宋体" w:cs="Times New Roman"/>
          <w:color w:val="auto"/>
          <w:szCs w:val="24"/>
          <w:u w:val="none" w:color="auto"/>
        </w:rPr>
        <w:t>kg/h、0.0</w:t>
      </w:r>
      <w:r>
        <w:rPr>
          <w:rFonts w:hint="eastAsia" w:ascii="Times New Roman" w:hAnsi="Times New Roman" w:eastAsia="宋体" w:cs="Times New Roman"/>
          <w:color w:val="auto"/>
          <w:szCs w:val="24"/>
          <w:u w:val="none" w:color="auto"/>
        </w:rPr>
        <w:t>28</w:t>
      </w:r>
      <w:r>
        <w:rPr>
          <w:rFonts w:ascii="Times New Roman" w:hAnsi="Times New Roman" w:eastAsia="宋体" w:cs="Times New Roman"/>
          <w:color w:val="auto"/>
          <w:szCs w:val="24"/>
          <w:u w:val="none" w:color="auto"/>
        </w:rPr>
        <w:t>t/a。根据建设单位提供资料，食堂油烟废气产生量为</w:t>
      </w:r>
      <w:r>
        <w:rPr>
          <w:rFonts w:hint="eastAsia" w:ascii="Times New Roman" w:hAnsi="Times New Roman" w:eastAsia="宋体" w:cs="Times New Roman"/>
          <w:color w:val="auto"/>
          <w:szCs w:val="24"/>
          <w:u w:val="none" w:color="auto"/>
        </w:rPr>
        <w:t>5</w:t>
      </w:r>
      <w:r>
        <w:rPr>
          <w:rFonts w:ascii="Times New Roman" w:hAnsi="Times New Roman" w:eastAsia="宋体" w:cs="Times New Roman"/>
          <w:color w:val="auto"/>
          <w:szCs w:val="24"/>
          <w:u w:val="none" w:color="auto"/>
        </w:rPr>
        <w:t>000m</w:t>
      </w:r>
      <w:r>
        <w:rPr>
          <w:rFonts w:ascii="Times New Roman" w:hAnsi="Times New Roman" w:eastAsia="宋体" w:cs="Times New Roman"/>
          <w:color w:val="auto"/>
          <w:szCs w:val="24"/>
          <w:u w:val="none" w:color="auto"/>
          <w:vertAlign w:val="superscript"/>
        </w:rPr>
        <w:t>3</w:t>
      </w:r>
      <w:r>
        <w:rPr>
          <w:rFonts w:ascii="Times New Roman" w:hAnsi="Times New Roman" w:eastAsia="宋体" w:cs="Times New Roman"/>
          <w:color w:val="auto"/>
          <w:szCs w:val="24"/>
          <w:u w:val="none" w:color="auto"/>
        </w:rPr>
        <w:t>/h，食堂油烟产生浓度为</w:t>
      </w:r>
      <w:r>
        <w:rPr>
          <w:rFonts w:hint="eastAsia" w:ascii="Times New Roman" w:hAnsi="Times New Roman" w:eastAsia="宋体" w:cs="Times New Roman"/>
          <w:color w:val="auto"/>
          <w:szCs w:val="24"/>
          <w:u w:val="none" w:color="auto"/>
        </w:rPr>
        <w:t>4.245</w:t>
      </w:r>
      <w:r>
        <w:rPr>
          <w:rFonts w:ascii="Times New Roman" w:hAnsi="Times New Roman" w:eastAsia="宋体" w:cs="Times New Roman"/>
          <w:color w:val="auto"/>
          <w:szCs w:val="24"/>
          <w:u w:val="none" w:color="auto"/>
        </w:rPr>
        <w:t>mg/m</w:t>
      </w:r>
      <w:r>
        <w:rPr>
          <w:rFonts w:ascii="Times New Roman" w:hAnsi="Times New Roman" w:eastAsia="宋体" w:cs="Times New Roman"/>
          <w:color w:val="auto"/>
          <w:szCs w:val="24"/>
          <w:u w:val="none" w:color="auto"/>
          <w:vertAlign w:val="superscript"/>
        </w:rPr>
        <w:t>3</w:t>
      </w:r>
      <w:r>
        <w:rPr>
          <w:rFonts w:ascii="Times New Roman" w:hAnsi="Times New Roman" w:eastAsia="宋体" w:cs="Times New Roman"/>
          <w:color w:val="auto"/>
          <w:szCs w:val="24"/>
          <w:u w:val="none" w:color="auto"/>
        </w:rPr>
        <w:t>。拟采用静电油烟净化机对食堂油烟进行处理后通过管道引至食堂楼顶排放，项目油烟产生及排放情况</w:t>
      </w:r>
      <w:r>
        <w:rPr>
          <w:rFonts w:hint="eastAsia" w:ascii="Times New Roman" w:hAnsi="Times New Roman" w:eastAsia="宋体" w:cs="Times New Roman"/>
          <w:color w:val="auto"/>
          <w:szCs w:val="24"/>
          <w:u w:val="none" w:color="auto"/>
        </w:rPr>
        <w:t>如下</w:t>
      </w:r>
      <w:r>
        <w:rPr>
          <w:rFonts w:ascii="Times New Roman" w:hAnsi="Times New Roman" w:eastAsia="宋体" w:cs="Times New Roman"/>
          <w:color w:val="auto"/>
          <w:szCs w:val="24"/>
          <w:u w:val="none" w:color="auto"/>
        </w:rPr>
        <w:t>。</w:t>
      </w:r>
    </w:p>
    <w:p w14:paraId="021E4024">
      <w:pPr>
        <w:snapToGrid w:val="0"/>
        <w:spacing w:before="156" w:beforeLines="50"/>
        <w:jc w:val="center"/>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表2.3-1</w:t>
      </w:r>
      <w:r>
        <w:rPr>
          <w:rFonts w:hint="eastAsia" w:ascii="Times New Roman" w:hAnsi="Times New Roman" w:eastAsia="宋体" w:cs="Times New Roman"/>
          <w:b/>
          <w:bCs/>
          <w:color w:val="auto"/>
          <w:sz w:val="24"/>
          <w:szCs w:val="24"/>
          <w:u w:val="none" w:color="auto"/>
          <w:lang w:val="en-US" w:eastAsia="zh-CN"/>
        </w:rPr>
        <w:t>2</w:t>
      </w:r>
      <w:r>
        <w:rPr>
          <w:rFonts w:hint="eastAsia" w:ascii="Times New Roman" w:hAnsi="Times New Roman" w:eastAsia="宋体" w:cs="Times New Roman"/>
          <w:b/>
          <w:bCs/>
          <w:color w:val="auto"/>
          <w:sz w:val="24"/>
          <w:szCs w:val="24"/>
          <w:u w:val="none" w:color="auto"/>
        </w:rPr>
        <w:t xml:space="preserve"> 食堂油烟产排情况</w:t>
      </w:r>
    </w:p>
    <w:tbl>
      <w:tblPr>
        <w:tblStyle w:val="37"/>
        <w:tblW w:w="8515" w:type="dxa"/>
        <w:tblInd w:w="0" w:type="dxa"/>
        <w:tblLayout w:type="fixed"/>
        <w:tblCellMar>
          <w:top w:w="0" w:type="dxa"/>
          <w:left w:w="108" w:type="dxa"/>
          <w:bottom w:w="0" w:type="dxa"/>
          <w:right w:w="108" w:type="dxa"/>
        </w:tblCellMar>
      </w:tblPr>
      <w:tblGrid>
        <w:gridCol w:w="1183"/>
        <w:gridCol w:w="1195"/>
        <w:gridCol w:w="1010"/>
        <w:gridCol w:w="855"/>
        <w:gridCol w:w="1149"/>
        <w:gridCol w:w="1195"/>
        <w:gridCol w:w="1011"/>
        <w:gridCol w:w="917"/>
      </w:tblGrid>
      <w:tr w14:paraId="636A77A6">
        <w:tblPrEx>
          <w:tblCellMar>
            <w:top w:w="0" w:type="dxa"/>
            <w:left w:w="108" w:type="dxa"/>
            <w:bottom w:w="0" w:type="dxa"/>
            <w:right w:w="108" w:type="dxa"/>
          </w:tblCellMar>
        </w:tblPrEx>
        <w:trPr>
          <w:trHeight w:val="360" w:hRule="atLeast"/>
        </w:trPr>
        <w:tc>
          <w:tcPr>
            <w:tcW w:w="1183" w:type="dxa"/>
            <w:tcBorders>
              <w:top w:val="single" w:color="auto" w:sz="4" w:space="0"/>
              <w:left w:val="single" w:color="auto" w:sz="4" w:space="0"/>
              <w:bottom w:val="single" w:color="auto" w:sz="4" w:space="0"/>
              <w:right w:val="single" w:color="auto" w:sz="4" w:space="0"/>
            </w:tcBorders>
            <w:vAlign w:val="center"/>
          </w:tcPr>
          <w:p w14:paraId="2A9903CA">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油烟废气每小时产生量（Nm</w:t>
            </w:r>
            <w:r>
              <w:rPr>
                <w:rFonts w:ascii="Times New Roman" w:hAnsi="Times New Roman" w:eastAsia="宋体" w:cs="Times New Roman"/>
                <w:color w:val="auto"/>
                <w:u w:val="none" w:color="auto"/>
                <w:vertAlign w:val="superscript"/>
              </w:rPr>
              <w:t>3</w:t>
            </w:r>
            <w:r>
              <w:rPr>
                <w:rFonts w:ascii="Times New Roman" w:hAnsi="Times New Roman" w:eastAsia="宋体" w:cs="Times New Roman"/>
                <w:color w:val="auto"/>
                <w:u w:val="none" w:color="auto"/>
              </w:rPr>
              <w:t>/h）</w:t>
            </w:r>
          </w:p>
        </w:tc>
        <w:tc>
          <w:tcPr>
            <w:tcW w:w="1195" w:type="dxa"/>
            <w:tcBorders>
              <w:top w:val="single" w:color="auto" w:sz="4" w:space="0"/>
              <w:left w:val="single" w:color="auto" w:sz="4" w:space="0"/>
              <w:bottom w:val="single" w:color="auto" w:sz="4" w:space="0"/>
              <w:right w:val="single" w:color="auto" w:sz="4" w:space="0"/>
            </w:tcBorders>
            <w:vAlign w:val="center"/>
          </w:tcPr>
          <w:p w14:paraId="3BD40E42">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油烟产生浓度（mg/m</w:t>
            </w:r>
            <w:r>
              <w:rPr>
                <w:rFonts w:ascii="Times New Roman" w:hAnsi="Times New Roman" w:eastAsia="宋体" w:cs="Times New Roman"/>
                <w:color w:val="auto"/>
                <w:u w:val="none" w:color="auto"/>
                <w:vertAlign w:val="superscript"/>
              </w:rPr>
              <w:t>3</w:t>
            </w:r>
            <w:r>
              <w:rPr>
                <w:rFonts w:ascii="Times New Roman" w:hAnsi="Times New Roman" w:eastAsia="宋体" w:cs="Times New Roman"/>
                <w:color w:val="auto"/>
                <w:u w:val="none" w:color="auto"/>
              </w:rPr>
              <w:t>）</w:t>
            </w:r>
          </w:p>
        </w:tc>
        <w:tc>
          <w:tcPr>
            <w:tcW w:w="1010" w:type="dxa"/>
            <w:tcBorders>
              <w:top w:val="single" w:color="auto" w:sz="4" w:space="0"/>
              <w:left w:val="single" w:color="auto" w:sz="4" w:space="0"/>
              <w:bottom w:val="single" w:color="auto" w:sz="4" w:space="0"/>
              <w:right w:val="single" w:color="auto" w:sz="4" w:space="0"/>
            </w:tcBorders>
            <w:vAlign w:val="center"/>
          </w:tcPr>
          <w:p w14:paraId="241D4075">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油烟产生速率（kg/h）</w:t>
            </w:r>
          </w:p>
        </w:tc>
        <w:tc>
          <w:tcPr>
            <w:tcW w:w="855" w:type="dxa"/>
            <w:tcBorders>
              <w:top w:val="single" w:color="auto" w:sz="4" w:space="0"/>
              <w:left w:val="single" w:color="auto" w:sz="4" w:space="0"/>
              <w:bottom w:val="single" w:color="auto" w:sz="4" w:space="0"/>
              <w:right w:val="single" w:color="auto" w:sz="4" w:space="0"/>
            </w:tcBorders>
            <w:vAlign w:val="center"/>
          </w:tcPr>
          <w:p w14:paraId="4B11FBE7">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油烟产生量（t/a）</w:t>
            </w:r>
          </w:p>
        </w:tc>
        <w:tc>
          <w:tcPr>
            <w:tcW w:w="1149" w:type="dxa"/>
            <w:tcBorders>
              <w:top w:val="single" w:color="auto" w:sz="4" w:space="0"/>
              <w:left w:val="single" w:color="auto" w:sz="4" w:space="0"/>
              <w:bottom w:val="single" w:color="auto" w:sz="4" w:space="0"/>
              <w:right w:val="single" w:color="auto" w:sz="4" w:space="0"/>
            </w:tcBorders>
            <w:vAlign w:val="center"/>
          </w:tcPr>
          <w:p w14:paraId="0A52CAE4">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净化效率</w:t>
            </w:r>
          </w:p>
        </w:tc>
        <w:tc>
          <w:tcPr>
            <w:tcW w:w="1195" w:type="dxa"/>
            <w:tcBorders>
              <w:top w:val="single" w:color="auto" w:sz="4" w:space="0"/>
              <w:left w:val="single" w:color="auto" w:sz="4" w:space="0"/>
              <w:bottom w:val="single" w:color="auto" w:sz="4" w:space="0"/>
              <w:right w:val="single" w:color="auto" w:sz="4" w:space="0"/>
            </w:tcBorders>
            <w:vAlign w:val="center"/>
          </w:tcPr>
          <w:p w14:paraId="38333BCE">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油烟排放浓度（mg/m</w:t>
            </w:r>
            <w:r>
              <w:rPr>
                <w:rFonts w:ascii="Times New Roman" w:hAnsi="Times New Roman" w:eastAsia="宋体" w:cs="Times New Roman"/>
                <w:color w:val="auto"/>
                <w:u w:val="none" w:color="auto"/>
                <w:vertAlign w:val="superscript"/>
              </w:rPr>
              <w:t>3</w:t>
            </w:r>
            <w:r>
              <w:rPr>
                <w:rFonts w:ascii="Times New Roman" w:hAnsi="Times New Roman" w:eastAsia="宋体" w:cs="Times New Roman"/>
                <w:color w:val="auto"/>
                <w:u w:val="none" w:color="auto"/>
              </w:rPr>
              <w:t>）</w:t>
            </w:r>
          </w:p>
        </w:tc>
        <w:tc>
          <w:tcPr>
            <w:tcW w:w="1011" w:type="dxa"/>
            <w:tcBorders>
              <w:top w:val="single" w:color="auto" w:sz="4" w:space="0"/>
              <w:left w:val="single" w:color="auto" w:sz="4" w:space="0"/>
              <w:bottom w:val="single" w:color="auto" w:sz="4" w:space="0"/>
              <w:right w:val="single" w:color="auto" w:sz="4" w:space="0"/>
            </w:tcBorders>
            <w:vAlign w:val="center"/>
          </w:tcPr>
          <w:p w14:paraId="79D7115D">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油烟排放速率（kg/h）</w:t>
            </w:r>
          </w:p>
        </w:tc>
        <w:tc>
          <w:tcPr>
            <w:tcW w:w="917" w:type="dxa"/>
            <w:tcBorders>
              <w:top w:val="single" w:color="auto" w:sz="4" w:space="0"/>
              <w:left w:val="single" w:color="auto" w:sz="4" w:space="0"/>
              <w:bottom w:val="single" w:color="auto" w:sz="4" w:space="0"/>
              <w:right w:val="single" w:color="auto" w:sz="4" w:space="0"/>
            </w:tcBorders>
            <w:vAlign w:val="center"/>
          </w:tcPr>
          <w:p w14:paraId="6193BBFA">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油烟排放量（t/a）</w:t>
            </w:r>
          </w:p>
        </w:tc>
      </w:tr>
      <w:tr w14:paraId="123DA6D1">
        <w:tblPrEx>
          <w:tblCellMar>
            <w:top w:w="0" w:type="dxa"/>
            <w:left w:w="108" w:type="dxa"/>
            <w:bottom w:w="0" w:type="dxa"/>
            <w:right w:w="108" w:type="dxa"/>
          </w:tblCellMar>
        </w:tblPrEx>
        <w:trPr>
          <w:trHeight w:val="360" w:hRule="atLeast"/>
        </w:trPr>
        <w:tc>
          <w:tcPr>
            <w:tcW w:w="1183" w:type="dxa"/>
            <w:tcBorders>
              <w:top w:val="single" w:color="auto" w:sz="4" w:space="0"/>
              <w:left w:val="single" w:color="auto" w:sz="4" w:space="0"/>
              <w:bottom w:val="single" w:color="auto" w:sz="4" w:space="0"/>
              <w:right w:val="single" w:color="auto" w:sz="4" w:space="0"/>
            </w:tcBorders>
            <w:vAlign w:val="center"/>
          </w:tcPr>
          <w:p w14:paraId="693B2B79">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5000</w:t>
            </w:r>
          </w:p>
        </w:tc>
        <w:tc>
          <w:tcPr>
            <w:tcW w:w="1195" w:type="dxa"/>
            <w:tcBorders>
              <w:top w:val="single" w:color="auto" w:sz="4" w:space="0"/>
              <w:left w:val="single" w:color="auto" w:sz="4" w:space="0"/>
              <w:bottom w:val="single" w:color="auto" w:sz="4" w:space="0"/>
              <w:right w:val="single" w:color="auto" w:sz="4" w:space="0"/>
            </w:tcBorders>
            <w:vAlign w:val="center"/>
          </w:tcPr>
          <w:p w14:paraId="7A1DE153">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4.245</w:t>
            </w:r>
          </w:p>
        </w:tc>
        <w:tc>
          <w:tcPr>
            <w:tcW w:w="1010" w:type="dxa"/>
            <w:tcBorders>
              <w:top w:val="single" w:color="auto" w:sz="4" w:space="0"/>
              <w:left w:val="single" w:color="auto" w:sz="4" w:space="0"/>
              <w:bottom w:val="single" w:color="auto" w:sz="4" w:space="0"/>
              <w:right w:val="single" w:color="auto" w:sz="4" w:space="0"/>
            </w:tcBorders>
            <w:vAlign w:val="center"/>
          </w:tcPr>
          <w:p w14:paraId="23E5AB43">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0.021</w:t>
            </w:r>
          </w:p>
        </w:tc>
        <w:tc>
          <w:tcPr>
            <w:tcW w:w="855" w:type="dxa"/>
            <w:tcBorders>
              <w:top w:val="single" w:color="auto" w:sz="4" w:space="0"/>
              <w:left w:val="single" w:color="auto" w:sz="4" w:space="0"/>
              <w:bottom w:val="single" w:color="auto" w:sz="4" w:space="0"/>
              <w:right w:val="single" w:color="auto" w:sz="4" w:space="0"/>
            </w:tcBorders>
            <w:vAlign w:val="center"/>
          </w:tcPr>
          <w:p w14:paraId="58E998F7">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0.028</w:t>
            </w:r>
          </w:p>
        </w:tc>
        <w:tc>
          <w:tcPr>
            <w:tcW w:w="1149" w:type="dxa"/>
            <w:tcBorders>
              <w:top w:val="single" w:color="auto" w:sz="4" w:space="0"/>
              <w:left w:val="single" w:color="auto" w:sz="4" w:space="0"/>
              <w:bottom w:val="single" w:color="auto" w:sz="4" w:space="0"/>
              <w:right w:val="single" w:color="auto" w:sz="4" w:space="0"/>
            </w:tcBorders>
            <w:vAlign w:val="center"/>
          </w:tcPr>
          <w:p w14:paraId="3A4611D5">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85%</w:t>
            </w:r>
          </w:p>
        </w:tc>
        <w:tc>
          <w:tcPr>
            <w:tcW w:w="1195" w:type="dxa"/>
            <w:tcBorders>
              <w:top w:val="single" w:color="auto" w:sz="4" w:space="0"/>
              <w:left w:val="single" w:color="auto" w:sz="4" w:space="0"/>
              <w:bottom w:val="single" w:color="auto" w:sz="4" w:space="0"/>
              <w:right w:val="single" w:color="auto" w:sz="4" w:space="0"/>
            </w:tcBorders>
            <w:vAlign w:val="center"/>
          </w:tcPr>
          <w:p w14:paraId="3AD87704">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0.637</w:t>
            </w:r>
          </w:p>
        </w:tc>
        <w:tc>
          <w:tcPr>
            <w:tcW w:w="1011" w:type="dxa"/>
            <w:tcBorders>
              <w:top w:val="single" w:color="auto" w:sz="4" w:space="0"/>
              <w:left w:val="single" w:color="auto" w:sz="4" w:space="0"/>
              <w:bottom w:val="single" w:color="auto" w:sz="4" w:space="0"/>
              <w:right w:val="single" w:color="auto" w:sz="4" w:space="0"/>
            </w:tcBorders>
            <w:vAlign w:val="center"/>
          </w:tcPr>
          <w:p w14:paraId="3ECED277">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0.003</w:t>
            </w:r>
          </w:p>
        </w:tc>
        <w:tc>
          <w:tcPr>
            <w:tcW w:w="917" w:type="dxa"/>
            <w:tcBorders>
              <w:top w:val="single" w:color="auto" w:sz="4" w:space="0"/>
              <w:left w:val="single" w:color="auto" w:sz="4" w:space="0"/>
              <w:bottom w:val="single" w:color="auto" w:sz="4" w:space="0"/>
              <w:right w:val="single" w:color="auto" w:sz="4" w:space="0"/>
            </w:tcBorders>
            <w:vAlign w:val="center"/>
          </w:tcPr>
          <w:p w14:paraId="15DD7A39">
            <w:pPr>
              <w:widowControl/>
              <w:jc w:val="center"/>
              <w:textAlignment w:val="center"/>
              <w:rPr>
                <w:rFonts w:ascii="Times New Roman" w:hAnsi="Times New Roman" w:eastAsia="宋体" w:cs="Times New Roman"/>
                <w:color w:val="auto"/>
                <w:u w:val="none" w:color="auto"/>
              </w:rPr>
            </w:pPr>
            <w:r>
              <w:rPr>
                <w:rFonts w:ascii="Times New Roman" w:hAnsi="Times New Roman" w:eastAsia="宋体" w:cs="Times New Roman"/>
                <w:color w:val="auto"/>
                <w:kern w:val="0"/>
                <w:szCs w:val="21"/>
                <w:u w:val="none" w:color="auto"/>
                <w:lang w:bidi="ar"/>
              </w:rPr>
              <w:t>0.004</w:t>
            </w:r>
          </w:p>
        </w:tc>
      </w:tr>
    </w:tbl>
    <w:p w14:paraId="35533D62">
      <w:pPr>
        <w:pStyle w:val="36"/>
        <w:ind w:left="0" w:leftChars="0" w:firstLine="0" w:firstLineChars="0"/>
        <w:rPr>
          <w:rFonts w:ascii="Times New Roman" w:hAnsi="Times New Roman" w:eastAsia="宋体" w:cs="Times New Roman"/>
          <w:color w:val="auto"/>
          <w:szCs w:val="24"/>
          <w:u w:val="none" w:color="auto"/>
        </w:rPr>
      </w:pPr>
    </w:p>
    <w:p w14:paraId="071CA807">
      <w:pPr>
        <w:pStyle w:val="36"/>
        <w:rPr>
          <w:rFonts w:ascii="Times New Roman" w:hAnsi="Times New Roman" w:eastAsia="宋体" w:cs="Times New Roman"/>
          <w:color w:val="auto"/>
          <w:szCs w:val="24"/>
          <w:u w:val="none" w:color="auto"/>
        </w:rPr>
      </w:pPr>
    </w:p>
    <w:p w14:paraId="63156D6A">
      <w:pPr>
        <w:pStyle w:val="36"/>
        <w:ind w:left="0" w:leftChars="0" w:firstLine="0" w:firstLineChars="0"/>
        <w:rPr>
          <w:rFonts w:ascii="Times New Roman" w:hAnsi="Times New Roman" w:eastAsia="宋体" w:cs="Times New Roman"/>
          <w:color w:val="auto"/>
          <w:szCs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2F6AD07">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本项目废气产生及排放情况见表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.3-</w:t>
      </w:r>
      <w:r>
        <w:rPr>
          <w:rFonts w:hint="eastAsia" w:ascii="Times New Roman" w:hAnsi="Times New Roman" w:eastAsia="宋体" w:cs="Times New Roman"/>
          <w:color w:val="auto"/>
          <w:sz w:val="24"/>
          <w:szCs w:val="24"/>
          <w:u w:val="none" w:color="auto"/>
        </w:rPr>
        <w:t>1</w:t>
      </w:r>
      <w:r>
        <w:rPr>
          <w:rFonts w:hint="eastAsia" w:ascii="Times New Roman" w:hAnsi="Times New Roman" w:eastAsia="宋体" w:cs="Times New Roman"/>
          <w:color w:val="auto"/>
          <w:sz w:val="24"/>
          <w:szCs w:val="24"/>
          <w:u w:val="none" w:color="auto"/>
          <w:lang w:val="en-US" w:eastAsia="zh-CN"/>
        </w:rPr>
        <w:t>3</w:t>
      </w:r>
      <w:r>
        <w:rPr>
          <w:rFonts w:ascii="Times New Roman" w:hAnsi="Times New Roman" w:eastAsia="宋体" w:cs="Times New Roman"/>
          <w:color w:val="auto"/>
          <w:sz w:val="24"/>
          <w:szCs w:val="24"/>
          <w:u w:val="none" w:color="auto"/>
        </w:rPr>
        <w:t>。</w:t>
      </w:r>
    </w:p>
    <w:p w14:paraId="7B161A29">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表2.3-1</w:t>
      </w:r>
      <w:r>
        <w:rPr>
          <w:rFonts w:hint="eastAsia" w:ascii="Times New Roman" w:hAnsi="Times New Roman" w:eastAsia="宋体" w:cs="Times New Roman"/>
          <w:b/>
          <w:color w:val="auto"/>
          <w:sz w:val="24"/>
          <w:szCs w:val="24"/>
          <w:u w:val="none" w:color="auto"/>
          <w:lang w:val="en-US" w:eastAsia="zh-CN"/>
        </w:rPr>
        <w:t>3</w:t>
      </w:r>
      <w:r>
        <w:rPr>
          <w:rFonts w:hint="eastAsia" w:ascii="Times New Roman" w:hAnsi="Times New Roman" w:eastAsia="宋体" w:cs="Times New Roman"/>
          <w:b/>
          <w:color w:val="auto"/>
          <w:sz w:val="24"/>
          <w:szCs w:val="24"/>
          <w:u w:val="none" w:color="auto"/>
        </w:rPr>
        <w:t>大气污染物产生及排放状况</w:t>
      </w:r>
    </w:p>
    <w:tbl>
      <w:tblPr>
        <w:tblStyle w:val="37"/>
        <w:tblW w:w="140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
        <w:gridCol w:w="1164"/>
        <w:gridCol w:w="663"/>
        <w:gridCol w:w="652"/>
        <w:gridCol w:w="770"/>
        <w:gridCol w:w="714"/>
        <w:gridCol w:w="1476"/>
        <w:gridCol w:w="3181"/>
        <w:gridCol w:w="1093"/>
        <w:gridCol w:w="1029"/>
        <w:gridCol w:w="1039"/>
        <w:gridCol w:w="818"/>
        <w:gridCol w:w="498"/>
        <w:gridCol w:w="604"/>
      </w:tblGrid>
      <w:tr w14:paraId="0E7E3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345" w:type="dxa"/>
            <w:vMerge w:val="restart"/>
            <w:tcMar>
              <w:top w:w="0" w:type="dxa"/>
              <w:left w:w="0" w:type="dxa"/>
              <w:bottom w:w="0" w:type="dxa"/>
              <w:right w:w="0" w:type="dxa"/>
            </w:tcMar>
            <w:vAlign w:val="center"/>
          </w:tcPr>
          <w:p w14:paraId="71E7A4A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类型</w:t>
            </w:r>
          </w:p>
        </w:tc>
        <w:tc>
          <w:tcPr>
            <w:tcW w:w="1164" w:type="dxa"/>
            <w:vMerge w:val="restart"/>
            <w:tcMar>
              <w:top w:w="0" w:type="dxa"/>
              <w:left w:w="0" w:type="dxa"/>
              <w:bottom w:w="0" w:type="dxa"/>
              <w:right w:w="0" w:type="dxa"/>
            </w:tcMar>
            <w:vAlign w:val="center"/>
          </w:tcPr>
          <w:p w14:paraId="32B4D70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污染源</w:t>
            </w:r>
          </w:p>
        </w:tc>
        <w:tc>
          <w:tcPr>
            <w:tcW w:w="663" w:type="dxa"/>
            <w:vMerge w:val="restart"/>
            <w:tcMar>
              <w:top w:w="0" w:type="dxa"/>
              <w:left w:w="0" w:type="dxa"/>
              <w:bottom w:w="0" w:type="dxa"/>
              <w:right w:w="0" w:type="dxa"/>
            </w:tcMar>
            <w:vAlign w:val="center"/>
          </w:tcPr>
          <w:p w14:paraId="2598F8F6">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污染物</w:t>
            </w:r>
          </w:p>
        </w:tc>
        <w:tc>
          <w:tcPr>
            <w:tcW w:w="3612" w:type="dxa"/>
            <w:gridSpan w:val="4"/>
            <w:tcMar>
              <w:top w:w="0" w:type="dxa"/>
              <w:left w:w="0" w:type="dxa"/>
              <w:bottom w:w="0" w:type="dxa"/>
              <w:right w:w="0" w:type="dxa"/>
            </w:tcMar>
            <w:vAlign w:val="center"/>
          </w:tcPr>
          <w:p w14:paraId="02AF80C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污染物产生</w:t>
            </w:r>
          </w:p>
        </w:tc>
        <w:tc>
          <w:tcPr>
            <w:tcW w:w="3181" w:type="dxa"/>
            <w:tcMar>
              <w:top w:w="0" w:type="dxa"/>
              <w:left w:w="0" w:type="dxa"/>
              <w:bottom w:w="0" w:type="dxa"/>
              <w:right w:w="0" w:type="dxa"/>
            </w:tcMar>
            <w:vAlign w:val="center"/>
          </w:tcPr>
          <w:p w14:paraId="20F65EF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治理措施</w:t>
            </w:r>
          </w:p>
        </w:tc>
        <w:tc>
          <w:tcPr>
            <w:tcW w:w="1093" w:type="dxa"/>
            <w:vMerge w:val="restart"/>
            <w:tcMar>
              <w:top w:w="0" w:type="dxa"/>
              <w:left w:w="0" w:type="dxa"/>
              <w:bottom w:w="0" w:type="dxa"/>
              <w:right w:w="0" w:type="dxa"/>
            </w:tcMar>
            <w:vAlign w:val="center"/>
          </w:tcPr>
          <w:p w14:paraId="4646E81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排气筒编号</w:t>
            </w:r>
          </w:p>
        </w:tc>
        <w:tc>
          <w:tcPr>
            <w:tcW w:w="3988" w:type="dxa"/>
            <w:gridSpan w:val="5"/>
            <w:tcMar>
              <w:top w:w="0" w:type="dxa"/>
              <w:left w:w="0" w:type="dxa"/>
              <w:bottom w:w="0" w:type="dxa"/>
              <w:right w:w="0" w:type="dxa"/>
            </w:tcMar>
            <w:vAlign w:val="center"/>
          </w:tcPr>
          <w:p w14:paraId="36BC064F">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污染物排放</w:t>
            </w:r>
          </w:p>
        </w:tc>
      </w:tr>
      <w:tr w14:paraId="28A7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345" w:type="dxa"/>
            <w:vMerge w:val="continue"/>
            <w:tcMar>
              <w:top w:w="0" w:type="dxa"/>
              <w:left w:w="0" w:type="dxa"/>
              <w:bottom w:w="0" w:type="dxa"/>
              <w:right w:w="0" w:type="dxa"/>
            </w:tcMar>
            <w:vAlign w:val="center"/>
          </w:tcPr>
          <w:p w14:paraId="43EE5BEA">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1918E1B8">
            <w:pPr>
              <w:snapToGrid w:val="0"/>
              <w:jc w:val="center"/>
              <w:rPr>
                <w:rFonts w:hint="default" w:ascii="Times New Roman" w:hAnsi="Times New Roman" w:eastAsia="宋体" w:cs="Times New Roman"/>
                <w:color w:val="auto"/>
                <w:sz w:val="21"/>
                <w:szCs w:val="21"/>
                <w:u w:val="single" w:color="auto"/>
              </w:rPr>
            </w:pPr>
          </w:p>
        </w:tc>
        <w:tc>
          <w:tcPr>
            <w:tcW w:w="663" w:type="dxa"/>
            <w:vMerge w:val="continue"/>
            <w:tcMar>
              <w:top w:w="0" w:type="dxa"/>
              <w:left w:w="0" w:type="dxa"/>
              <w:bottom w:w="0" w:type="dxa"/>
              <w:right w:w="0" w:type="dxa"/>
            </w:tcMar>
            <w:vAlign w:val="center"/>
          </w:tcPr>
          <w:p w14:paraId="4F5D5026">
            <w:pPr>
              <w:snapToGrid w:val="0"/>
              <w:jc w:val="center"/>
              <w:rPr>
                <w:rFonts w:hint="default" w:ascii="Times New Roman" w:hAnsi="Times New Roman" w:eastAsia="宋体" w:cs="Times New Roman"/>
                <w:color w:val="auto"/>
                <w:sz w:val="21"/>
                <w:szCs w:val="21"/>
                <w:u w:val="single" w:color="auto"/>
              </w:rPr>
            </w:pPr>
          </w:p>
        </w:tc>
        <w:tc>
          <w:tcPr>
            <w:tcW w:w="652" w:type="dxa"/>
            <w:vMerge w:val="restart"/>
            <w:tcMar>
              <w:top w:w="0" w:type="dxa"/>
              <w:left w:w="0" w:type="dxa"/>
              <w:bottom w:w="0" w:type="dxa"/>
              <w:right w:w="0" w:type="dxa"/>
            </w:tcMar>
            <w:vAlign w:val="center"/>
          </w:tcPr>
          <w:p w14:paraId="596787A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产气量m</w:t>
            </w:r>
            <w:r>
              <w:rPr>
                <w:rFonts w:hint="default" w:ascii="Times New Roman" w:hAnsi="Times New Roman" w:eastAsia="宋体" w:cs="Times New Roman"/>
                <w:color w:val="auto"/>
                <w:sz w:val="21"/>
                <w:szCs w:val="21"/>
                <w:u w:val="single" w:color="auto"/>
                <w:vertAlign w:val="superscript"/>
              </w:rPr>
              <w:t>3</w:t>
            </w:r>
            <w:r>
              <w:rPr>
                <w:rFonts w:hint="default" w:ascii="Times New Roman" w:hAnsi="Times New Roman" w:eastAsia="宋体" w:cs="Times New Roman"/>
                <w:color w:val="auto"/>
                <w:sz w:val="21"/>
                <w:szCs w:val="21"/>
                <w:u w:val="single" w:color="auto"/>
              </w:rPr>
              <w:t>/h</w:t>
            </w:r>
          </w:p>
        </w:tc>
        <w:tc>
          <w:tcPr>
            <w:tcW w:w="770" w:type="dxa"/>
            <w:vMerge w:val="restart"/>
            <w:tcMar>
              <w:top w:w="0" w:type="dxa"/>
              <w:left w:w="0" w:type="dxa"/>
              <w:bottom w:w="0" w:type="dxa"/>
              <w:right w:w="0" w:type="dxa"/>
            </w:tcMar>
            <w:vAlign w:val="center"/>
          </w:tcPr>
          <w:p w14:paraId="087C657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产生浓度mg/m</w:t>
            </w:r>
            <w:r>
              <w:rPr>
                <w:rFonts w:hint="default" w:ascii="Times New Roman" w:hAnsi="Times New Roman" w:eastAsia="宋体" w:cs="Times New Roman"/>
                <w:color w:val="auto"/>
                <w:sz w:val="21"/>
                <w:szCs w:val="21"/>
                <w:u w:val="single" w:color="auto"/>
                <w:vertAlign w:val="superscript"/>
              </w:rPr>
              <w:t>3</w:t>
            </w:r>
          </w:p>
        </w:tc>
        <w:tc>
          <w:tcPr>
            <w:tcW w:w="2190" w:type="dxa"/>
            <w:gridSpan w:val="2"/>
            <w:tcMar>
              <w:top w:w="0" w:type="dxa"/>
              <w:left w:w="0" w:type="dxa"/>
              <w:bottom w:w="0" w:type="dxa"/>
              <w:right w:w="0" w:type="dxa"/>
            </w:tcMar>
            <w:vAlign w:val="center"/>
          </w:tcPr>
          <w:p w14:paraId="54C6C6F9">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产生量</w:t>
            </w:r>
          </w:p>
        </w:tc>
        <w:tc>
          <w:tcPr>
            <w:tcW w:w="3181" w:type="dxa"/>
            <w:vMerge w:val="restart"/>
            <w:tcMar>
              <w:top w:w="0" w:type="dxa"/>
              <w:left w:w="0" w:type="dxa"/>
              <w:bottom w:w="0" w:type="dxa"/>
              <w:right w:w="0" w:type="dxa"/>
            </w:tcMar>
            <w:vAlign w:val="center"/>
          </w:tcPr>
          <w:p w14:paraId="6019F8C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工艺</w:t>
            </w:r>
          </w:p>
        </w:tc>
        <w:tc>
          <w:tcPr>
            <w:tcW w:w="1093" w:type="dxa"/>
            <w:vMerge w:val="continue"/>
            <w:tcMar>
              <w:top w:w="0" w:type="dxa"/>
              <w:left w:w="0" w:type="dxa"/>
              <w:bottom w:w="0" w:type="dxa"/>
              <w:right w:w="0" w:type="dxa"/>
            </w:tcMar>
            <w:vAlign w:val="center"/>
          </w:tcPr>
          <w:p w14:paraId="7EA62C8C">
            <w:pPr>
              <w:snapToGrid w:val="0"/>
              <w:jc w:val="center"/>
              <w:rPr>
                <w:rFonts w:hint="default" w:ascii="Times New Roman" w:hAnsi="Times New Roman" w:eastAsia="宋体" w:cs="Times New Roman"/>
                <w:color w:val="auto"/>
                <w:sz w:val="21"/>
                <w:szCs w:val="21"/>
                <w:u w:val="single" w:color="auto"/>
              </w:rPr>
            </w:pPr>
          </w:p>
        </w:tc>
        <w:tc>
          <w:tcPr>
            <w:tcW w:w="1029" w:type="dxa"/>
            <w:vMerge w:val="restart"/>
            <w:tcMar>
              <w:top w:w="0" w:type="dxa"/>
              <w:left w:w="0" w:type="dxa"/>
              <w:bottom w:w="0" w:type="dxa"/>
              <w:right w:w="0" w:type="dxa"/>
            </w:tcMar>
            <w:vAlign w:val="center"/>
          </w:tcPr>
          <w:p w14:paraId="1E4261EB">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排气量m/h</w:t>
            </w:r>
          </w:p>
        </w:tc>
        <w:tc>
          <w:tcPr>
            <w:tcW w:w="1039" w:type="dxa"/>
            <w:vMerge w:val="restart"/>
            <w:tcMar>
              <w:top w:w="0" w:type="dxa"/>
              <w:left w:w="0" w:type="dxa"/>
              <w:bottom w:w="0" w:type="dxa"/>
              <w:right w:w="0" w:type="dxa"/>
            </w:tcMar>
            <w:vAlign w:val="center"/>
          </w:tcPr>
          <w:p w14:paraId="0384A11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污染因子</w:t>
            </w:r>
          </w:p>
        </w:tc>
        <w:tc>
          <w:tcPr>
            <w:tcW w:w="818" w:type="dxa"/>
            <w:vMerge w:val="restart"/>
            <w:tcMar>
              <w:top w:w="0" w:type="dxa"/>
              <w:left w:w="0" w:type="dxa"/>
              <w:bottom w:w="0" w:type="dxa"/>
              <w:right w:w="0" w:type="dxa"/>
            </w:tcMar>
            <w:vAlign w:val="center"/>
          </w:tcPr>
          <w:p w14:paraId="1FD325F2">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排放浓度mg/m</w:t>
            </w:r>
          </w:p>
        </w:tc>
        <w:tc>
          <w:tcPr>
            <w:tcW w:w="1102" w:type="dxa"/>
            <w:gridSpan w:val="2"/>
            <w:tcMar>
              <w:top w:w="0" w:type="dxa"/>
              <w:left w:w="0" w:type="dxa"/>
              <w:bottom w:w="0" w:type="dxa"/>
              <w:right w:w="0" w:type="dxa"/>
            </w:tcMar>
            <w:vAlign w:val="center"/>
          </w:tcPr>
          <w:p w14:paraId="6FAD0E5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排放量</w:t>
            </w:r>
          </w:p>
        </w:tc>
      </w:tr>
      <w:tr w14:paraId="52EB6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345" w:type="dxa"/>
            <w:vMerge w:val="continue"/>
            <w:tcMar>
              <w:top w:w="0" w:type="dxa"/>
              <w:left w:w="0" w:type="dxa"/>
              <w:bottom w:w="0" w:type="dxa"/>
              <w:right w:w="0" w:type="dxa"/>
            </w:tcMar>
            <w:vAlign w:val="center"/>
          </w:tcPr>
          <w:p w14:paraId="4A81F611">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2AB4F644">
            <w:pPr>
              <w:snapToGrid w:val="0"/>
              <w:jc w:val="center"/>
              <w:rPr>
                <w:rFonts w:hint="default" w:ascii="Times New Roman" w:hAnsi="Times New Roman" w:eastAsia="宋体" w:cs="Times New Roman"/>
                <w:color w:val="auto"/>
                <w:sz w:val="21"/>
                <w:szCs w:val="21"/>
                <w:u w:val="single" w:color="auto"/>
              </w:rPr>
            </w:pPr>
          </w:p>
        </w:tc>
        <w:tc>
          <w:tcPr>
            <w:tcW w:w="663" w:type="dxa"/>
            <w:vMerge w:val="continue"/>
            <w:tcMar>
              <w:top w:w="0" w:type="dxa"/>
              <w:left w:w="0" w:type="dxa"/>
              <w:bottom w:w="0" w:type="dxa"/>
              <w:right w:w="0" w:type="dxa"/>
            </w:tcMar>
            <w:vAlign w:val="center"/>
          </w:tcPr>
          <w:p w14:paraId="06578DA3">
            <w:pPr>
              <w:snapToGrid w:val="0"/>
              <w:jc w:val="center"/>
              <w:rPr>
                <w:rFonts w:hint="default" w:ascii="Times New Roman" w:hAnsi="Times New Roman" w:eastAsia="宋体" w:cs="Times New Roman"/>
                <w:color w:val="auto"/>
                <w:sz w:val="21"/>
                <w:szCs w:val="21"/>
                <w:u w:val="single" w:color="auto"/>
              </w:rPr>
            </w:pPr>
          </w:p>
        </w:tc>
        <w:tc>
          <w:tcPr>
            <w:tcW w:w="652" w:type="dxa"/>
            <w:vMerge w:val="continue"/>
            <w:tcMar>
              <w:top w:w="0" w:type="dxa"/>
              <w:left w:w="0" w:type="dxa"/>
              <w:bottom w:w="0" w:type="dxa"/>
              <w:right w:w="0" w:type="dxa"/>
            </w:tcMar>
            <w:vAlign w:val="center"/>
          </w:tcPr>
          <w:p w14:paraId="39F39B79">
            <w:pPr>
              <w:snapToGrid w:val="0"/>
              <w:jc w:val="center"/>
              <w:rPr>
                <w:rFonts w:hint="default" w:ascii="Times New Roman" w:hAnsi="Times New Roman" w:eastAsia="宋体" w:cs="Times New Roman"/>
                <w:color w:val="auto"/>
                <w:sz w:val="21"/>
                <w:szCs w:val="21"/>
                <w:u w:val="single" w:color="auto"/>
              </w:rPr>
            </w:pPr>
          </w:p>
        </w:tc>
        <w:tc>
          <w:tcPr>
            <w:tcW w:w="770" w:type="dxa"/>
            <w:vMerge w:val="continue"/>
            <w:tcMar>
              <w:top w:w="0" w:type="dxa"/>
              <w:left w:w="0" w:type="dxa"/>
              <w:bottom w:w="0" w:type="dxa"/>
              <w:right w:w="0" w:type="dxa"/>
            </w:tcMar>
            <w:vAlign w:val="center"/>
          </w:tcPr>
          <w:p w14:paraId="105CA4CF">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18E11AD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kg/h</w:t>
            </w:r>
          </w:p>
        </w:tc>
        <w:tc>
          <w:tcPr>
            <w:tcW w:w="1476" w:type="dxa"/>
            <w:tcMar>
              <w:top w:w="0" w:type="dxa"/>
              <w:left w:w="0" w:type="dxa"/>
              <w:bottom w:w="0" w:type="dxa"/>
              <w:right w:w="0" w:type="dxa"/>
            </w:tcMar>
            <w:vAlign w:val="center"/>
          </w:tcPr>
          <w:p w14:paraId="0622C7C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t/a</w:t>
            </w:r>
          </w:p>
        </w:tc>
        <w:tc>
          <w:tcPr>
            <w:tcW w:w="3181" w:type="dxa"/>
            <w:vMerge w:val="continue"/>
            <w:tcMar>
              <w:top w:w="0" w:type="dxa"/>
              <w:left w:w="0" w:type="dxa"/>
              <w:bottom w:w="0" w:type="dxa"/>
              <w:right w:w="0" w:type="dxa"/>
            </w:tcMar>
            <w:vAlign w:val="center"/>
          </w:tcPr>
          <w:p w14:paraId="146C6B0B">
            <w:pPr>
              <w:snapToGrid w:val="0"/>
              <w:jc w:val="center"/>
              <w:rPr>
                <w:rFonts w:hint="default" w:ascii="Times New Roman" w:hAnsi="Times New Roman" w:eastAsia="宋体" w:cs="Times New Roman"/>
                <w:color w:val="auto"/>
                <w:sz w:val="21"/>
                <w:szCs w:val="21"/>
                <w:u w:val="single" w:color="auto"/>
              </w:rPr>
            </w:pPr>
          </w:p>
        </w:tc>
        <w:tc>
          <w:tcPr>
            <w:tcW w:w="1093" w:type="dxa"/>
            <w:vMerge w:val="continue"/>
            <w:tcMar>
              <w:top w:w="0" w:type="dxa"/>
              <w:left w:w="0" w:type="dxa"/>
              <w:bottom w:w="0" w:type="dxa"/>
              <w:right w:w="0" w:type="dxa"/>
            </w:tcMar>
            <w:vAlign w:val="center"/>
          </w:tcPr>
          <w:p w14:paraId="67BBA474">
            <w:pPr>
              <w:snapToGrid w:val="0"/>
              <w:jc w:val="center"/>
              <w:rPr>
                <w:rFonts w:hint="default" w:ascii="Times New Roman" w:hAnsi="Times New Roman" w:eastAsia="宋体" w:cs="Times New Roman"/>
                <w:color w:val="auto"/>
                <w:sz w:val="21"/>
                <w:szCs w:val="21"/>
                <w:u w:val="single" w:color="auto"/>
              </w:rPr>
            </w:pPr>
          </w:p>
        </w:tc>
        <w:tc>
          <w:tcPr>
            <w:tcW w:w="1029" w:type="dxa"/>
            <w:vMerge w:val="continue"/>
            <w:tcMar>
              <w:top w:w="0" w:type="dxa"/>
              <w:left w:w="0" w:type="dxa"/>
              <w:bottom w:w="0" w:type="dxa"/>
              <w:right w:w="0" w:type="dxa"/>
            </w:tcMar>
            <w:vAlign w:val="center"/>
          </w:tcPr>
          <w:p w14:paraId="406EBCC5">
            <w:pPr>
              <w:snapToGrid w:val="0"/>
              <w:jc w:val="center"/>
              <w:rPr>
                <w:rFonts w:hint="default" w:ascii="Times New Roman" w:hAnsi="Times New Roman" w:eastAsia="宋体" w:cs="Times New Roman"/>
                <w:color w:val="auto"/>
                <w:sz w:val="21"/>
                <w:szCs w:val="21"/>
                <w:u w:val="single" w:color="auto"/>
              </w:rPr>
            </w:pPr>
          </w:p>
        </w:tc>
        <w:tc>
          <w:tcPr>
            <w:tcW w:w="1039" w:type="dxa"/>
            <w:vMerge w:val="continue"/>
            <w:tcMar>
              <w:top w:w="0" w:type="dxa"/>
              <w:left w:w="0" w:type="dxa"/>
              <w:bottom w:w="0" w:type="dxa"/>
              <w:right w:w="0" w:type="dxa"/>
            </w:tcMar>
            <w:vAlign w:val="center"/>
          </w:tcPr>
          <w:p w14:paraId="025722E5">
            <w:pPr>
              <w:snapToGrid w:val="0"/>
              <w:jc w:val="center"/>
              <w:rPr>
                <w:rFonts w:hint="default" w:ascii="Times New Roman" w:hAnsi="Times New Roman" w:eastAsia="宋体" w:cs="Times New Roman"/>
                <w:color w:val="auto"/>
                <w:sz w:val="21"/>
                <w:szCs w:val="21"/>
                <w:u w:val="single" w:color="auto"/>
              </w:rPr>
            </w:pPr>
          </w:p>
        </w:tc>
        <w:tc>
          <w:tcPr>
            <w:tcW w:w="818" w:type="dxa"/>
            <w:vMerge w:val="continue"/>
            <w:tcMar>
              <w:top w:w="0" w:type="dxa"/>
              <w:left w:w="0" w:type="dxa"/>
              <w:bottom w:w="0" w:type="dxa"/>
              <w:right w:w="0" w:type="dxa"/>
            </w:tcMar>
            <w:vAlign w:val="center"/>
          </w:tcPr>
          <w:p w14:paraId="1872F6E2">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5B00CE51">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kg/h</w:t>
            </w:r>
          </w:p>
        </w:tc>
        <w:tc>
          <w:tcPr>
            <w:tcW w:w="604" w:type="dxa"/>
            <w:tcMar>
              <w:top w:w="0" w:type="dxa"/>
              <w:left w:w="0" w:type="dxa"/>
              <w:bottom w:w="0" w:type="dxa"/>
              <w:right w:w="0" w:type="dxa"/>
            </w:tcMar>
            <w:vAlign w:val="center"/>
          </w:tcPr>
          <w:p w14:paraId="0D35FB0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t/a</w:t>
            </w:r>
          </w:p>
        </w:tc>
      </w:tr>
      <w:tr w14:paraId="37F17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45" w:type="dxa"/>
            <w:vMerge w:val="restart"/>
            <w:tcMar>
              <w:top w:w="0" w:type="dxa"/>
              <w:left w:w="0" w:type="dxa"/>
              <w:bottom w:w="0" w:type="dxa"/>
              <w:right w:w="0" w:type="dxa"/>
            </w:tcMar>
            <w:vAlign w:val="center"/>
          </w:tcPr>
          <w:p w14:paraId="5AD4A1A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有组织</w:t>
            </w:r>
          </w:p>
        </w:tc>
        <w:tc>
          <w:tcPr>
            <w:tcW w:w="1164" w:type="dxa"/>
            <w:tcMar>
              <w:top w:w="0" w:type="dxa"/>
              <w:left w:w="0" w:type="dxa"/>
              <w:bottom w:w="0" w:type="dxa"/>
              <w:right w:w="0" w:type="dxa"/>
            </w:tcMar>
            <w:vAlign w:val="center"/>
          </w:tcPr>
          <w:p w14:paraId="2B10D43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抛丸</w:t>
            </w:r>
            <w:r>
              <w:rPr>
                <w:rFonts w:hint="default" w:ascii="Times New Roman" w:hAnsi="Times New Roman" w:eastAsia="宋体" w:cs="Times New Roman"/>
                <w:color w:val="auto"/>
                <w:sz w:val="21"/>
                <w:szCs w:val="21"/>
                <w:u w:val="single" w:color="auto"/>
                <w:lang w:eastAsia="zh-CN"/>
              </w:rPr>
              <w:t>、</w:t>
            </w:r>
            <w:r>
              <w:rPr>
                <w:rFonts w:hint="default" w:ascii="Times New Roman" w:hAnsi="Times New Roman" w:eastAsia="宋体" w:cs="Times New Roman"/>
                <w:color w:val="auto"/>
                <w:sz w:val="21"/>
                <w:szCs w:val="21"/>
                <w:u w:val="single" w:color="auto"/>
                <w:lang w:val="en-US" w:eastAsia="zh-CN"/>
              </w:rPr>
              <w:t>喷砂</w:t>
            </w:r>
            <w:r>
              <w:rPr>
                <w:rFonts w:hint="default" w:ascii="Times New Roman" w:hAnsi="Times New Roman" w:eastAsia="宋体" w:cs="Times New Roman"/>
                <w:color w:val="auto"/>
                <w:sz w:val="21"/>
                <w:szCs w:val="21"/>
                <w:u w:val="single" w:color="auto"/>
              </w:rPr>
              <w:t>废气</w:t>
            </w:r>
          </w:p>
        </w:tc>
        <w:tc>
          <w:tcPr>
            <w:tcW w:w="663" w:type="dxa"/>
            <w:tcMar>
              <w:top w:w="0" w:type="dxa"/>
              <w:left w:w="0" w:type="dxa"/>
              <w:bottom w:w="0" w:type="dxa"/>
              <w:right w:w="0" w:type="dxa"/>
            </w:tcMar>
            <w:vAlign w:val="center"/>
          </w:tcPr>
          <w:p w14:paraId="2F61B8D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粉尘</w:t>
            </w:r>
          </w:p>
        </w:tc>
        <w:tc>
          <w:tcPr>
            <w:tcW w:w="652" w:type="dxa"/>
            <w:tcMar>
              <w:top w:w="0" w:type="dxa"/>
              <w:left w:w="0" w:type="dxa"/>
              <w:bottom w:w="0" w:type="dxa"/>
              <w:right w:w="0" w:type="dxa"/>
            </w:tcMar>
            <w:vAlign w:val="center"/>
          </w:tcPr>
          <w:p w14:paraId="510B44E6">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6EB22719">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714" w:type="dxa"/>
            <w:tcMar>
              <w:top w:w="0" w:type="dxa"/>
              <w:left w:w="0" w:type="dxa"/>
              <w:bottom w:w="0" w:type="dxa"/>
              <w:right w:w="0" w:type="dxa"/>
            </w:tcMar>
            <w:vAlign w:val="center"/>
          </w:tcPr>
          <w:p w14:paraId="62C1E81B">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476" w:type="dxa"/>
            <w:tcMar>
              <w:top w:w="0" w:type="dxa"/>
              <w:left w:w="0" w:type="dxa"/>
              <w:bottom w:w="0" w:type="dxa"/>
              <w:right w:w="0" w:type="dxa"/>
            </w:tcMar>
            <w:vAlign w:val="center"/>
          </w:tcPr>
          <w:p w14:paraId="75A7892C">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3181" w:type="dxa"/>
            <w:tcMar>
              <w:top w:w="0" w:type="dxa"/>
              <w:left w:w="0" w:type="dxa"/>
              <w:bottom w:w="0" w:type="dxa"/>
              <w:right w:w="0" w:type="dxa"/>
            </w:tcMar>
            <w:vAlign w:val="center"/>
          </w:tcPr>
          <w:p w14:paraId="5B9B1CA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负压收集（收集效率</w:t>
            </w:r>
            <w:r>
              <w:rPr>
                <w:rFonts w:hint="default" w:ascii="Times New Roman" w:hAnsi="Times New Roman" w:eastAsia="宋体" w:cs="Times New Roman"/>
                <w:color w:val="auto"/>
                <w:sz w:val="21"/>
                <w:szCs w:val="21"/>
                <w:u w:val="single" w:color="auto"/>
                <w:lang w:val="en-US" w:eastAsia="zh-CN"/>
              </w:rPr>
              <w:t>90</w:t>
            </w:r>
            <w:r>
              <w:rPr>
                <w:rFonts w:hint="default" w:ascii="Times New Roman" w:hAnsi="Times New Roman" w:eastAsia="宋体" w:cs="Times New Roman"/>
                <w:color w:val="auto"/>
                <w:sz w:val="21"/>
                <w:szCs w:val="21"/>
                <w:u w:val="single" w:color="auto"/>
              </w:rPr>
              <w:t>%）+滤筒除尘器（处理效率</w:t>
            </w:r>
            <w:r>
              <w:rPr>
                <w:rFonts w:hint="default" w:ascii="Times New Roman" w:hAnsi="Times New Roman" w:eastAsia="宋体" w:cs="Times New Roman"/>
                <w:color w:val="auto"/>
                <w:sz w:val="21"/>
                <w:szCs w:val="21"/>
                <w:u w:val="single" w:color="auto"/>
                <w:lang w:val="en-US" w:eastAsia="zh-CN"/>
              </w:rPr>
              <w:t>95</w:t>
            </w:r>
            <w:r>
              <w:rPr>
                <w:rFonts w:hint="default" w:ascii="Times New Roman" w:hAnsi="Times New Roman" w:eastAsia="宋体" w:cs="Times New Roman"/>
                <w:color w:val="auto"/>
                <w:sz w:val="21"/>
                <w:szCs w:val="21"/>
                <w:u w:val="single" w:color="auto"/>
              </w:rPr>
              <w:t>%）</w:t>
            </w:r>
          </w:p>
        </w:tc>
        <w:tc>
          <w:tcPr>
            <w:tcW w:w="1093" w:type="dxa"/>
            <w:tcMar>
              <w:top w:w="0" w:type="dxa"/>
              <w:left w:w="0" w:type="dxa"/>
              <w:bottom w:w="0" w:type="dxa"/>
              <w:right w:w="0" w:type="dxa"/>
            </w:tcMar>
            <w:vAlign w:val="center"/>
          </w:tcPr>
          <w:p w14:paraId="350E84E7">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16692C57">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6B8EBEEF">
            <w:pPr>
              <w:snapToGrid w:val="0"/>
              <w:jc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1A676679">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498" w:type="dxa"/>
            <w:tcMar>
              <w:top w:w="0" w:type="dxa"/>
              <w:left w:w="0" w:type="dxa"/>
              <w:bottom w:w="0" w:type="dxa"/>
              <w:right w:w="0" w:type="dxa"/>
            </w:tcMar>
            <w:vAlign w:val="center"/>
          </w:tcPr>
          <w:p w14:paraId="6A738978">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604" w:type="dxa"/>
            <w:tcMar>
              <w:top w:w="0" w:type="dxa"/>
              <w:left w:w="0" w:type="dxa"/>
              <w:bottom w:w="0" w:type="dxa"/>
              <w:right w:w="0" w:type="dxa"/>
            </w:tcMar>
            <w:vAlign w:val="center"/>
          </w:tcPr>
          <w:p w14:paraId="7179FC63">
            <w:pPr>
              <w:widowControl/>
              <w:snapToGrid w:val="0"/>
              <w:jc w:val="center"/>
              <w:textAlignment w:val="center"/>
              <w:rPr>
                <w:rFonts w:hint="default" w:ascii="Times New Roman" w:hAnsi="Times New Roman" w:eastAsia="宋体" w:cs="Times New Roman"/>
                <w:color w:val="auto"/>
                <w:sz w:val="21"/>
                <w:szCs w:val="21"/>
                <w:u w:val="single" w:color="auto"/>
                <w:lang w:val="en-US" w:eastAsia="zh-CN"/>
              </w:rPr>
            </w:pPr>
          </w:p>
        </w:tc>
      </w:tr>
      <w:tr w14:paraId="34E08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45" w:type="dxa"/>
            <w:vMerge w:val="continue"/>
            <w:tcMar>
              <w:top w:w="0" w:type="dxa"/>
              <w:left w:w="0" w:type="dxa"/>
              <w:bottom w:w="0" w:type="dxa"/>
              <w:right w:w="0" w:type="dxa"/>
            </w:tcMar>
            <w:vAlign w:val="center"/>
          </w:tcPr>
          <w:p w14:paraId="3F750401">
            <w:pPr>
              <w:snapToGrid w:val="0"/>
              <w:jc w:val="center"/>
              <w:rPr>
                <w:rFonts w:hint="default" w:ascii="Times New Roman" w:hAnsi="Times New Roman" w:eastAsia="宋体" w:cs="Times New Roman"/>
                <w:color w:val="auto"/>
                <w:sz w:val="21"/>
                <w:szCs w:val="21"/>
                <w:u w:val="single" w:color="auto"/>
              </w:rPr>
            </w:pPr>
          </w:p>
        </w:tc>
        <w:tc>
          <w:tcPr>
            <w:tcW w:w="1164" w:type="dxa"/>
            <w:vMerge w:val="restart"/>
            <w:tcMar>
              <w:top w:w="0" w:type="dxa"/>
              <w:left w:w="0" w:type="dxa"/>
              <w:bottom w:w="0" w:type="dxa"/>
              <w:right w:w="0" w:type="dxa"/>
            </w:tcMar>
            <w:vAlign w:val="center"/>
          </w:tcPr>
          <w:p w14:paraId="60B00B0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喷漆废气</w:t>
            </w:r>
          </w:p>
        </w:tc>
        <w:tc>
          <w:tcPr>
            <w:tcW w:w="663" w:type="dxa"/>
            <w:tcMar>
              <w:top w:w="0" w:type="dxa"/>
              <w:left w:w="0" w:type="dxa"/>
              <w:bottom w:w="0" w:type="dxa"/>
              <w:right w:w="0" w:type="dxa"/>
            </w:tcMar>
            <w:vAlign w:val="center"/>
          </w:tcPr>
          <w:p w14:paraId="221C00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652" w:type="dxa"/>
            <w:vMerge w:val="restart"/>
            <w:tcMar>
              <w:top w:w="0" w:type="dxa"/>
              <w:left w:w="0" w:type="dxa"/>
              <w:bottom w:w="0" w:type="dxa"/>
              <w:right w:w="0" w:type="dxa"/>
            </w:tcMar>
            <w:vAlign w:val="center"/>
          </w:tcPr>
          <w:p w14:paraId="62B3B7CD">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6D7F385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5FB7200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1476" w:type="dxa"/>
            <w:tcMar>
              <w:top w:w="0" w:type="dxa"/>
              <w:left w:w="0" w:type="dxa"/>
              <w:bottom w:w="0" w:type="dxa"/>
              <w:right w:w="0" w:type="dxa"/>
            </w:tcMar>
            <w:vAlign w:val="center"/>
          </w:tcPr>
          <w:p w14:paraId="6C4C81F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3181" w:type="dxa"/>
            <w:vMerge w:val="restart"/>
            <w:tcMar>
              <w:top w:w="0" w:type="dxa"/>
              <w:left w:w="0" w:type="dxa"/>
              <w:bottom w:w="0" w:type="dxa"/>
              <w:right w:w="0" w:type="dxa"/>
            </w:tcMar>
            <w:vAlign w:val="center"/>
          </w:tcPr>
          <w:p w14:paraId="15611E44">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负压收集（收集9</w:t>
            </w:r>
            <w:r>
              <w:rPr>
                <w:rFonts w:hint="default" w:ascii="Times New Roman" w:hAnsi="Times New Roman" w:eastAsia="宋体" w:cs="Times New Roman"/>
                <w:color w:val="auto"/>
                <w:sz w:val="21"/>
                <w:szCs w:val="21"/>
                <w:u w:val="single" w:color="auto"/>
                <w:lang w:val="en-US" w:eastAsia="zh-CN"/>
              </w:rPr>
              <w:t>0</w:t>
            </w:r>
            <w:r>
              <w:rPr>
                <w:rFonts w:hint="default" w:ascii="Times New Roman" w:hAnsi="Times New Roman" w:eastAsia="宋体" w:cs="Times New Roman"/>
                <w:color w:val="auto"/>
                <w:sz w:val="21"/>
                <w:szCs w:val="21"/>
                <w:u w:val="single" w:color="auto"/>
              </w:rPr>
              <w:t>%）+干式过滤（</w:t>
            </w:r>
            <w:r>
              <w:rPr>
                <w:rFonts w:hint="default" w:ascii="Times New Roman" w:hAnsi="Times New Roman" w:eastAsia="宋体" w:cs="Times New Roman"/>
                <w:color w:val="auto"/>
                <w:sz w:val="21"/>
                <w:szCs w:val="21"/>
                <w:u w:val="single" w:color="auto"/>
                <w:lang w:val="en-US" w:eastAsia="zh-CN"/>
              </w:rPr>
              <w:t>漆雾</w:t>
            </w:r>
            <w:r>
              <w:rPr>
                <w:rFonts w:hint="default" w:ascii="Times New Roman" w:hAnsi="Times New Roman" w:eastAsia="宋体" w:cs="Times New Roman"/>
                <w:color w:val="auto"/>
                <w:sz w:val="21"/>
                <w:szCs w:val="21"/>
                <w:u w:val="single" w:color="auto"/>
              </w:rPr>
              <w:t>处理效率</w:t>
            </w:r>
            <w:r>
              <w:rPr>
                <w:rFonts w:hint="eastAsia" w:ascii="Times New Roman" w:hAnsi="Times New Roman" w:eastAsia="宋体" w:cs="Times New Roman"/>
                <w:color w:val="auto"/>
                <w:sz w:val="21"/>
                <w:szCs w:val="21"/>
                <w:u w:val="single" w:color="auto"/>
                <w:lang w:val="en-US" w:eastAsia="zh-CN"/>
              </w:rPr>
              <w:t>80</w:t>
            </w:r>
            <w:r>
              <w:rPr>
                <w:rFonts w:hint="default" w:ascii="Times New Roman" w:hAnsi="Times New Roman" w:eastAsia="宋体" w:cs="Times New Roman"/>
                <w:color w:val="auto"/>
                <w:sz w:val="21"/>
                <w:szCs w:val="21"/>
                <w:u w:val="single" w:color="auto"/>
              </w:rPr>
              <w:t>%）+活性炭吸附+解吸脱附+催化燃烧（</w:t>
            </w:r>
            <w:r>
              <w:rPr>
                <w:rFonts w:hint="default" w:ascii="Times New Roman" w:hAnsi="Times New Roman" w:eastAsia="宋体" w:cs="Times New Roman"/>
                <w:color w:val="auto"/>
                <w:sz w:val="21"/>
                <w:szCs w:val="21"/>
                <w:u w:val="single" w:color="auto"/>
                <w:lang w:val="en-US" w:eastAsia="zh-CN"/>
              </w:rPr>
              <w:t>有机废气</w:t>
            </w:r>
            <w:r>
              <w:rPr>
                <w:rFonts w:hint="default" w:ascii="Times New Roman" w:hAnsi="Times New Roman" w:eastAsia="宋体" w:cs="Times New Roman"/>
                <w:color w:val="auto"/>
                <w:sz w:val="21"/>
                <w:szCs w:val="21"/>
                <w:u w:val="single" w:color="auto"/>
              </w:rPr>
              <w:t>处理效率</w:t>
            </w:r>
            <w:r>
              <w:rPr>
                <w:rFonts w:hint="default" w:ascii="Times New Roman" w:hAnsi="Times New Roman" w:eastAsia="宋体" w:cs="Times New Roman"/>
                <w:color w:val="auto"/>
                <w:sz w:val="21"/>
                <w:szCs w:val="21"/>
                <w:u w:val="single" w:color="auto"/>
                <w:lang w:val="en-US" w:eastAsia="zh-CN"/>
              </w:rPr>
              <w:t>90</w:t>
            </w:r>
            <w:r>
              <w:rPr>
                <w:rFonts w:hint="default" w:ascii="Times New Roman" w:hAnsi="Times New Roman" w:eastAsia="宋体" w:cs="Times New Roman"/>
                <w:color w:val="auto"/>
                <w:sz w:val="21"/>
                <w:szCs w:val="21"/>
                <w:u w:val="single" w:color="auto"/>
              </w:rPr>
              <w:t>%）</w:t>
            </w:r>
          </w:p>
        </w:tc>
        <w:tc>
          <w:tcPr>
            <w:tcW w:w="1093" w:type="dxa"/>
            <w:vMerge w:val="restart"/>
            <w:tcMar>
              <w:top w:w="0" w:type="dxa"/>
              <w:left w:w="0" w:type="dxa"/>
              <w:bottom w:w="0" w:type="dxa"/>
              <w:right w:w="0" w:type="dxa"/>
            </w:tcMar>
            <w:vAlign w:val="center"/>
          </w:tcPr>
          <w:p w14:paraId="43A3B251">
            <w:pPr>
              <w:snapToGrid w:val="0"/>
              <w:jc w:val="center"/>
              <w:rPr>
                <w:rFonts w:hint="default" w:ascii="Times New Roman" w:hAnsi="Times New Roman" w:eastAsia="宋体" w:cs="Times New Roman"/>
                <w:color w:val="auto"/>
                <w:sz w:val="21"/>
                <w:szCs w:val="21"/>
                <w:u w:val="single" w:color="auto"/>
              </w:rPr>
            </w:pPr>
          </w:p>
        </w:tc>
        <w:tc>
          <w:tcPr>
            <w:tcW w:w="1029" w:type="dxa"/>
            <w:vMerge w:val="restart"/>
            <w:tcMar>
              <w:top w:w="0" w:type="dxa"/>
              <w:left w:w="0" w:type="dxa"/>
              <w:bottom w:w="0" w:type="dxa"/>
              <w:right w:w="0" w:type="dxa"/>
            </w:tcMar>
            <w:vAlign w:val="center"/>
          </w:tcPr>
          <w:p w14:paraId="501E45D2">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52BE5188">
            <w:pPr>
              <w:snapToGrid w:val="0"/>
              <w:jc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6BF8DC8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498" w:type="dxa"/>
            <w:tcMar>
              <w:top w:w="0" w:type="dxa"/>
              <w:left w:w="0" w:type="dxa"/>
              <w:bottom w:w="0" w:type="dxa"/>
              <w:right w:w="0" w:type="dxa"/>
            </w:tcMar>
            <w:vAlign w:val="center"/>
          </w:tcPr>
          <w:p w14:paraId="4A04BD2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604" w:type="dxa"/>
            <w:tcMar>
              <w:top w:w="0" w:type="dxa"/>
              <w:left w:w="0" w:type="dxa"/>
              <w:bottom w:w="0" w:type="dxa"/>
              <w:right w:w="0" w:type="dxa"/>
            </w:tcMar>
            <w:vAlign w:val="center"/>
          </w:tcPr>
          <w:p w14:paraId="693F85A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eastAsia="zh-CN"/>
              </w:rPr>
            </w:pPr>
          </w:p>
        </w:tc>
      </w:tr>
      <w:tr w14:paraId="2745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45" w:type="dxa"/>
            <w:vMerge w:val="continue"/>
            <w:tcMar>
              <w:top w:w="0" w:type="dxa"/>
              <w:left w:w="0" w:type="dxa"/>
              <w:bottom w:w="0" w:type="dxa"/>
              <w:right w:w="0" w:type="dxa"/>
            </w:tcMar>
            <w:vAlign w:val="center"/>
          </w:tcPr>
          <w:p w14:paraId="2D5D5C79">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1CA4CD1F">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5F69FC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652" w:type="dxa"/>
            <w:vMerge w:val="continue"/>
            <w:tcMar>
              <w:top w:w="0" w:type="dxa"/>
              <w:left w:w="0" w:type="dxa"/>
              <w:bottom w:w="0" w:type="dxa"/>
              <w:right w:w="0" w:type="dxa"/>
            </w:tcMar>
            <w:vAlign w:val="center"/>
          </w:tcPr>
          <w:p w14:paraId="04AB7436">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5E66B5B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440736F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476" w:type="dxa"/>
            <w:tcMar>
              <w:top w:w="0" w:type="dxa"/>
              <w:left w:w="0" w:type="dxa"/>
              <w:bottom w:w="0" w:type="dxa"/>
              <w:right w:w="0" w:type="dxa"/>
            </w:tcMar>
            <w:vAlign w:val="center"/>
          </w:tcPr>
          <w:p w14:paraId="5BDA13B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3181" w:type="dxa"/>
            <w:vMerge w:val="continue"/>
            <w:tcMar>
              <w:top w:w="0" w:type="dxa"/>
              <w:left w:w="0" w:type="dxa"/>
              <w:bottom w:w="0" w:type="dxa"/>
              <w:right w:w="0" w:type="dxa"/>
            </w:tcMar>
            <w:vAlign w:val="center"/>
          </w:tcPr>
          <w:p w14:paraId="09583F29">
            <w:pPr>
              <w:snapToGrid w:val="0"/>
              <w:jc w:val="center"/>
              <w:rPr>
                <w:rFonts w:hint="default" w:ascii="Times New Roman" w:hAnsi="Times New Roman" w:eastAsia="宋体" w:cs="Times New Roman"/>
                <w:color w:val="auto"/>
                <w:sz w:val="21"/>
                <w:szCs w:val="21"/>
                <w:u w:val="single" w:color="auto"/>
              </w:rPr>
            </w:pPr>
          </w:p>
        </w:tc>
        <w:tc>
          <w:tcPr>
            <w:tcW w:w="1093" w:type="dxa"/>
            <w:vMerge w:val="continue"/>
            <w:tcMar>
              <w:top w:w="0" w:type="dxa"/>
              <w:left w:w="0" w:type="dxa"/>
              <w:bottom w:w="0" w:type="dxa"/>
              <w:right w:w="0" w:type="dxa"/>
            </w:tcMar>
            <w:vAlign w:val="center"/>
          </w:tcPr>
          <w:p w14:paraId="44FBC459">
            <w:pPr>
              <w:snapToGrid w:val="0"/>
              <w:jc w:val="center"/>
              <w:rPr>
                <w:rFonts w:hint="default" w:ascii="Times New Roman" w:hAnsi="Times New Roman" w:eastAsia="宋体" w:cs="Times New Roman"/>
                <w:color w:val="auto"/>
                <w:sz w:val="21"/>
                <w:szCs w:val="21"/>
                <w:u w:val="single" w:color="auto"/>
              </w:rPr>
            </w:pPr>
          </w:p>
        </w:tc>
        <w:tc>
          <w:tcPr>
            <w:tcW w:w="1029" w:type="dxa"/>
            <w:vMerge w:val="continue"/>
            <w:tcMar>
              <w:top w:w="0" w:type="dxa"/>
              <w:left w:w="0" w:type="dxa"/>
              <w:bottom w:w="0" w:type="dxa"/>
              <w:right w:w="0" w:type="dxa"/>
            </w:tcMar>
            <w:vAlign w:val="center"/>
          </w:tcPr>
          <w:p w14:paraId="32CC3005">
            <w:pPr>
              <w:snapToGrid w:val="0"/>
              <w:jc w:val="center"/>
              <w:rPr>
                <w:rFonts w:hint="default" w:ascii="Times New Roman" w:hAnsi="Times New Roman" w:eastAsia="宋体" w:cs="Times New Roman"/>
                <w:color w:val="auto"/>
                <w:sz w:val="21"/>
                <w:szCs w:val="21"/>
                <w:u w:val="single" w:color="auto"/>
              </w:rPr>
            </w:pPr>
          </w:p>
        </w:tc>
        <w:tc>
          <w:tcPr>
            <w:tcW w:w="1039" w:type="dxa"/>
            <w:vMerge w:val="restart"/>
            <w:tcMar>
              <w:top w:w="0" w:type="dxa"/>
              <w:left w:w="0" w:type="dxa"/>
              <w:bottom w:w="0" w:type="dxa"/>
              <w:right w:w="0" w:type="dxa"/>
            </w:tcMar>
            <w:vAlign w:val="center"/>
          </w:tcPr>
          <w:p w14:paraId="25FC37FA">
            <w:pPr>
              <w:snapToGrid w:val="0"/>
              <w:jc w:val="center"/>
              <w:rPr>
                <w:rFonts w:hint="default" w:ascii="Times New Roman" w:hAnsi="Times New Roman" w:eastAsia="宋体" w:cs="Times New Roman"/>
                <w:color w:val="auto"/>
                <w:kern w:val="0"/>
                <w:sz w:val="21"/>
                <w:szCs w:val="21"/>
                <w:u w:val="single" w:color="auto"/>
                <w:lang w:bidi="ar"/>
              </w:rPr>
            </w:pPr>
          </w:p>
        </w:tc>
        <w:tc>
          <w:tcPr>
            <w:tcW w:w="818" w:type="dxa"/>
            <w:vMerge w:val="restart"/>
            <w:tcMar>
              <w:top w:w="0" w:type="dxa"/>
              <w:left w:w="0" w:type="dxa"/>
              <w:bottom w:w="0" w:type="dxa"/>
              <w:right w:w="0" w:type="dxa"/>
            </w:tcMar>
            <w:vAlign w:val="center"/>
          </w:tcPr>
          <w:p w14:paraId="50895CE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498" w:type="dxa"/>
            <w:vMerge w:val="restart"/>
            <w:tcMar>
              <w:top w:w="0" w:type="dxa"/>
              <w:left w:w="0" w:type="dxa"/>
              <w:bottom w:w="0" w:type="dxa"/>
              <w:right w:w="0" w:type="dxa"/>
            </w:tcMar>
            <w:vAlign w:val="center"/>
          </w:tcPr>
          <w:p w14:paraId="23A04F7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04" w:type="dxa"/>
            <w:vMerge w:val="restart"/>
            <w:tcMar>
              <w:top w:w="0" w:type="dxa"/>
              <w:left w:w="0" w:type="dxa"/>
              <w:bottom w:w="0" w:type="dxa"/>
              <w:right w:w="0" w:type="dxa"/>
            </w:tcMar>
            <w:vAlign w:val="center"/>
          </w:tcPr>
          <w:p w14:paraId="2F9A551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r>
      <w:tr w14:paraId="7690B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45" w:type="dxa"/>
            <w:vMerge w:val="continue"/>
            <w:tcMar>
              <w:top w:w="0" w:type="dxa"/>
              <w:left w:w="0" w:type="dxa"/>
              <w:bottom w:w="0" w:type="dxa"/>
              <w:right w:w="0" w:type="dxa"/>
            </w:tcMar>
            <w:vAlign w:val="center"/>
          </w:tcPr>
          <w:p w14:paraId="73051C8F">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19498497">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7C682C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652" w:type="dxa"/>
            <w:vMerge w:val="continue"/>
            <w:tcMar>
              <w:top w:w="0" w:type="dxa"/>
              <w:left w:w="0" w:type="dxa"/>
              <w:bottom w:w="0" w:type="dxa"/>
              <w:right w:w="0" w:type="dxa"/>
            </w:tcMar>
            <w:vAlign w:val="center"/>
          </w:tcPr>
          <w:p w14:paraId="404775A4">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75EF59A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7AB63FA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476" w:type="dxa"/>
            <w:tcMar>
              <w:top w:w="0" w:type="dxa"/>
              <w:left w:w="0" w:type="dxa"/>
              <w:bottom w:w="0" w:type="dxa"/>
              <w:right w:w="0" w:type="dxa"/>
            </w:tcMar>
            <w:vAlign w:val="center"/>
          </w:tcPr>
          <w:p w14:paraId="32BB03A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3181" w:type="dxa"/>
            <w:vMerge w:val="continue"/>
            <w:tcMar>
              <w:top w:w="0" w:type="dxa"/>
              <w:left w:w="0" w:type="dxa"/>
              <w:bottom w:w="0" w:type="dxa"/>
              <w:right w:w="0" w:type="dxa"/>
            </w:tcMar>
            <w:vAlign w:val="center"/>
          </w:tcPr>
          <w:p w14:paraId="49FB26A9">
            <w:pPr>
              <w:snapToGrid w:val="0"/>
              <w:jc w:val="center"/>
              <w:rPr>
                <w:rFonts w:hint="default" w:ascii="Times New Roman" w:hAnsi="Times New Roman" w:eastAsia="宋体" w:cs="Times New Roman"/>
                <w:color w:val="auto"/>
                <w:sz w:val="21"/>
                <w:szCs w:val="21"/>
                <w:u w:val="single" w:color="auto"/>
              </w:rPr>
            </w:pPr>
          </w:p>
        </w:tc>
        <w:tc>
          <w:tcPr>
            <w:tcW w:w="1093" w:type="dxa"/>
            <w:vMerge w:val="continue"/>
            <w:tcMar>
              <w:top w:w="0" w:type="dxa"/>
              <w:left w:w="0" w:type="dxa"/>
              <w:bottom w:w="0" w:type="dxa"/>
              <w:right w:w="0" w:type="dxa"/>
            </w:tcMar>
            <w:vAlign w:val="center"/>
          </w:tcPr>
          <w:p w14:paraId="2E68F136">
            <w:pPr>
              <w:snapToGrid w:val="0"/>
              <w:jc w:val="center"/>
              <w:rPr>
                <w:rFonts w:hint="default" w:ascii="Times New Roman" w:hAnsi="Times New Roman" w:eastAsia="宋体" w:cs="Times New Roman"/>
                <w:color w:val="auto"/>
                <w:sz w:val="21"/>
                <w:szCs w:val="21"/>
                <w:u w:val="single" w:color="auto"/>
              </w:rPr>
            </w:pPr>
          </w:p>
        </w:tc>
        <w:tc>
          <w:tcPr>
            <w:tcW w:w="1029" w:type="dxa"/>
            <w:vMerge w:val="continue"/>
            <w:tcMar>
              <w:top w:w="0" w:type="dxa"/>
              <w:left w:w="0" w:type="dxa"/>
              <w:bottom w:w="0" w:type="dxa"/>
              <w:right w:w="0" w:type="dxa"/>
            </w:tcMar>
            <w:vAlign w:val="center"/>
          </w:tcPr>
          <w:p w14:paraId="67770E5E">
            <w:pPr>
              <w:snapToGrid w:val="0"/>
              <w:jc w:val="center"/>
              <w:rPr>
                <w:rFonts w:hint="default" w:ascii="Times New Roman" w:hAnsi="Times New Roman" w:eastAsia="宋体" w:cs="Times New Roman"/>
                <w:color w:val="auto"/>
                <w:sz w:val="21"/>
                <w:szCs w:val="21"/>
                <w:u w:val="single" w:color="auto"/>
              </w:rPr>
            </w:pPr>
          </w:p>
        </w:tc>
        <w:tc>
          <w:tcPr>
            <w:tcW w:w="1039" w:type="dxa"/>
            <w:vMerge w:val="continue"/>
            <w:tcMar>
              <w:top w:w="0" w:type="dxa"/>
              <w:left w:w="0" w:type="dxa"/>
              <w:bottom w:w="0" w:type="dxa"/>
              <w:right w:w="0" w:type="dxa"/>
            </w:tcMar>
            <w:vAlign w:val="center"/>
          </w:tcPr>
          <w:p w14:paraId="272C2369">
            <w:pPr>
              <w:widowControl/>
              <w:snapToGrid w:val="0"/>
              <w:jc w:val="center"/>
              <w:rPr>
                <w:rFonts w:hint="default" w:ascii="Times New Roman" w:hAnsi="Times New Roman" w:eastAsia="宋体" w:cs="Times New Roman"/>
                <w:color w:val="auto"/>
                <w:kern w:val="0"/>
                <w:sz w:val="21"/>
                <w:szCs w:val="21"/>
                <w:u w:val="single" w:color="auto"/>
                <w:lang w:bidi="ar"/>
              </w:rPr>
            </w:pPr>
          </w:p>
        </w:tc>
        <w:tc>
          <w:tcPr>
            <w:tcW w:w="818" w:type="dxa"/>
            <w:vMerge w:val="continue"/>
            <w:tcMar>
              <w:top w:w="0" w:type="dxa"/>
              <w:left w:w="0" w:type="dxa"/>
              <w:bottom w:w="0" w:type="dxa"/>
              <w:right w:w="0" w:type="dxa"/>
            </w:tcMar>
            <w:vAlign w:val="center"/>
          </w:tcPr>
          <w:p w14:paraId="75F4D53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p>
        </w:tc>
        <w:tc>
          <w:tcPr>
            <w:tcW w:w="498" w:type="dxa"/>
            <w:vMerge w:val="continue"/>
            <w:tcMar>
              <w:top w:w="0" w:type="dxa"/>
              <w:left w:w="0" w:type="dxa"/>
              <w:bottom w:w="0" w:type="dxa"/>
              <w:right w:w="0" w:type="dxa"/>
            </w:tcMar>
            <w:vAlign w:val="center"/>
          </w:tcPr>
          <w:p w14:paraId="76219965">
            <w:pPr>
              <w:widowControl/>
              <w:jc w:val="center"/>
              <w:textAlignment w:val="center"/>
              <w:rPr>
                <w:rFonts w:hint="default" w:ascii="Times New Roman" w:hAnsi="Times New Roman" w:eastAsia="宋体" w:cs="Times New Roman"/>
                <w:color w:val="auto"/>
                <w:sz w:val="21"/>
                <w:szCs w:val="21"/>
                <w:u w:val="single" w:color="auto"/>
              </w:rPr>
            </w:pPr>
          </w:p>
        </w:tc>
        <w:tc>
          <w:tcPr>
            <w:tcW w:w="604" w:type="dxa"/>
            <w:vMerge w:val="continue"/>
            <w:tcMar>
              <w:top w:w="0" w:type="dxa"/>
              <w:left w:w="0" w:type="dxa"/>
              <w:bottom w:w="0" w:type="dxa"/>
              <w:right w:w="0" w:type="dxa"/>
            </w:tcMar>
            <w:vAlign w:val="center"/>
          </w:tcPr>
          <w:p w14:paraId="57ADB6BB">
            <w:pPr>
              <w:widowControl/>
              <w:jc w:val="center"/>
              <w:textAlignment w:val="center"/>
              <w:rPr>
                <w:rFonts w:hint="default" w:ascii="Times New Roman" w:hAnsi="Times New Roman" w:eastAsia="宋体" w:cs="Times New Roman"/>
                <w:color w:val="auto"/>
                <w:sz w:val="21"/>
                <w:szCs w:val="21"/>
                <w:u w:val="single" w:color="auto"/>
              </w:rPr>
            </w:pPr>
          </w:p>
        </w:tc>
      </w:tr>
      <w:tr w14:paraId="20006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45" w:type="dxa"/>
            <w:vMerge w:val="continue"/>
            <w:tcMar>
              <w:top w:w="0" w:type="dxa"/>
              <w:left w:w="0" w:type="dxa"/>
              <w:bottom w:w="0" w:type="dxa"/>
              <w:right w:w="0" w:type="dxa"/>
            </w:tcMar>
            <w:vAlign w:val="center"/>
          </w:tcPr>
          <w:p w14:paraId="21093712">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543484A8">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180245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漆雾</w:t>
            </w:r>
          </w:p>
        </w:tc>
        <w:tc>
          <w:tcPr>
            <w:tcW w:w="652" w:type="dxa"/>
            <w:vMerge w:val="continue"/>
            <w:tcMar>
              <w:top w:w="0" w:type="dxa"/>
              <w:left w:w="0" w:type="dxa"/>
              <w:bottom w:w="0" w:type="dxa"/>
              <w:right w:w="0" w:type="dxa"/>
            </w:tcMar>
            <w:vAlign w:val="center"/>
          </w:tcPr>
          <w:p w14:paraId="6A76891B">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031948C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714" w:type="dxa"/>
            <w:tcMar>
              <w:top w:w="0" w:type="dxa"/>
              <w:left w:w="0" w:type="dxa"/>
              <w:bottom w:w="0" w:type="dxa"/>
              <w:right w:w="0" w:type="dxa"/>
            </w:tcMar>
            <w:vAlign w:val="center"/>
          </w:tcPr>
          <w:p w14:paraId="3AEC7C5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1476" w:type="dxa"/>
            <w:tcMar>
              <w:top w:w="0" w:type="dxa"/>
              <w:left w:w="0" w:type="dxa"/>
              <w:bottom w:w="0" w:type="dxa"/>
              <w:right w:w="0" w:type="dxa"/>
            </w:tcMar>
            <w:vAlign w:val="center"/>
          </w:tcPr>
          <w:p w14:paraId="0A730F2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3181" w:type="dxa"/>
            <w:vMerge w:val="continue"/>
            <w:tcMar>
              <w:top w:w="0" w:type="dxa"/>
              <w:left w:w="0" w:type="dxa"/>
              <w:bottom w:w="0" w:type="dxa"/>
              <w:right w:w="0" w:type="dxa"/>
            </w:tcMar>
            <w:vAlign w:val="center"/>
          </w:tcPr>
          <w:p w14:paraId="435AAD74">
            <w:pPr>
              <w:snapToGrid w:val="0"/>
              <w:jc w:val="center"/>
              <w:rPr>
                <w:rFonts w:hint="default" w:ascii="Times New Roman" w:hAnsi="Times New Roman" w:eastAsia="宋体" w:cs="Times New Roman"/>
                <w:color w:val="auto"/>
                <w:sz w:val="21"/>
                <w:szCs w:val="21"/>
                <w:u w:val="single" w:color="auto"/>
              </w:rPr>
            </w:pPr>
          </w:p>
        </w:tc>
        <w:tc>
          <w:tcPr>
            <w:tcW w:w="1093" w:type="dxa"/>
            <w:vMerge w:val="continue"/>
            <w:tcMar>
              <w:top w:w="0" w:type="dxa"/>
              <w:left w:w="0" w:type="dxa"/>
              <w:bottom w:w="0" w:type="dxa"/>
              <w:right w:w="0" w:type="dxa"/>
            </w:tcMar>
            <w:vAlign w:val="center"/>
          </w:tcPr>
          <w:p w14:paraId="47B61703">
            <w:pPr>
              <w:snapToGrid w:val="0"/>
              <w:jc w:val="center"/>
              <w:rPr>
                <w:rFonts w:hint="default" w:ascii="Times New Roman" w:hAnsi="Times New Roman" w:eastAsia="宋体" w:cs="Times New Roman"/>
                <w:color w:val="auto"/>
                <w:sz w:val="21"/>
                <w:szCs w:val="21"/>
                <w:u w:val="single" w:color="auto"/>
              </w:rPr>
            </w:pPr>
          </w:p>
        </w:tc>
        <w:tc>
          <w:tcPr>
            <w:tcW w:w="1029" w:type="dxa"/>
            <w:vMerge w:val="continue"/>
            <w:tcMar>
              <w:top w:w="0" w:type="dxa"/>
              <w:left w:w="0" w:type="dxa"/>
              <w:bottom w:w="0" w:type="dxa"/>
              <w:right w:w="0" w:type="dxa"/>
            </w:tcMar>
            <w:vAlign w:val="center"/>
          </w:tcPr>
          <w:p w14:paraId="76DC66B5">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75873F63">
            <w:pPr>
              <w:snapToGrid w:val="0"/>
              <w:jc w:val="center"/>
              <w:rPr>
                <w:rFonts w:hint="default" w:ascii="Times New Roman" w:hAnsi="Times New Roman" w:eastAsia="宋体" w:cs="Times New Roman"/>
                <w:color w:val="auto"/>
                <w:kern w:val="0"/>
                <w:sz w:val="21"/>
                <w:szCs w:val="21"/>
                <w:u w:val="single" w:color="auto"/>
                <w:lang w:bidi="ar"/>
              </w:rPr>
            </w:pPr>
          </w:p>
        </w:tc>
        <w:tc>
          <w:tcPr>
            <w:tcW w:w="818" w:type="dxa"/>
            <w:tcMar>
              <w:top w:w="0" w:type="dxa"/>
              <w:left w:w="0" w:type="dxa"/>
              <w:bottom w:w="0" w:type="dxa"/>
              <w:right w:w="0" w:type="dxa"/>
            </w:tcMar>
            <w:vAlign w:val="center"/>
          </w:tcPr>
          <w:p w14:paraId="60323E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eastAsia="zh-CN"/>
              </w:rPr>
            </w:pPr>
          </w:p>
        </w:tc>
        <w:tc>
          <w:tcPr>
            <w:tcW w:w="498" w:type="dxa"/>
            <w:tcMar>
              <w:top w:w="0" w:type="dxa"/>
              <w:left w:w="0" w:type="dxa"/>
              <w:bottom w:w="0" w:type="dxa"/>
              <w:right w:w="0" w:type="dxa"/>
            </w:tcMar>
            <w:vAlign w:val="center"/>
          </w:tcPr>
          <w:p w14:paraId="5799C1D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04" w:type="dxa"/>
            <w:tcMar>
              <w:top w:w="0" w:type="dxa"/>
              <w:left w:w="0" w:type="dxa"/>
              <w:bottom w:w="0" w:type="dxa"/>
              <w:right w:w="0" w:type="dxa"/>
            </w:tcMar>
            <w:vAlign w:val="center"/>
          </w:tcPr>
          <w:p w14:paraId="07D4D02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r>
      <w:tr w14:paraId="7FE71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45" w:type="dxa"/>
            <w:vMerge w:val="continue"/>
            <w:tcMar>
              <w:top w:w="0" w:type="dxa"/>
              <w:left w:w="0" w:type="dxa"/>
              <w:bottom w:w="0" w:type="dxa"/>
              <w:right w:w="0" w:type="dxa"/>
            </w:tcMar>
            <w:vAlign w:val="center"/>
          </w:tcPr>
          <w:p w14:paraId="57F3C379">
            <w:pPr>
              <w:snapToGrid w:val="0"/>
              <w:jc w:val="center"/>
              <w:rPr>
                <w:rFonts w:hint="default" w:ascii="Times New Roman" w:hAnsi="Times New Roman" w:eastAsia="宋体" w:cs="Times New Roman"/>
                <w:color w:val="auto"/>
                <w:sz w:val="21"/>
                <w:szCs w:val="21"/>
                <w:u w:val="single" w:color="auto"/>
              </w:rPr>
            </w:pPr>
          </w:p>
        </w:tc>
        <w:tc>
          <w:tcPr>
            <w:tcW w:w="1164" w:type="dxa"/>
            <w:tcMar>
              <w:top w:w="0" w:type="dxa"/>
              <w:left w:w="0" w:type="dxa"/>
              <w:bottom w:w="0" w:type="dxa"/>
              <w:right w:w="0" w:type="dxa"/>
            </w:tcMar>
            <w:vAlign w:val="center"/>
          </w:tcPr>
          <w:p w14:paraId="6216790C">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危废暂存间</w:t>
            </w:r>
          </w:p>
        </w:tc>
        <w:tc>
          <w:tcPr>
            <w:tcW w:w="663" w:type="dxa"/>
            <w:tcMar>
              <w:top w:w="0" w:type="dxa"/>
              <w:left w:w="0" w:type="dxa"/>
              <w:bottom w:w="0" w:type="dxa"/>
              <w:right w:w="0" w:type="dxa"/>
            </w:tcMar>
            <w:vAlign w:val="center"/>
          </w:tcPr>
          <w:p w14:paraId="4D40722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非甲烷总烃</w:t>
            </w:r>
          </w:p>
        </w:tc>
        <w:tc>
          <w:tcPr>
            <w:tcW w:w="652" w:type="dxa"/>
            <w:tcMar>
              <w:top w:w="0" w:type="dxa"/>
              <w:left w:w="0" w:type="dxa"/>
              <w:bottom w:w="0" w:type="dxa"/>
              <w:right w:w="0" w:type="dxa"/>
            </w:tcMar>
            <w:vAlign w:val="center"/>
          </w:tcPr>
          <w:p w14:paraId="3A75D834">
            <w:pPr>
              <w:snapToGrid w:val="0"/>
              <w:jc w:val="center"/>
              <w:rPr>
                <w:rFonts w:hint="default" w:ascii="Times New Roman" w:hAnsi="Times New Roman" w:eastAsia="宋体" w:cs="Times New Roman"/>
                <w:color w:val="auto"/>
                <w:sz w:val="21"/>
                <w:szCs w:val="21"/>
                <w:u w:val="single" w:color="auto"/>
                <w:lang w:val="en-US" w:eastAsia="zh-CN"/>
              </w:rPr>
            </w:pPr>
          </w:p>
        </w:tc>
        <w:tc>
          <w:tcPr>
            <w:tcW w:w="770" w:type="dxa"/>
            <w:tcMar>
              <w:top w:w="0" w:type="dxa"/>
              <w:left w:w="0" w:type="dxa"/>
              <w:bottom w:w="0" w:type="dxa"/>
              <w:right w:w="0" w:type="dxa"/>
            </w:tcMar>
            <w:vAlign w:val="center"/>
          </w:tcPr>
          <w:p w14:paraId="7792BCA0">
            <w:pPr>
              <w:widowControl/>
              <w:snapToGrid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c>
          <w:tcPr>
            <w:tcW w:w="714" w:type="dxa"/>
            <w:tcMar>
              <w:top w:w="0" w:type="dxa"/>
              <w:left w:w="0" w:type="dxa"/>
              <w:bottom w:w="0" w:type="dxa"/>
              <w:right w:w="0" w:type="dxa"/>
            </w:tcMar>
            <w:vAlign w:val="center"/>
          </w:tcPr>
          <w:p w14:paraId="142F147E">
            <w:pPr>
              <w:widowControl/>
              <w:snapToGrid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c>
          <w:tcPr>
            <w:tcW w:w="1476" w:type="dxa"/>
            <w:tcMar>
              <w:top w:w="0" w:type="dxa"/>
              <w:left w:w="0" w:type="dxa"/>
              <w:bottom w:w="0" w:type="dxa"/>
              <w:right w:w="0" w:type="dxa"/>
            </w:tcMar>
            <w:vAlign w:val="center"/>
          </w:tcPr>
          <w:p w14:paraId="596F3968">
            <w:pPr>
              <w:widowControl/>
              <w:snapToGrid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c>
          <w:tcPr>
            <w:tcW w:w="3181" w:type="dxa"/>
            <w:tcMar>
              <w:top w:w="0" w:type="dxa"/>
              <w:left w:w="0" w:type="dxa"/>
              <w:bottom w:w="0" w:type="dxa"/>
              <w:right w:w="0" w:type="dxa"/>
            </w:tcMar>
            <w:vAlign w:val="center"/>
          </w:tcPr>
          <w:p w14:paraId="7237E8C1">
            <w:pPr>
              <w:snapToGrid w:val="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密闭收集（收集效率90%）+两级活性炭吸附（60%）</w:t>
            </w:r>
          </w:p>
        </w:tc>
        <w:tc>
          <w:tcPr>
            <w:tcW w:w="1093" w:type="dxa"/>
            <w:vMerge w:val="continue"/>
            <w:tcMar>
              <w:top w:w="0" w:type="dxa"/>
              <w:left w:w="0" w:type="dxa"/>
              <w:bottom w:w="0" w:type="dxa"/>
              <w:right w:w="0" w:type="dxa"/>
            </w:tcMar>
            <w:vAlign w:val="center"/>
          </w:tcPr>
          <w:p w14:paraId="5AE434AD">
            <w:pPr>
              <w:snapToGrid w:val="0"/>
              <w:jc w:val="center"/>
              <w:rPr>
                <w:rFonts w:hint="default" w:ascii="Times New Roman" w:hAnsi="Times New Roman" w:eastAsia="宋体" w:cs="Times New Roman"/>
                <w:color w:val="auto"/>
                <w:sz w:val="21"/>
                <w:szCs w:val="21"/>
                <w:u w:val="single" w:color="auto"/>
                <w:lang w:eastAsia="zh-CN"/>
              </w:rPr>
            </w:pPr>
          </w:p>
        </w:tc>
        <w:tc>
          <w:tcPr>
            <w:tcW w:w="1029" w:type="dxa"/>
            <w:vMerge w:val="continue"/>
            <w:tcMar>
              <w:top w:w="0" w:type="dxa"/>
              <w:left w:w="0" w:type="dxa"/>
              <w:bottom w:w="0" w:type="dxa"/>
              <w:right w:w="0" w:type="dxa"/>
            </w:tcMar>
            <w:vAlign w:val="center"/>
          </w:tcPr>
          <w:p w14:paraId="0DB27E8F">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4A31B3C3">
            <w:pPr>
              <w:snapToGrid w:val="0"/>
              <w:jc w:val="center"/>
              <w:rPr>
                <w:rFonts w:hint="default" w:ascii="Times New Roman" w:hAnsi="Times New Roman" w:eastAsia="宋体" w:cs="Times New Roman"/>
                <w:color w:val="auto"/>
                <w:kern w:val="0"/>
                <w:sz w:val="21"/>
                <w:szCs w:val="21"/>
                <w:u w:val="single" w:color="auto"/>
                <w:lang w:bidi="ar"/>
              </w:rPr>
            </w:pPr>
          </w:p>
        </w:tc>
        <w:tc>
          <w:tcPr>
            <w:tcW w:w="818" w:type="dxa"/>
            <w:tcMar>
              <w:top w:w="0" w:type="dxa"/>
              <w:left w:w="0" w:type="dxa"/>
              <w:bottom w:w="0" w:type="dxa"/>
              <w:right w:w="0" w:type="dxa"/>
            </w:tcMar>
            <w:vAlign w:val="center"/>
          </w:tcPr>
          <w:p w14:paraId="0B9C503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c>
          <w:tcPr>
            <w:tcW w:w="498" w:type="dxa"/>
            <w:tcMar>
              <w:top w:w="0" w:type="dxa"/>
              <w:left w:w="0" w:type="dxa"/>
              <w:bottom w:w="0" w:type="dxa"/>
              <w:right w:w="0" w:type="dxa"/>
            </w:tcMar>
            <w:vAlign w:val="center"/>
          </w:tcPr>
          <w:p w14:paraId="796C445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c>
          <w:tcPr>
            <w:tcW w:w="604" w:type="dxa"/>
            <w:tcMar>
              <w:top w:w="0" w:type="dxa"/>
              <w:left w:w="0" w:type="dxa"/>
              <w:bottom w:w="0" w:type="dxa"/>
              <w:right w:w="0" w:type="dxa"/>
            </w:tcMar>
            <w:vAlign w:val="center"/>
          </w:tcPr>
          <w:p w14:paraId="1FBCE10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val="en-US" w:eastAsia="zh-CN" w:bidi="ar"/>
              </w:rPr>
            </w:pPr>
          </w:p>
        </w:tc>
      </w:tr>
      <w:tr w14:paraId="68C2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45" w:type="dxa"/>
            <w:vMerge w:val="continue"/>
            <w:tcMar>
              <w:top w:w="0" w:type="dxa"/>
              <w:left w:w="0" w:type="dxa"/>
              <w:bottom w:w="0" w:type="dxa"/>
              <w:right w:w="0" w:type="dxa"/>
            </w:tcMar>
            <w:vAlign w:val="center"/>
          </w:tcPr>
          <w:p w14:paraId="0036D801">
            <w:pPr>
              <w:snapToGrid w:val="0"/>
              <w:jc w:val="center"/>
              <w:rPr>
                <w:rFonts w:hint="default" w:ascii="Times New Roman" w:hAnsi="Times New Roman" w:eastAsia="宋体" w:cs="Times New Roman"/>
                <w:color w:val="auto"/>
                <w:sz w:val="21"/>
                <w:szCs w:val="21"/>
                <w:u w:val="single" w:color="auto"/>
              </w:rPr>
            </w:pPr>
          </w:p>
        </w:tc>
        <w:tc>
          <w:tcPr>
            <w:tcW w:w="1164" w:type="dxa"/>
            <w:tcMar>
              <w:top w:w="0" w:type="dxa"/>
              <w:left w:w="0" w:type="dxa"/>
              <w:bottom w:w="0" w:type="dxa"/>
              <w:right w:w="0" w:type="dxa"/>
            </w:tcMar>
            <w:vAlign w:val="center"/>
          </w:tcPr>
          <w:p w14:paraId="567C7140">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油烟废气G6</w:t>
            </w:r>
          </w:p>
        </w:tc>
        <w:tc>
          <w:tcPr>
            <w:tcW w:w="663" w:type="dxa"/>
            <w:tcMar>
              <w:top w:w="0" w:type="dxa"/>
              <w:left w:w="0" w:type="dxa"/>
              <w:bottom w:w="0" w:type="dxa"/>
              <w:right w:w="0" w:type="dxa"/>
            </w:tcMar>
            <w:vAlign w:val="center"/>
          </w:tcPr>
          <w:p w14:paraId="1CD5AB3A">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油烟</w:t>
            </w:r>
          </w:p>
        </w:tc>
        <w:tc>
          <w:tcPr>
            <w:tcW w:w="652" w:type="dxa"/>
            <w:tcMar>
              <w:top w:w="0" w:type="dxa"/>
              <w:left w:w="0" w:type="dxa"/>
              <w:bottom w:w="0" w:type="dxa"/>
              <w:right w:w="0" w:type="dxa"/>
            </w:tcMar>
            <w:vAlign w:val="center"/>
          </w:tcPr>
          <w:p w14:paraId="4177C41A">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13FAB893">
            <w:pPr>
              <w:widowControl/>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41ABFD2B">
            <w:pPr>
              <w:widowControl/>
              <w:snapToGrid w:val="0"/>
              <w:jc w:val="center"/>
              <w:rPr>
                <w:rFonts w:hint="default" w:ascii="Times New Roman" w:hAnsi="Times New Roman" w:eastAsia="宋体" w:cs="Times New Roman"/>
                <w:color w:val="auto"/>
                <w:sz w:val="21"/>
                <w:szCs w:val="21"/>
                <w:u w:val="single" w:color="auto"/>
              </w:rPr>
            </w:pPr>
          </w:p>
        </w:tc>
        <w:tc>
          <w:tcPr>
            <w:tcW w:w="1476" w:type="dxa"/>
            <w:tcMar>
              <w:top w:w="0" w:type="dxa"/>
              <w:left w:w="0" w:type="dxa"/>
              <w:bottom w:w="0" w:type="dxa"/>
              <w:right w:w="0" w:type="dxa"/>
            </w:tcMar>
            <w:vAlign w:val="center"/>
          </w:tcPr>
          <w:p w14:paraId="0B577623">
            <w:pPr>
              <w:widowControl/>
              <w:snapToGrid w:val="0"/>
              <w:jc w:val="center"/>
              <w:rPr>
                <w:rFonts w:hint="default" w:ascii="Times New Roman" w:hAnsi="Times New Roman" w:eastAsia="宋体" w:cs="Times New Roman"/>
                <w:color w:val="auto"/>
                <w:sz w:val="21"/>
                <w:szCs w:val="21"/>
                <w:u w:val="single" w:color="auto"/>
              </w:rPr>
            </w:pPr>
          </w:p>
        </w:tc>
        <w:tc>
          <w:tcPr>
            <w:tcW w:w="3181" w:type="dxa"/>
            <w:tcMar>
              <w:top w:w="0" w:type="dxa"/>
              <w:left w:w="0" w:type="dxa"/>
              <w:bottom w:w="0" w:type="dxa"/>
              <w:right w:w="0" w:type="dxa"/>
            </w:tcMar>
            <w:vAlign w:val="center"/>
          </w:tcPr>
          <w:p w14:paraId="460A60CE">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油烟净化器</w:t>
            </w:r>
          </w:p>
        </w:tc>
        <w:tc>
          <w:tcPr>
            <w:tcW w:w="1093" w:type="dxa"/>
            <w:tcMar>
              <w:top w:w="0" w:type="dxa"/>
              <w:left w:w="0" w:type="dxa"/>
              <w:bottom w:w="0" w:type="dxa"/>
              <w:right w:w="0" w:type="dxa"/>
            </w:tcMar>
            <w:vAlign w:val="center"/>
          </w:tcPr>
          <w:p w14:paraId="4453128F">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3BC76232">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013CE365">
            <w:pPr>
              <w:widowControl/>
              <w:snapToGrid w:val="0"/>
              <w:jc w:val="center"/>
              <w:rPr>
                <w:rFonts w:hint="default" w:ascii="Times New Roman" w:hAnsi="Times New Roman" w:eastAsia="宋体" w:cs="Times New Roman"/>
                <w:color w:val="auto"/>
                <w:kern w:val="0"/>
                <w:sz w:val="21"/>
                <w:szCs w:val="21"/>
                <w:u w:val="single" w:color="auto"/>
                <w:lang w:bidi="ar"/>
              </w:rPr>
            </w:pPr>
          </w:p>
        </w:tc>
        <w:tc>
          <w:tcPr>
            <w:tcW w:w="818" w:type="dxa"/>
            <w:tcMar>
              <w:top w:w="0" w:type="dxa"/>
              <w:left w:w="0" w:type="dxa"/>
              <w:bottom w:w="0" w:type="dxa"/>
              <w:right w:w="0" w:type="dxa"/>
            </w:tcMar>
            <w:vAlign w:val="center"/>
          </w:tcPr>
          <w:p w14:paraId="1CFAED8F">
            <w:pPr>
              <w:widowControl/>
              <w:snapToGrid w:val="0"/>
              <w:jc w:val="center"/>
              <w:rPr>
                <w:rFonts w:hint="default" w:ascii="Times New Roman" w:hAnsi="Times New Roman" w:eastAsia="宋体" w:cs="Times New Roman"/>
                <w:color w:val="auto"/>
                <w:kern w:val="0"/>
                <w:sz w:val="21"/>
                <w:szCs w:val="21"/>
                <w:u w:val="single" w:color="auto"/>
                <w:lang w:bidi="ar"/>
              </w:rPr>
            </w:pPr>
          </w:p>
        </w:tc>
        <w:tc>
          <w:tcPr>
            <w:tcW w:w="498" w:type="dxa"/>
            <w:tcMar>
              <w:top w:w="0" w:type="dxa"/>
              <w:left w:w="0" w:type="dxa"/>
              <w:bottom w:w="0" w:type="dxa"/>
              <w:right w:w="0" w:type="dxa"/>
            </w:tcMar>
            <w:vAlign w:val="center"/>
          </w:tcPr>
          <w:p w14:paraId="346E643F">
            <w:pPr>
              <w:widowControl/>
              <w:snapToGrid w:val="0"/>
              <w:jc w:val="center"/>
              <w:rPr>
                <w:rFonts w:hint="default" w:ascii="Times New Roman" w:hAnsi="Times New Roman" w:eastAsia="宋体" w:cs="Times New Roman"/>
                <w:color w:val="auto"/>
                <w:kern w:val="0"/>
                <w:sz w:val="21"/>
                <w:szCs w:val="21"/>
                <w:u w:val="single" w:color="auto"/>
                <w:lang w:bidi="ar"/>
              </w:rPr>
            </w:pPr>
          </w:p>
        </w:tc>
        <w:tc>
          <w:tcPr>
            <w:tcW w:w="604" w:type="dxa"/>
            <w:tcMar>
              <w:top w:w="0" w:type="dxa"/>
              <w:left w:w="0" w:type="dxa"/>
              <w:bottom w:w="0" w:type="dxa"/>
              <w:right w:w="0" w:type="dxa"/>
            </w:tcMar>
            <w:vAlign w:val="center"/>
          </w:tcPr>
          <w:p w14:paraId="46EB5F94">
            <w:pPr>
              <w:widowControl/>
              <w:snapToGrid w:val="0"/>
              <w:jc w:val="center"/>
              <w:rPr>
                <w:rFonts w:hint="default" w:ascii="Times New Roman" w:hAnsi="Times New Roman" w:eastAsia="宋体" w:cs="Times New Roman"/>
                <w:color w:val="auto"/>
                <w:kern w:val="0"/>
                <w:sz w:val="21"/>
                <w:szCs w:val="21"/>
                <w:u w:val="single" w:color="auto"/>
                <w:lang w:bidi="ar"/>
              </w:rPr>
            </w:pPr>
          </w:p>
        </w:tc>
      </w:tr>
      <w:tr w14:paraId="47C04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45" w:type="dxa"/>
            <w:vMerge w:val="restart"/>
            <w:tcMar>
              <w:top w:w="0" w:type="dxa"/>
              <w:left w:w="0" w:type="dxa"/>
              <w:bottom w:w="0" w:type="dxa"/>
              <w:right w:w="0" w:type="dxa"/>
            </w:tcMar>
            <w:vAlign w:val="center"/>
          </w:tcPr>
          <w:p w14:paraId="66E27DD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无组织</w:t>
            </w:r>
          </w:p>
        </w:tc>
        <w:tc>
          <w:tcPr>
            <w:tcW w:w="1164" w:type="dxa"/>
            <w:tcMar>
              <w:top w:w="0" w:type="dxa"/>
              <w:left w:w="0" w:type="dxa"/>
              <w:bottom w:w="0" w:type="dxa"/>
              <w:right w:w="0" w:type="dxa"/>
            </w:tcMar>
            <w:vAlign w:val="center"/>
          </w:tcPr>
          <w:p w14:paraId="0ACEE4F3">
            <w:pPr>
              <w:snapToGrid w:val="0"/>
              <w:jc w:val="center"/>
              <w:rPr>
                <w:rFonts w:hint="default"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val="en-US" w:eastAsia="zh-CN"/>
              </w:rPr>
              <w:t>装焊车间</w:t>
            </w:r>
            <w:r>
              <w:rPr>
                <w:rFonts w:hint="default" w:ascii="Times New Roman" w:hAnsi="Times New Roman" w:eastAsia="宋体" w:cs="Times New Roman"/>
                <w:color w:val="auto"/>
                <w:sz w:val="21"/>
                <w:szCs w:val="21"/>
                <w:u w:val="single" w:color="auto"/>
              </w:rPr>
              <w:t>切割废气G1</w:t>
            </w:r>
          </w:p>
        </w:tc>
        <w:tc>
          <w:tcPr>
            <w:tcW w:w="663" w:type="dxa"/>
            <w:tcMar>
              <w:top w:w="0" w:type="dxa"/>
              <w:left w:w="0" w:type="dxa"/>
              <w:bottom w:w="0" w:type="dxa"/>
              <w:right w:w="0" w:type="dxa"/>
            </w:tcMar>
            <w:vAlign w:val="center"/>
          </w:tcPr>
          <w:p w14:paraId="7C7DE11D">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粉尘</w:t>
            </w:r>
          </w:p>
        </w:tc>
        <w:tc>
          <w:tcPr>
            <w:tcW w:w="652" w:type="dxa"/>
            <w:tcMar>
              <w:top w:w="0" w:type="dxa"/>
              <w:left w:w="0" w:type="dxa"/>
              <w:bottom w:w="0" w:type="dxa"/>
              <w:right w:w="0" w:type="dxa"/>
            </w:tcMar>
            <w:vAlign w:val="center"/>
          </w:tcPr>
          <w:p w14:paraId="6F202925">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1E3DECAC">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2057C1D6">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1476" w:type="dxa"/>
            <w:tcMar>
              <w:top w:w="0" w:type="dxa"/>
              <w:left w:w="0" w:type="dxa"/>
              <w:bottom w:w="0" w:type="dxa"/>
              <w:right w:w="0" w:type="dxa"/>
            </w:tcMar>
            <w:vAlign w:val="center"/>
          </w:tcPr>
          <w:p w14:paraId="12C026D8">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3181" w:type="dxa"/>
            <w:tcMar>
              <w:top w:w="0" w:type="dxa"/>
              <w:left w:w="0" w:type="dxa"/>
              <w:bottom w:w="0" w:type="dxa"/>
              <w:right w:w="0" w:type="dxa"/>
            </w:tcMar>
            <w:vAlign w:val="center"/>
          </w:tcPr>
          <w:p w14:paraId="5DB4DC8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集气罩（收集效率</w:t>
            </w:r>
            <w:r>
              <w:rPr>
                <w:rFonts w:hint="default" w:ascii="Times New Roman" w:hAnsi="Times New Roman" w:eastAsia="宋体" w:cs="Times New Roman"/>
                <w:color w:val="auto"/>
                <w:sz w:val="21"/>
                <w:szCs w:val="21"/>
                <w:u w:val="single" w:color="auto"/>
                <w:lang w:val="en-US" w:eastAsia="zh-CN"/>
              </w:rPr>
              <w:t>3</w:t>
            </w:r>
            <w:r>
              <w:rPr>
                <w:rFonts w:hint="default" w:ascii="Times New Roman" w:hAnsi="Times New Roman" w:eastAsia="宋体" w:cs="Times New Roman"/>
                <w:color w:val="auto"/>
                <w:sz w:val="21"/>
                <w:szCs w:val="21"/>
                <w:u w:val="single" w:color="auto"/>
              </w:rPr>
              <w:t>0%）+移动式粉尘收集净化器（处理效率</w:t>
            </w:r>
            <w:r>
              <w:rPr>
                <w:rFonts w:hint="default" w:ascii="Times New Roman" w:hAnsi="Times New Roman" w:eastAsia="宋体" w:cs="Times New Roman"/>
                <w:color w:val="auto"/>
                <w:sz w:val="21"/>
                <w:szCs w:val="21"/>
                <w:u w:val="single" w:color="auto"/>
                <w:lang w:val="en-US" w:eastAsia="zh-CN"/>
              </w:rPr>
              <w:t>95</w:t>
            </w:r>
            <w:r>
              <w:rPr>
                <w:rFonts w:hint="default" w:ascii="Times New Roman" w:hAnsi="Times New Roman" w:eastAsia="宋体" w:cs="Times New Roman"/>
                <w:color w:val="auto"/>
                <w:sz w:val="21"/>
                <w:szCs w:val="21"/>
                <w:u w:val="single" w:color="auto"/>
              </w:rPr>
              <w:t>%）+地面沉降（处理效率90%）</w:t>
            </w:r>
          </w:p>
        </w:tc>
        <w:tc>
          <w:tcPr>
            <w:tcW w:w="1093" w:type="dxa"/>
            <w:tcMar>
              <w:top w:w="0" w:type="dxa"/>
              <w:left w:w="0" w:type="dxa"/>
              <w:bottom w:w="0" w:type="dxa"/>
              <w:right w:w="0" w:type="dxa"/>
            </w:tcMar>
            <w:vAlign w:val="center"/>
          </w:tcPr>
          <w:p w14:paraId="01BBD22D">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7C7514C7">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77FDCC7A">
            <w:pPr>
              <w:snapToGrid w:val="0"/>
              <w:jc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6341AFAC">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36CFC516">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604" w:type="dxa"/>
            <w:tcMar>
              <w:top w:w="0" w:type="dxa"/>
              <w:left w:w="0" w:type="dxa"/>
              <w:bottom w:w="0" w:type="dxa"/>
              <w:right w:w="0" w:type="dxa"/>
            </w:tcMar>
            <w:vAlign w:val="center"/>
          </w:tcPr>
          <w:p w14:paraId="65455DA9">
            <w:pPr>
              <w:widowControl/>
              <w:jc w:val="center"/>
              <w:textAlignment w:val="center"/>
              <w:rPr>
                <w:rFonts w:hint="default" w:ascii="Times New Roman" w:hAnsi="Times New Roman" w:eastAsia="宋体" w:cs="Times New Roman"/>
                <w:color w:val="auto"/>
                <w:sz w:val="21"/>
                <w:szCs w:val="21"/>
                <w:u w:val="single" w:color="auto"/>
                <w:lang w:val="en-US" w:eastAsia="zh-CN"/>
              </w:rPr>
            </w:pPr>
          </w:p>
        </w:tc>
      </w:tr>
      <w:tr w14:paraId="3C233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45" w:type="dxa"/>
            <w:vMerge w:val="continue"/>
            <w:tcMar>
              <w:top w:w="0" w:type="dxa"/>
              <w:left w:w="0" w:type="dxa"/>
              <w:bottom w:w="0" w:type="dxa"/>
              <w:right w:w="0" w:type="dxa"/>
            </w:tcMar>
            <w:vAlign w:val="center"/>
          </w:tcPr>
          <w:p w14:paraId="7FCCD373">
            <w:pPr>
              <w:snapToGrid w:val="0"/>
              <w:jc w:val="center"/>
              <w:rPr>
                <w:rFonts w:hint="default" w:ascii="Times New Roman" w:hAnsi="Times New Roman" w:eastAsia="宋体" w:cs="Times New Roman"/>
                <w:color w:val="auto"/>
                <w:sz w:val="21"/>
                <w:szCs w:val="21"/>
                <w:u w:val="single" w:color="auto"/>
              </w:rPr>
            </w:pPr>
          </w:p>
        </w:tc>
        <w:tc>
          <w:tcPr>
            <w:tcW w:w="1164" w:type="dxa"/>
            <w:tcMar>
              <w:top w:w="0" w:type="dxa"/>
              <w:left w:w="0" w:type="dxa"/>
              <w:bottom w:w="0" w:type="dxa"/>
              <w:right w:w="0" w:type="dxa"/>
            </w:tcMar>
            <w:vAlign w:val="center"/>
          </w:tcPr>
          <w:p w14:paraId="0522061D">
            <w:pPr>
              <w:snapToGrid w:val="0"/>
              <w:jc w:val="center"/>
              <w:rPr>
                <w:rFonts w:hint="default"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eastAsia="zh-CN"/>
              </w:rPr>
              <w:t>装焊车间</w:t>
            </w:r>
            <w:r>
              <w:rPr>
                <w:rFonts w:hint="default" w:ascii="Times New Roman" w:hAnsi="Times New Roman" w:eastAsia="宋体" w:cs="Times New Roman"/>
                <w:color w:val="auto"/>
                <w:sz w:val="21"/>
                <w:szCs w:val="21"/>
                <w:u w:val="single" w:color="auto"/>
              </w:rPr>
              <w:t>焊接废气G2</w:t>
            </w:r>
          </w:p>
        </w:tc>
        <w:tc>
          <w:tcPr>
            <w:tcW w:w="663" w:type="dxa"/>
            <w:tcMar>
              <w:top w:w="0" w:type="dxa"/>
              <w:left w:w="0" w:type="dxa"/>
              <w:bottom w:w="0" w:type="dxa"/>
              <w:right w:w="0" w:type="dxa"/>
            </w:tcMar>
            <w:vAlign w:val="center"/>
          </w:tcPr>
          <w:p w14:paraId="1BE74E2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烟尘</w:t>
            </w:r>
          </w:p>
        </w:tc>
        <w:tc>
          <w:tcPr>
            <w:tcW w:w="652" w:type="dxa"/>
            <w:tcMar>
              <w:top w:w="0" w:type="dxa"/>
              <w:left w:w="0" w:type="dxa"/>
              <w:bottom w:w="0" w:type="dxa"/>
              <w:right w:w="0" w:type="dxa"/>
            </w:tcMar>
            <w:vAlign w:val="center"/>
          </w:tcPr>
          <w:p w14:paraId="623F879F">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3F8BC32D">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2B69CE8C">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1476" w:type="dxa"/>
            <w:tcMar>
              <w:top w:w="0" w:type="dxa"/>
              <w:left w:w="0" w:type="dxa"/>
              <w:bottom w:w="0" w:type="dxa"/>
              <w:right w:w="0" w:type="dxa"/>
            </w:tcMar>
            <w:vAlign w:val="center"/>
          </w:tcPr>
          <w:p w14:paraId="253EF610">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3181" w:type="dxa"/>
            <w:tcMar>
              <w:top w:w="0" w:type="dxa"/>
              <w:left w:w="0" w:type="dxa"/>
              <w:bottom w:w="0" w:type="dxa"/>
              <w:right w:w="0" w:type="dxa"/>
            </w:tcMar>
            <w:vAlign w:val="center"/>
          </w:tcPr>
          <w:p w14:paraId="5581C155">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集气罩（收集效率</w:t>
            </w:r>
            <w:r>
              <w:rPr>
                <w:rFonts w:hint="default" w:ascii="Times New Roman" w:hAnsi="Times New Roman" w:eastAsia="宋体" w:cs="Times New Roman"/>
                <w:color w:val="auto"/>
                <w:sz w:val="21"/>
                <w:szCs w:val="21"/>
                <w:u w:val="single" w:color="auto"/>
                <w:lang w:val="en-US" w:eastAsia="zh-CN"/>
              </w:rPr>
              <w:t>30</w:t>
            </w:r>
            <w:r>
              <w:rPr>
                <w:rFonts w:hint="default" w:ascii="Times New Roman" w:hAnsi="Times New Roman" w:eastAsia="宋体" w:cs="Times New Roman"/>
                <w:color w:val="auto"/>
                <w:sz w:val="21"/>
                <w:szCs w:val="21"/>
                <w:u w:val="single" w:color="auto"/>
              </w:rPr>
              <w:t>%）+移动式烟尘收集净化器（处理效率</w:t>
            </w:r>
            <w:r>
              <w:rPr>
                <w:rFonts w:hint="default" w:ascii="Times New Roman" w:hAnsi="Times New Roman" w:eastAsia="宋体" w:cs="Times New Roman"/>
                <w:color w:val="auto"/>
                <w:sz w:val="21"/>
                <w:szCs w:val="21"/>
                <w:u w:val="single" w:color="auto"/>
                <w:lang w:val="en-US" w:eastAsia="zh-CN"/>
              </w:rPr>
              <w:t>95</w:t>
            </w:r>
            <w:r>
              <w:rPr>
                <w:rFonts w:hint="default" w:ascii="Times New Roman" w:hAnsi="Times New Roman" w:eastAsia="宋体" w:cs="Times New Roman"/>
                <w:color w:val="auto"/>
                <w:sz w:val="21"/>
                <w:szCs w:val="21"/>
                <w:u w:val="single" w:color="auto"/>
              </w:rPr>
              <w:t>%）</w:t>
            </w:r>
          </w:p>
        </w:tc>
        <w:tc>
          <w:tcPr>
            <w:tcW w:w="1093" w:type="dxa"/>
            <w:tcMar>
              <w:top w:w="0" w:type="dxa"/>
              <w:left w:w="0" w:type="dxa"/>
              <w:bottom w:w="0" w:type="dxa"/>
              <w:right w:w="0" w:type="dxa"/>
            </w:tcMar>
            <w:vAlign w:val="center"/>
          </w:tcPr>
          <w:p w14:paraId="4F5A4102">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52B179BD">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6235B80A">
            <w:pPr>
              <w:snapToGrid w:val="0"/>
              <w:jc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043E00C0">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5DC08F66">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604" w:type="dxa"/>
            <w:tcMar>
              <w:top w:w="0" w:type="dxa"/>
              <w:left w:w="0" w:type="dxa"/>
              <w:bottom w:w="0" w:type="dxa"/>
              <w:right w:w="0" w:type="dxa"/>
            </w:tcMar>
            <w:vAlign w:val="center"/>
          </w:tcPr>
          <w:p w14:paraId="2BF2AD96">
            <w:pPr>
              <w:widowControl/>
              <w:jc w:val="center"/>
              <w:textAlignment w:val="center"/>
              <w:rPr>
                <w:rFonts w:hint="default" w:ascii="Times New Roman" w:hAnsi="Times New Roman" w:eastAsia="宋体" w:cs="Times New Roman"/>
                <w:color w:val="auto"/>
                <w:sz w:val="21"/>
                <w:szCs w:val="21"/>
                <w:u w:val="single" w:color="auto"/>
                <w:lang w:val="en-US" w:eastAsia="zh-CN"/>
              </w:rPr>
            </w:pPr>
          </w:p>
        </w:tc>
      </w:tr>
      <w:tr w14:paraId="23686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dxa"/>
            <w:vMerge w:val="continue"/>
            <w:tcMar>
              <w:top w:w="0" w:type="dxa"/>
              <w:left w:w="0" w:type="dxa"/>
              <w:bottom w:w="0" w:type="dxa"/>
              <w:right w:w="0" w:type="dxa"/>
            </w:tcMar>
            <w:vAlign w:val="center"/>
          </w:tcPr>
          <w:p w14:paraId="520562D6">
            <w:pPr>
              <w:snapToGrid w:val="0"/>
              <w:jc w:val="center"/>
              <w:rPr>
                <w:rFonts w:hint="default" w:ascii="Times New Roman" w:hAnsi="Times New Roman" w:eastAsia="宋体" w:cs="Times New Roman"/>
                <w:color w:val="auto"/>
                <w:sz w:val="21"/>
                <w:szCs w:val="21"/>
                <w:u w:val="single" w:color="auto"/>
              </w:rPr>
            </w:pPr>
          </w:p>
        </w:tc>
        <w:tc>
          <w:tcPr>
            <w:tcW w:w="1164" w:type="dxa"/>
            <w:tcMar>
              <w:top w:w="0" w:type="dxa"/>
              <w:left w:w="0" w:type="dxa"/>
              <w:bottom w:w="0" w:type="dxa"/>
              <w:right w:w="0" w:type="dxa"/>
            </w:tcMar>
            <w:vAlign w:val="center"/>
          </w:tcPr>
          <w:p w14:paraId="12FF912C">
            <w:pPr>
              <w:snapToGrid w:val="0"/>
              <w:jc w:val="center"/>
              <w:rPr>
                <w:rFonts w:hint="default"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val="en-US" w:eastAsia="zh-CN"/>
              </w:rPr>
              <w:t>涂装车间</w:t>
            </w:r>
            <w:r>
              <w:rPr>
                <w:rFonts w:hint="default" w:ascii="Times New Roman" w:hAnsi="Times New Roman" w:eastAsia="宋体" w:cs="Times New Roman"/>
                <w:color w:val="auto"/>
                <w:sz w:val="21"/>
                <w:szCs w:val="21"/>
                <w:u w:val="single" w:color="auto"/>
              </w:rPr>
              <w:t>抛丸废气G3和喷砂废气G4</w:t>
            </w:r>
          </w:p>
        </w:tc>
        <w:tc>
          <w:tcPr>
            <w:tcW w:w="663" w:type="dxa"/>
            <w:tcMar>
              <w:top w:w="0" w:type="dxa"/>
              <w:left w:w="0" w:type="dxa"/>
              <w:bottom w:w="0" w:type="dxa"/>
              <w:right w:w="0" w:type="dxa"/>
            </w:tcMar>
            <w:vAlign w:val="center"/>
          </w:tcPr>
          <w:p w14:paraId="13E9D587">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粉尘</w:t>
            </w:r>
          </w:p>
        </w:tc>
        <w:tc>
          <w:tcPr>
            <w:tcW w:w="652" w:type="dxa"/>
            <w:tcMar>
              <w:top w:w="0" w:type="dxa"/>
              <w:left w:w="0" w:type="dxa"/>
              <w:bottom w:w="0" w:type="dxa"/>
              <w:right w:w="0" w:type="dxa"/>
            </w:tcMar>
            <w:vAlign w:val="center"/>
          </w:tcPr>
          <w:p w14:paraId="4491FD79">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23C05D9D">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1DEC6B66">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1476" w:type="dxa"/>
            <w:tcMar>
              <w:top w:w="0" w:type="dxa"/>
              <w:left w:w="0" w:type="dxa"/>
              <w:bottom w:w="0" w:type="dxa"/>
              <w:right w:w="0" w:type="dxa"/>
            </w:tcMar>
            <w:vAlign w:val="center"/>
          </w:tcPr>
          <w:p w14:paraId="3CC54EA4">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3181" w:type="dxa"/>
            <w:tcMar>
              <w:top w:w="0" w:type="dxa"/>
              <w:left w:w="0" w:type="dxa"/>
              <w:bottom w:w="0" w:type="dxa"/>
              <w:right w:w="0" w:type="dxa"/>
            </w:tcMar>
            <w:vAlign w:val="center"/>
          </w:tcPr>
          <w:p w14:paraId="3AC4ACFC">
            <w:pPr>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沉降（处理效率90%）</w:t>
            </w:r>
          </w:p>
        </w:tc>
        <w:tc>
          <w:tcPr>
            <w:tcW w:w="1093" w:type="dxa"/>
            <w:tcMar>
              <w:top w:w="0" w:type="dxa"/>
              <w:left w:w="0" w:type="dxa"/>
              <w:bottom w:w="0" w:type="dxa"/>
              <w:right w:w="0" w:type="dxa"/>
            </w:tcMar>
            <w:vAlign w:val="center"/>
          </w:tcPr>
          <w:p w14:paraId="1DFD014F">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163ECAA7">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699F1916">
            <w:pPr>
              <w:snapToGrid w:val="0"/>
              <w:jc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2FA92DC4">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512A2FEB">
            <w:pPr>
              <w:widowControl/>
              <w:jc w:val="center"/>
              <w:textAlignment w:val="center"/>
              <w:rPr>
                <w:rFonts w:hint="default" w:ascii="Times New Roman" w:hAnsi="Times New Roman" w:eastAsia="宋体" w:cs="Times New Roman"/>
                <w:color w:val="auto"/>
                <w:sz w:val="21"/>
                <w:szCs w:val="21"/>
                <w:u w:val="single" w:color="auto"/>
                <w:lang w:val="en-US" w:eastAsia="zh-CN"/>
              </w:rPr>
            </w:pPr>
          </w:p>
        </w:tc>
        <w:tc>
          <w:tcPr>
            <w:tcW w:w="604" w:type="dxa"/>
            <w:tcMar>
              <w:top w:w="0" w:type="dxa"/>
              <w:left w:w="0" w:type="dxa"/>
              <w:bottom w:w="0" w:type="dxa"/>
              <w:right w:w="0" w:type="dxa"/>
            </w:tcMar>
            <w:vAlign w:val="center"/>
          </w:tcPr>
          <w:p w14:paraId="7408768F">
            <w:pPr>
              <w:widowControl/>
              <w:jc w:val="center"/>
              <w:textAlignment w:val="center"/>
              <w:rPr>
                <w:rFonts w:hint="default" w:ascii="Times New Roman" w:hAnsi="Times New Roman" w:eastAsia="宋体" w:cs="Times New Roman"/>
                <w:color w:val="auto"/>
                <w:sz w:val="21"/>
                <w:szCs w:val="21"/>
                <w:u w:val="single" w:color="auto"/>
                <w:lang w:val="en-US" w:eastAsia="zh-CN"/>
              </w:rPr>
            </w:pPr>
          </w:p>
        </w:tc>
      </w:tr>
      <w:tr w14:paraId="5F425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dxa"/>
            <w:vMerge w:val="continue"/>
            <w:tcMar>
              <w:top w:w="0" w:type="dxa"/>
              <w:left w:w="0" w:type="dxa"/>
              <w:bottom w:w="0" w:type="dxa"/>
              <w:right w:w="0" w:type="dxa"/>
            </w:tcMar>
            <w:vAlign w:val="center"/>
          </w:tcPr>
          <w:p w14:paraId="45104436">
            <w:pPr>
              <w:snapToGrid w:val="0"/>
              <w:jc w:val="center"/>
              <w:rPr>
                <w:rFonts w:hint="default" w:ascii="Times New Roman" w:hAnsi="Times New Roman" w:eastAsia="宋体" w:cs="Times New Roman"/>
                <w:color w:val="auto"/>
                <w:sz w:val="21"/>
                <w:szCs w:val="21"/>
                <w:u w:val="single" w:color="auto"/>
              </w:rPr>
            </w:pPr>
          </w:p>
        </w:tc>
        <w:tc>
          <w:tcPr>
            <w:tcW w:w="1164" w:type="dxa"/>
            <w:vMerge w:val="restart"/>
            <w:tcMar>
              <w:top w:w="0" w:type="dxa"/>
              <w:left w:w="0" w:type="dxa"/>
              <w:bottom w:w="0" w:type="dxa"/>
              <w:right w:w="0" w:type="dxa"/>
            </w:tcMar>
            <w:vAlign w:val="center"/>
          </w:tcPr>
          <w:p w14:paraId="287A2F91">
            <w:pPr>
              <w:snapToGrid w:val="0"/>
              <w:jc w:val="center"/>
              <w:rPr>
                <w:rFonts w:hint="default"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val="en-US" w:eastAsia="zh-CN"/>
              </w:rPr>
              <w:t>涂装车间</w:t>
            </w:r>
            <w:r>
              <w:rPr>
                <w:rFonts w:hint="default" w:ascii="Times New Roman" w:hAnsi="Times New Roman" w:eastAsia="宋体" w:cs="Times New Roman"/>
                <w:color w:val="auto"/>
                <w:sz w:val="21"/>
                <w:szCs w:val="21"/>
                <w:u w:val="single" w:color="auto"/>
              </w:rPr>
              <w:t>喷漆</w:t>
            </w:r>
            <w:r>
              <w:rPr>
                <w:rFonts w:hint="default" w:ascii="Times New Roman" w:hAnsi="Times New Roman" w:eastAsia="宋体" w:cs="Times New Roman"/>
                <w:color w:val="auto"/>
                <w:sz w:val="21"/>
                <w:szCs w:val="21"/>
                <w:u w:val="single" w:color="auto"/>
                <w:lang w:val="en-US" w:eastAsia="zh-CN"/>
              </w:rPr>
              <w:t>和危废暂存间废</w:t>
            </w:r>
            <w:r>
              <w:rPr>
                <w:rFonts w:hint="default" w:ascii="Times New Roman" w:hAnsi="Times New Roman" w:eastAsia="宋体" w:cs="Times New Roman"/>
                <w:color w:val="auto"/>
                <w:sz w:val="21"/>
                <w:szCs w:val="21"/>
                <w:u w:val="single" w:color="auto"/>
              </w:rPr>
              <w:t>气G5</w:t>
            </w:r>
          </w:p>
        </w:tc>
        <w:tc>
          <w:tcPr>
            <w:tcW w:w="663" w:type="dxa"/>
            <w:tcMar>
              <w:top w:w="0" w:type="dxa"/>
              <w:left w:w="0" w:type="dxa"/>
              <w:bottom w:w="0" w:type="dxa"/>
              <w:right w:w="0" w:type="dxa"/>
            </w:tcMar>
            <w:vAlign w:val="center"/>
          </w:tcPr>
          <w:p w14:paraId="48DD71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652" w:type="dxa"/>
            <w:tcMar>
              <w:top w:w="0" w:type="dxa"/>
              <w:left w:w="0" w:type="dxa"/>
              <w:bottom w:w="0" w:type="dxa"/>
              <w:right w:w="0" w:type="dxa"/>
            </w:tcMar>
            <w:vAlign w:val="center"/>
          </w:tcPr>
          <w:p w14:paraId="565FC61F">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2D1BE012">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7A1335D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476" w:type="dxa"/>
            <w:tcMar>
              <w:top w:w="0" w:type="dxa"/>
              <w:left w:w="0" w:type="dxa"/>
              <w:bottom w:w="0" w:type="dxa"/>
              <w:right w:w="0" w:type="dxa"/>
            </w:tcMar>
            <w:vAlign w:val="center"/>
          </w:tcPr>
          <w:p w14:paraId="2957301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3181" w:type="dxa"/>
            <w:vMerge w:val="restart"/>
            <w:tcMar>
              <w:top w:w="0" w:type="dxa"/>
              <w:left w:w="0" w:type="dxa"/>
              <w:bottom w:w="0" w:type="dxa"/>
              <w:right w:w="0" w:type="dxa"/>
            </w:tcMar>
            <w:vAlign w:val="center"/>
          </w:tcPr>
          <w:p w14:paraId="1B419C40">
            <w:pPr>
              <w:snapToGrid w:val="0"/>
              <w:jc w:val="center"/>
              <w:rPr>
                <w:rFonts w:hint="default" w:ascii="Times New Roman" w:hAnsi="Times New Roman" w:eastAsia="宋体" w:cs="Times New Roman"/>
                <w:color w:val="auto"/>
                <w:sz w:val="21"/>
                <w:szCs w:val="21"/>
                <w:u w:val="single" w:color="auto"/>
              </w:rPr>
            </w:pPr>
          </w:p>
        </w:tc>
        <w:tc>
          <w:tcPr>
            <w:tcW w:w="1093" w:type="dxa"/>
            <w:tcMar>
              <w:top w:w="0" w:type="dxa"/>
              <w:left w:w="0" w:type="dxa"/>
              <w:bottom w:w="0" w:type="dxa"/>
              <w:right w:w="0" w:type="dxa"/>
            </w:tcMar>
            <w:vAlign w:val="center"/>
          </w:tcPr>
          <w:p w14:paraId="3DE87117">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0914BAF1">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53C094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10F80C88">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1CA3DB9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04" w:type="dxa"/>
            <w:tcMar>
              <w:top w:w="0" w:type="dxa"/>
              <w:left w:w="0" w:type="dxa"/>
              <w:bottom w:w="0" w:type="dxa"/>
              <w:right w:w="0" w:type="dxa"/>
            </w:tcMar>
            <w:vAlign w:val="center"/>
          </w:tcPr>
          <w:p w14:paraId="3DD288C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r>
      <w:tr w14:paraId="7452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345" w:type="dxa"/>
            <w:vMerge w:val="continue"/>
            <w:tcMar>
              <w:top w:w="0" w:type="dxa"/>
              <w:left w:w="0" w:type="dxa"/>
              <w:bottom w:w="0" w:type="dxa"/>
              <w:right w:w="0" w:type="dxa"/>
            </w:tcMar>
            <w:vAlign w:val="center"/>
          </w:tcPr>
          <w:p w14:paraId="1A21A568">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3D56C5ED">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77C862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652" w:type="dxa"/>
            <w:tcMar>
              <w:top w:w="0" w:type="dxa"/>
              <w:left w:w="0" w:type="dxa"/>
              <w:bottom w:w="0" w:type="dxa"/>
              <w:right w:w="0" w:type="dxa"/>
            </w:tcMar>
            <w:vAlign w:val="center"/>
          </w:tcPr>
          <w:p w14:paraId="64A5A657">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28AA2A2C">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29DEEE8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rPr>
            </w:pPr>
          </w:p>
        </w:tc>
        <w:tc>
          <w:tcPr>
            <w:tcW w:w="1476" w:type="dxa"/>
            <w:tcMar>
              <w:top w:w="0" w:type="dxa"/>
              <w:left w:w="0" w:type="dxa"/>
              <w:bottom w:w="0" w:type="dxa"/>
              <w:right w:w="0" w:type="dxa"/>
            </w:tcMar>
            <w:vAlign w:val="center"/>
          </w:tcPr>
          <w:p w14:paraId="0A68E7E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lang w:val="en-US"/>
              </w:rPr>
            </w:pPr>
          </w:p>
        </w:tc>
        <w:tc>
          <w:tcPr>
            <w:tcW w:w="3181" w:type="dxa"/>
            <w:vMerge w:val="continue"/>
            <w:tcMar>
              <w:top w:w="0" w:type="dxa"/>
              <w:left w:w="0" w:type="dxa"/>
              <w:bottom w:w="0" w:type="dxa"/>
              <w:right w:w="0" w:type="dxa"/>
            </w:tcMar>
            <w:vAlign w:val="center"/>
          </w:tcPr>
          <w:p w14:paraId="07BB03AD">
            <w:pPr>
              <w:snapToGrid w:val="0"/>
              <w:jc w:val="center"/>
              <w:rPr>
                <w:rFonts w:hint="default" w:ascii="Times New Roman" w:hAnsi="Times New Roman" w:eastAsia="宋体" w:cs="Times New Roman"/>
                <w:color w:val="auto"/>
                <w:sz w:val="21"/>
                <w:szCs w:val="21"/>
                <w:u w:val="single" w:color="auto"/>
              </w:rPr>
            </w:pPr>
          </w:p>
        </w:tc>
        <w:tc>
          <w:tcPr>
            <w:tcW w:w="1093" w:type="dxa"/>
            <w:tcMar>
              <w:top w:w="0" w:type="dxa"/>
              <w:left w:w="0" w:type="dxa"/>
              <w:bottom w:w="0" w:type="dxa"/>
              <w:right w:w="0" w:type="dxa"/>
            </w:tcMar>
            <w:vAlign w:val="center"/>
          </w:tcPr>
          <w:p w14:paraId="537530DC">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6066CAC1">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78B619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36AF0CA7">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1C263E1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04" w:type="dxa"/>
            <w:tcMar>
              <w:top w:w="0" w:type="dxa"/>
              <w:left w:w="0" w:type="dxa"/>
              <w:bottom w:w="0" w:type="dxa"/>
              <w:right w:w="0" w:type="dxa"/>
            </w:tcMar>
            <w:vAlign w:val="center"/>
          </w:tcPr>
          <w:p w14:paraId="0D288D2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r>
      <w:tr w14:paraId="45FAB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345" w:type="dxa"/>
            <w:vMerge w:val="continue"/>
            <w:tcMar>
              <w:top w:w="0" w:type="dxa"/>
              <w:left w:w="0" w:type="dxa"/>
              <w:bottom w:w="0" w:type="dxa"/>
              <w:right w:w="0" w:type="dxa"/>
            </w:tcMar>
            <w:vAlign w:val="center"/>
          </w:tcPr>
          <w:p w14:paraId="5ADC4B25">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7D01C873">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241582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652" w:type="dxa"/>
            <w:tcMar>
              <w:top w:w="0" w:type="dxa"/>
              <w:left w:w="0" w:type="dxa"/>
              <w:bottom w:w="0" w:type="dxa"/>
              <w:right w:w="0" w:type="dxa"/>
            </w:tcMar>
            <w:vAlign w:val="center"/>
          </w:tcPr>
          <w:p w14:paraId="4FC4E376">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573141DB">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0C43492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1476" w:type="dxa"/>
            <w:tcMar>
              <w:top w:w="0" w:type="dxa"/>
              <w:left w:w="0" w:type="dxa"/>
              <w:bottom w:w="0" w:type="dxa"/>
              <w:right w:w="0" w:type="dxa"/>
            </w:tcMar>
            <w:vAlign w:val="center"/>
          </w:tcPr>
          <w:p w14:paraId="34AC666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3181" w:type="dxa"/>
            <w:vMerge w:val="continue"/>
            <w:tcMar>
              <w:top w:w="0" w:type="dxa"/>
              <w:left w:w="0" w:type="dxa"/>
              <w:bottom w:w="0" w:type="dxa"/>
              <w:right w:w="0" w:type="dxa"/>
            </w:tcMar>
            <w:vAlign w:val="center"/>
          </w:tcPr>
          <w:p w14:paraId="56A478A9">
            <w:pPr>
              <w:snapToGrid w:val="0"/>
              <w:jc w:val="center"/>
              <w:rPr>
                <w:rFonts w:hint="default" w:ascii="Times New Roman" w:hAnsi="Times New Roman" w:eastAsia="宋体" w:cs="Times New Roman"/>
                <w:color w:val="auto"/>
                <w:sz w:val="21"/>
                <w:szCs w:val="21"/>
                <w:u w:val="single" w:color="auto"/>
              </w:rPr>
            </w:pPr>
          </w:p>
        </w:tc>
        <w:tc>
          <w:tcPr>
            <w:tcW w:w="1093" w:type="dxa"/>
            <w:tcMar>
              <w:top w:w="0" w:type="dxa"/>
              <w:left w:w="0" w:type="dxa"/>
              <w:bottom w:w="0" w:type="dxa"/>
              <w:right w:w="0" w:type="dxa"/>
            </w:tcMar>
            <w:vAlign w:val="center"/>
          </w:tcPr>
          <w:p w14:paraId="72686E13">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0FE2A9A6">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73F9CA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09613490">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7D523E3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c>
          <w:tcPr>
            <w:tcW w:w="604" w:type="dxa"/>
            <w:tcMar>
              <w:top w:w="0" w:type="dxa"/>
              <w:left w:w="0" w:type="dxa"/>
              <w:bottom w:w="0" w:type="dxa"/>
              <w:right w:w="0" w:type="dxa"/>
            </w:tcMar>
            <w:vAlign w:val="center"/>
          </w:tcPr>
          <w:p w14:paraId="722606E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p>
        </w:tc>
      </w:tr>
      <w:tr w14:paraId="1F639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5" w:type="dxa"/>
            <w:vMerge w:val="continue"/>
            <w:tcMar>
              <w:top w:w="0" w:type="dxa"/>
              <w:left w:w="0" w:type="dxa"/>
              <w:bottom w:w="0" w:type="dxa"/>
              <w:right w:w="0" w:type="dxa"/>
            </w:tcMar>
            <w:vAlign w:val="center"/>
          </w:tcPr>
          <w:p w14:paraId="1B37EF95">
            <w:pPr>
              <w:snapToGrid w:val="0"/>
              <w:jc w:val="center"/>
              <w:rPr>
                <w:rFonts w:hint="default" w:ascii="Times New Roman" w:hAnsi="Times New Roman" w:eastAsia="宋体" w:cs="Times New Roman"/>
                <w:color w:val="auto"/>
                <w:sz w:val="21"/>
                <w:szCs w:val="21"/>
                <w:u w:val="single" w:color="auto"/>
              </w:rPr>
            </w:pPr>
          </w:p>
        </w:tc>
        <w:tc>
          <w:tcPr>
            <w:tcW w:w="1164" w:type="dxa"/>
            <w:vMerge w:val="continue"/>
            <w:tcMar>
              <w:top w:w="0" w:type="dxa"/>
              <w:left w:w="0" w:type="dxa"/>
              <w:bottom w:w="0" w:type="dxa"/>
              <w:right w:w="0" w:type="dxa"/>
            </w:tcMar>
            <w:vAlign w:val="center"/>
          </w:tcPr>
          <w:p w14:paraId="736ADDE2">
            <w:pPr>
              <w:snapToGrid w:val="0"/>
              <w:jc w:val="center"/>
              <w:rPr>
                <w:rFonts w:hint="default" w:ascii="Times New Roman" w:hAnsi="Times New Roman" w:eastAsia="宋体" w:cs="Times New Roman"/>
                <w:color w:val="auto"/>
                <w:sz w:val="21"/>
                <w:szCs w:val="21"/>
                <w:u w:val="single" w:color="auto"/>
              </w:rPr>
            </w:pPr>
          </w:p>
        </w:tc>
        <w:tc>
          <w:tcPr>
            <w:tcW w:w="663" w:type="dxa"/>
            <w:tcMar>
              <w:top w:w="0" w:type="dxa"/>
              <w:left w:w="0" w:type="dxa"/>
              <w:bottom w:w="0" w:type="dxa"/>
              <w:right w:w="0" w:type="dxa"/>
            </w:tcMar>
            <w:vAlign w:val="center"/>
          </w:tcPr>
          <w:p w14:paraId="3596EB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漆雾</w:t>
            </w:r>
          </w:p>
        </w:tc>
        <w:tc>
          <w:tcPr>
            <w:tcW w:w="652" w:type="dxa"/>
            <w:tcMar>
              <w:top w:w="0" w:type="dxa"/>
              <w:left w:w="0" w:type="dxa"/>
              <w:bottom w:w="0" w:type="dxa"/>
              <w:right w:w="0" w:type="dxa"/>
            </w:tcMar>
            <w:vAlign w:val="center"/>
          </w:tcPr>
          <w:p w14:paraId="058410A5">
            <w:pPr>
              <w:snapToGrid w:val="0"/>
              <w:jc w:val="center"/>
              <w:rPr>
                <w:rFonts w:hint="default" w:ascii="Times New Roman" w:hAnsi="Times New Roman" w:eastAsia="宋体" w:cs="Times New Roman"/>
                <w:color w:val="auto"/>
                <w:sz w:val="21"/>
                <w:szCs w:val="21"/>
                <w:u w:val="single" w:color="auto"/>
              </w:rPr>
            </w:pPr>
          </w:p>
        </w:tc>
        <w:tc>
          <w:tcPr>
            <w:tcW w:w="770" w:type="dxa"/>
            <w:tcMar>
              <w:top w:w="0" w:type="dxa"/>
              <w:left w:w="0" w:type="dxa"/>
              <w:bottom w:w="0" w:type="dxa"/>
              <w:right w:w="0" w:type="dxa"/>
            </w:tcMar>
            <w:vAlign w:val="center"/>
          </w:tcPr>
          <w:p w14:paraId="220B7CE1">
            <w:pPr>
              <w:snapToGrid w:val="0"/>
              <w:jc w:val="center"/>
              <w:rPr>
                <w:rFonts w:hint="default" w:ascii="Times New Roman" w:hAnsi="Times New Roman" w:eastAsia="宋体" w:cs="Times New Roman"/>
                <w:color w:val="auto"/>
                <w:sz w:val="21"/>
                <w:szCs w:val="21"/>
                <w:u w:val="single" w:color="auto"/>
              </w:rPr>
            </w:pPr>
          </w:p>
        </w:tc>
        <w:tc>
          <w:tcPr>
            <w:tcW w:w="714" w:type="dxa"/>
            <w:tcMar>
              <w:top w:w="0" w:type="dxa"/>
              <w:left w:w="0" w:type="dxa"/>
              <w:bottom w:w="0" w:type="dxa"/>
              <w:right w:w="0" w:type="dxa"/>
            </w:tcMar>
            <w:vAlign w:val="center"/>
          </w:tcPr>
          <w:p w14:paraId="34A586D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1476" w:type="dxa"/>
            <w:tcMar>
              <w:top w:w="0" w:type="dxa"/>
              <w:left w:w="0" w:type="dxa"/>
              <w:bottom w:w="0" w:type="dxa"/>
              <w:right w:w="0" w:type="dxa"/>
            </w:tcMar>
            <w:vAlign w:val="center"/>
          </w:tcPr>
          <w:p w14:paraId="20E5340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3181" w:type="dxa"/>
            <w:vMerge w:val="continue"/>
            <w:tcMar>
              <w:top w:w="0" w:type="dxa"/>
              <w:left w:w="0" w:type="dxa"/>
              <w:bottom w:w="0" w:type="dxa"/>
              <w:right w:w="0" w:type="dxa"/>
            </w:tcMar>
            <w:vAlign w:val="center"/>
          </w:tcPr>
          <w:p w14:paraId="64145BC2">
            <w:pPr>
              <w:snapToGrid w:val="0"/>
              <w:jc w:val="center"/>
              <w:rPr>
                <w:rFonts w:hint="default" w:ascii="Times New Roman" w:hAnsi="Times New Roman" w:eastAsia="宋体" w:cs="Times New Roman"/>
                <w:color w:val="auto"/>
                <w:sz w:val="21"/>
                <w:szCs w:val="21"/>
                <w:u w:val="single" w:color="auto"/>
              </w:rPr>
            </w:pPr>
          </w:p>
        </w:tc>
        <w:tc>
          <w:tcPr>
            <w:tcW w:w="1093" w:type="dxa"/>
            <w:tcMar>
              <w:top w:w="0" w:type="dxa"/>
              <w:left w:w="0" w:type="dxa"/>
              <w:bottom w:w="0" w:type="dxa"/>
              <w:right w:w="0" w:type="dxa"/>
            </w:tcMar>
            <w:vAlign w:val="center"/>
          </w:tcPr>
          <w:p w14:paraId="7308FDEB">
            <w:pPr>
              <w:snapToGrid w:val="0"/>
              <w:jc w:val="center"/>
              <w:rPr>
                <w:rFonts w:hint="default" w:ascii="Times New Roman" w:hAnsi="Times New Roman" w:eastAsia="宋体" w:cs="Times New Roman"/>
                <w:color w:val="auto"/>
                <w:sz w:val="21"/>
                <w:szCs w:val="21"/>
                <w:u w:val="single" w:color="auto"/>
              </w:rPr>
            </w:pPr>
          </w:p>
        </w:tc>
        <w:tc>
          <w:tcPr>
            <w:tcW w:w="1029" w:type="dxa"/>
            <w:tcMar>
              <w:top w:w="0" w:type="dxa"/>
              <w:left w:w="0" w:type="dxa"/>
              <w:bottom w:w="0" w:type="dxa"/>
              <w:right w:w="0" w:type="dxa"/>
            </w:tcMar>
            <w:vAlign w:val="center"/>
          </w:tcPr>
          <w:p w14:paraId="70B790A5">
            <w:pPr>
              <w:snapToGrid w:val="0"/>
              <w:jc w:val="center"/>
              <w:rPr>
                <w:rFonts w:hint="default" w:ascii="Times New Roman" w:hAnsi="Times New Roman" w:eastAsia="宋体" w:cs="Times New Roman"/>
                <w:color w:val="auto"/>
                <w:sz w:val="21"/>
                <w:szCs w:val="21"/>
                <w:u w:val="single" w:color="auto"/>
              </w:rPr>
            </w:pPr>
          </w:p>
        </w:tc>
        <w:tc>
          <w:tcPr>
            <w:tcW w:w="1039" w:type="dxa"/>
            <w:tcMar>
              <w:top w:w="0" w:type="dxa"/>
              <w:left w:w="0" w:type="dxa"/>
              <w:bottom w:w="0" w:type="dxa"/>
              <w:right w:w="0" w:type="dxa"/>
            </w:tcMar>
            <w:vAlign w:val="center"/>
          </w:tcPr>
          <w:p w14:paraId="4AAFEF7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p>
        </w:tc>
        <w:tc>
          <w:tcPr>
            <w:tcW w:w="818" w:type="dxa"/>
            <w:tcMar>
              <w:top w:w="0" w:type="dxa"/>
              <w:left w:w="0" w:type="dxa"/>
              <w:bottom w:w="0" w:type="dxa"/>
              <w:right w:w="0" w:type="dxa"/>
            </w:tcMar>
            <w:vAlign w:val="center"/>
          </w:tcPr>
          <w:p w14:paraId="67053493">
            <w:pPr>
              <w:snapToGrid w:val="0"/>
              <w:jc w:val="center"/>
              <w:rPr>
                <w:rFonts w:hint="default" w:ascii="Times New Roman" w:hAnsi="Times New Roman" w:eastAsia="宋体" w:cs="Times New Roman"/>
                <w:color w:val="auto"/>
                <w:sz w:val="21"/>
                <w:szCs w:val="21"/>
                <w:u w:val="single" w:color="auto"/>
              </w:rPr>
            </w:pPr>
          </w:p>
        </w:tc>
        <w:tc>
          <w:tcPr>
            <w:tcW w:w="498" w:type="dxa"/>
            <w:tcMar>
              <w:top w:w="0" w:type="dxa"/>
              <w:left w:w="0" w:type="dxa"/>
              <w:bottom w:w="0" w:type="dxa"/>
              <w:right w:w="0" w:type="dxa"/>
            </w:tcMar>
            <w:vAlign w:val="center"/>
          </w:tcPr>
          <w:p w14:paraId="0311F05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c>
          <w:tcPr>
            <w:tcW w:w="604" w:type="dxa"/>
            <w:tcMar>
              <w:top w:w="0" w:type="dxa"/>
              <w:left w:w="0" w:type="dxa"/>
              <w:bottom w:w="0" w:type="dxa"/>
              <w:right w:w="0" w:type="dxa"/>
            </w:tcMar>
            <w:vAlign w:val="center"/>
          </w:tcPr>
          <w:p w14:paraId="5DB135F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bidi="ar"/>
              </w:rPr>
            </w:pPr>
          </w:p>
        </w:tc>
      </w:tr>
    </w:tbl>
    <w:p w14:paraId="264FF960">
      <w:pPr>
        <w:snapToGrid w:val="0"/>
        <w:jc w:val="center"/>
        <w:rPr>
          <w:rFonts w:ascii="Times New Roman" w:hAnsi="Times New Roman" w:eastAsia="宋体" w:cs="Times New Roman"/>
          <w:b/>
          <w:bCs/>
          <w:color w:val="auto"/>
          <w:sz w:val="24"/>
          <w:szCs w:val="24"/>
          <w:u w:val="none" w:color="auto"/>
        </w:rPr>
      </w:pPr>
    </w:p>
    <w:p w14:paraId="608D2FEA">
      <w:pPr>
        <w:snapToGrid w:val="0"/>
        <w:jc w:val="center"/>
        <w:rPr>
          <w:rFonts w:ascii="Times New Roman" w:hAnsi="Times New Roman" w:eastAsia="宋体" w:cs="Times New Roman"/>
          <w:b/>
          <w:bCs/>
          <w:color w:val="auto"/>
          <w:sz w:val="24"/>
          <w:szCs w:val="24"/>
          <w:u w:val="none" w:color="auto"/>
        </w:rPr>
      </w:pPr>
    </w:p>
    <w:p w14:paraId="682390DD">
      <w:pPr>
        <w:snapToGrid w:val="0"/>
        <w:jc w:val="center"/>
        <w:rPr>
          <w:rFonts w:ascii="Times New Roman" w:hAnsi="Times New Roman" w:eastAsia="宋体" w:cs="Times New Roman"/>
          <w:b/>
          <w:bCs/>
          <w:color w:val="auto"/>
          <w:sz w:val="24"/>
          <w:szCs w:val="24"/>
          <w:u w:val="none" w:color="auto"/>
        </w:rPr>
      </w:pPr>
    </w:p>
    <w:p w14:paraId="117D26E2">
      <w:pPr>
        <w:pStyle w:val="35"/>
        <w:ind w:firstLine="0" w:firstLineChars="0"/>
        <w:rPr>
          <w:color w:val="auto"/>
          <w:u w:val="none" w:color="auto"/>
        </w:rPr>
      </w:pPr>
    </w:p>
    <w:p w14:paraId="0642CA3A">
      <w:pPr>
        <w:pStyle w:val="35"/>
        <w:ind w:firstLine="210"/>
        <w:rPr>
          <w:color w:val="auto"/>
          <w:u w:val="none" w:color="auto"/>
        </w:rPr>
        <w:sectPr>
          <w:pgSz w:w="16838" w:h="11906" w:orient="landscape"/>
          <w:pgMar w:top="1633" w:right="1440" w:bottom="1689"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C8B3628">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（2）废水</w:t>
      </w:r>
    </w:p>
    <w:p w14:paraId="3AFAD92C">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1）生活污水</w:t>
      </w:r>
    </w:p>
    <w:p w14:paraId="5469F5DF">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本项目员工150人，</w:t>
      </w:r>
      <w:r>
        <w:rPr>
          <w:rFonts w:ascii="Times New Roman" w:hAnsi="Times New Roman" w:eastAsia="宋体" w:cs="Times New Roman"/>
          <w:color w:val="auto"/>
          <w:sz w:val="24"/>
          <w:szCs w:val="24"/>
          <w:u w:val="none" w:color="auto"/>
        </w:rPr>
        <w:t>均在厂区内住宿，生活用水定额取</w:t>
      </w:r>
      <w:r>
        <w:rPr>
          <w:rFonts w:hint="eastAsia" w:ascii="Times New Roman" w:hAnsi="Times New Roman" w:eastAsia="宋体" w:cs="Times New Roman"/>
          <w:color w:val="auto"/>
          <w:sz w:val="24"/>
          <w:szCs w:val="24"/>
          <w:u w:val="none" w:color="auto"/>
        </w:rPr>
        <w:t>220</w:t>
      </w:r>
      <w:r>
        <w:rPr>
          <w:rFonts w:ascii="Times New Roman" w:hAnsi="Times New Roman" w:eastAsia="宋体" w:cs="Times New Roman"/>
          <w:color w:val="auto"/>
          <w:sz w:val="24"/>
          <w:szCs w:val="24"/>
          <w:u w:val="none" w:color="auto"/>
        </w:rPr>
        <w:t>L/d·人，年生产时间约为3</w:t>
      </w:r>
      <w:r>
        <w:rPr>
          <w:rFonts w:hint="eastAsia" w:ascii="Times New Roman" w:hAnsi="Times New Roman" w:eastAsia="宋体" w:cs="Times New Roman"/>
          <w:color w:val="auto"/>
          <w:sz w:val="24"/>
          <w:szCs w:val="24"/>
          <w:u w:val="none" w:color="auto"/>
        </w:rPr>
        <w:t>3</w:t>
      </w:r>
      <w:r>
        <w:rPr>
          <w:rFonts w:ascii="Times New Roman" w:hAnsi="Times New Roman" w:eastAsia="宋体" w:cs="Times New Roman"/>
          <w:color w:val="auto"/>
          <w:sz w:val="24"/>
          <w:szCs w:val="24"/>
          <w:u w:val="none" w:color="auto"/>
        </w:rPr>
        <w:t>0天，据此可计算出本项目员工生活用水</w:t>
      </w:r>
      <w:r>
        <w:rPr>
          <w:rFonts w:hint="eastAsia" w:ascii="Times New Roman" w:hAnsi="Times New Roman" w:eastAsia="宋体" w:cs="Times New Roman"/>
          <w:color w:val="auto"/>
          <w:sz w:val="24"/>
          <w:szCs w:val="24"/>
          <w:u w:val="none" w:color="auto"/>
        </w:rPr>
        <w:t>33</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/d，</w:t>
      </w:r>
      <w:r>
        <w:rPr>
          <w:rFonts w:hint="eastAsia" w:ascii="Times New Roman" w:hAnsi="Times New Roman" w:eastAsia="宋体" w:cs="Times New Roman"/>
          <w:color w:val="auto"/>
          <w:sz w:val="24"/>
          <w:szCs w:val="24"/>
          <w:u w:val="none" w:color="auto"/>
        </w:rPr>
        <w:t>10890</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/a，生活用水由园区供水管网提供。生活污水排放系数取0.8，则污水总排放量约为</w:t>
      </w:r>
      <w:r>
        <w:rPr>
          <w:rFonts w:hint="eastAsia" w:ascii="Times New Roman" w:hAnsi="Times New Roman" w:eastAsia="宋体" w:cs="Times New Roman"/>
          <w:color w:val="auto"/>
          <w:sz w:val="24"/>
          <w:szCs w:val="24"/>
          <w:u w:val="none" w:color="auto"/>
        </w:rPr>
        <w:t>26.4</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/d，</w:t>
      </w:r>
      <w:r>
        <w:rPr>
          <w:rFonts w:hint="eastAsia" w:ascii="Times New Roman" w:hAnsi="Times New Roman" w:eastAsia="宋体" w:cs="Times New Roman"/>
          <w:color w:val="auto"/>
          <w:sz w:val="24"/>
          <w:szCs w:val="24"/>
          <w:u w:val="none" w:color="auto"/>
        </w:rPr>
        <w:t>8712</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/a。生活污水经厂内三级化粪池预处理达到大榄坪污水处理厂</w:t>
      </w:r>
      <w:r>
        <w:rPr>
          <w:rFonts w:hint="eastAsia" w:ascii="Times New Roman" w:hAnsi="Times New Roman" w:eastAsia="宋体" w:cs="Times New Roman"/>
          <w:color w:val="auto"/>
          <w:sz w:val="24"/>
          <w:szCs w:val="24"/>
          <w:u w:val="none" w:color="auto"/>
          <w:lang w:val="en-US" w:eastAsia="zh-CN"/>
        </w:rPr>
        <w:t>纳管</w:t>
      </w:r>
      <w:r>
        <w:rPr>
          <w:rFonts w:hint="eastAsia" w:ascii="Times New Roman" w:hAnsi="Times New Roman" w:eastAsia="宋体" w:cs="Times New Roman"/>
          <w:color w:val="auto"/>
          <w:sz w:val="24"/>
          <w:szCs w:val="24"/>
          <w:u w:val="none" w:color="auto"/>
        </w:rPr>
        <w:t>标准</w:t>
      </w:r>
      <w:r>
        <w:rPr>
          <w:rFonts w:ascii="Times New Roman" w:hAnsi="Times New Roman" w:eastAsia="宋体" w:cs="Times New Roman"/>
          <w:color w:val="auto"/>
          <w:sz w:val="24"/>
          <w:szCs w:val="24"/>
          <w:u w:val="none" w:color="auto"/>
        </w:rPr>
        <w:t>要求后，经市政管网排入大榄坪污水处理厂。</w:t>
      </w:r>
    </w:p>
    <w:p w14:paraId="1D01E0B1">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表2.3-1</w:t>
      </w:r>
      <w:r>
        <w:rPr>
          <w:rFonts w:hint="eastAsia" w:ascii="Times New Roman" w:hAnsi="Times New Roman" w:eastAsia="宋体" w:cs="Times New Roman"/>
          <w:b/>
          <w:color w:val="auto"/>
          <w:sz w:val="24"/>
          <w:szCs w:val="24"/>
          <w:u w:val="none" w:color="auto"/>
          <w:lang w:val="en-US" w:eastAsia="zh-CN"/>
        </w:rPr>
        <w:t>4</w:t>
      </w:r>
      <w:r>
        <w:rPr>
          <w:rFonts w:hint="eastAsia" w:ascii="Times New Roman" w:hAnsi="Times New Roman" w:eastAsia="宋体" w:cs="Times New Roman"/>
          <w:b/>
          <w:color w:val="auto"/>
          <w:sz w:val="24"/>
          <w:szCs w:val="24"/>
          <w:u w:val="none" w:color="auto"/>
        </w:rPr>
        <w:t>本项目水污染物产排情况</w:t>
      </w:r>
    </w:p>
    <w:tbl>
      <w:tblPr>
        <w:tblStyle w:val="37"/>
        <w:tblW w:w="8557"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1179"/>
        <w:gridCol w:w="1509"/>
        <w:gridCol w:w="1610"/>
        <w:gridCol w:w="1596"/>
        <w:gridCol w:w="1625"/>
      </w:tblGrid>
      <w:tr w14:paraId="33D7B48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vAlign w:val="center"/>
          </w:tcPr>
          <w:p w14:paraId="7705EDB8">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废水量(m</w:t>
            </w:r>
            <w:r>
              <w:rPr>
                <w:rFonts w:ascii="Times New Roman" w:hAnsi="Times New Roman" w:eastAsia="宋体" w:cs="Times New Roman"/>
                <w:color w:val="auto"/>
                <w:kern w:val="0"/>
                <w:szCs w:val="21"/>
                <w:u w:val="none" w:color="auto"/>
                <w:vertAlign w:val="superscript"/>
              </w:rPr>
              <w:t>3</w:t>
            </w:r>
            <w:r>
              <w:rPr>
                <w:rFonts w:ascii="Times New Roman" w:hAnsi="Times New Roman" w:eastAsia="宋体" w:cs="Times New Roman"/>
                <w:color w:val="auto"/>
                <w:kern w:val="0"/>
                <w:szCs w:val="21"/>
                <w:u w:val="none" w:color="auto"/>
              </w:rPr>
              <w:t>/a)</w:t>
            </w:r>
          </w:p>
        </w:tc>
        <w:tc>
          <w:tcPr>
            <w:tcW w:w="1179" w:type="dxa"/>
            <w:vMerge w:val="restart"/>
            <w:vAlign w:val="center"/>
          </w:tcPr>
          <w:p w14:paraId="162B7714">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污染物名称</w:t>
            </w:r>
          </w:p>
        </w:tc>
        <w:tc>
          <w:tcPr>
            <w:tcW w:w="3119" w:type="dxa"/>
            <w:gridSpan w:val="2"/>
            <w:vAlign w:val="center"/>
          </w:tcPr>
          <w:p w14:paraId="5F302E7D">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处理前</w:t>
            </w:r>
          </w:p>
        </w:tc>
        <w:tc>
          <w:tcPr>
            <w:tcW w:w="3221" w:type="dxa"/>
            <w:gridSpan w:val="2"/>
            <w:vAlign w:val="center"/>
          </w:tcPr>
          <w:p w14:paraId="546EDFA4">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经化粪池处理后</w:t>
            </w:r>
          </w:p>
        </w:tc>
      </w:tr>
      <w:tr w14:paraId="5C47856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vAlign w:val="center"/>
          </w:tcPr>
          <w:p w14:paraId="23AF44AE">
            <w:pPr>
              <w:widowControl/>
              <w:snapToGrid w:val="0"/>
              <w:jc w:val="left"/>
              <w:rPr>
                <w:rFonts w:ascii="Times New Roman" w:hAnsi="Times New Roman" w:eastAsia="宋体" w:cs="Times New Roman"/>
                <w:color w:val="auto"/>
                <w:kern w:val="0"/>
                <w:szCs w:val="21"/>
                <w:u w:val="none" w:color="auto"/>
              </w:rPr>
            </w:pPr>
          </w:p>
        </w:tc>
        <w:tc>
          <w:tcPr>
            <w:tcW w:w="1179" w:type="dxa"/>
            <w:vMerge w:val="continue"/>
            <w:vAlign w:val="center"/>
          </w:tcPr>
          <w:p w14:paraId="52D2C7D4">
            <w:pPr>
              <w:widowControl/>
              <w:snapToGrid w:val="0"/>
              <w:jc w:val="left"/>
              <w:rPr>
                <w:rFonts w:ascii="Times New Roman" w:hAnsi="Times New Roman" w:eastAsia="宋体" w:cs="Times New Roman"/>
                <w:color w:val="auto"/>
                <w:kern w:val="0"/>
                <w:szCs w:val="21"/>
                <w:u w:val="none" w:color="auto"/>
              </w:rPr>
            </w:pPr>
          </w:p>
        </w:tc>
        <w:tc>
          <w:tcPr>
            <w:tcW w:w="1509" w:type="dxa"/>
            <w:vAlign w:val="center"/>
          </w:tcPr>
          <w:p w14:paraId="41BE329E">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污染物浓度（mg/L）</w:t>
            </w:r>
          </w:p>
        </w:tc>
        <w:tc>
          <w:tcPr>
            <w:tcW w:w="1610" w:type="dxa"/>
            <w:vAlign w:val="center"/>
          </w:tcPr>
          <w:p w14:paraId="39308AE3">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污染物产生量(t/a)</w:t>
            </w:r>
          </w:p>
        </w:tc>
        <w:tc>
          <w:tcPr>
            <w:tcW w:w="1596" w:type="dxa"/>
            <w:vAlign w:val="center"/>
          </w:tcPr>
          <w:p w14:paraId="108B27F5">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污染物浓度(mg/L)</w:t>
            </w:r>
          </w:p>
        </w:tc>
        <w:tc>
          <w:tcPr>
            <w:tcW w:w="1625" w:type="dxa"/>
            <w:vAlign w:val="center"/>
          </w:tcPr>
          <w:p w14:paraId="411F4482">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污染物排放量(t/a)</w:t>
            </w:r>
          </w:p>
        </w:tc>
      </w:tr>
      <w:tr w14:paraId="1145212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vAlign w:val="center"/>
          </w:tcPr>
          <w:p w14:paraId="7D89412A">
            <w:pPr>
              <w:widowControl/>
              <w:snapToGrid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8712</w:t>
            </w:r>
          </w:p>
        </w:tc>
        <w:tc>
          <w:tcPr>
            <w:tcW w:w="1179" w:type="dxa"/>
            <w:vAlign w:val="center"/>
          </w:tcPr>
          <w:p w14:paraId="19797C65">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COD</w:t>
            </w:r>
            <w:r>
              <w:rPr>
                <w:rFonts w:ascii="Times New Roman" w:hAnsi="Times New Roman" w:eastAsia="宋体" w:cs="Times New Roman"/>
                <w:color w:val="auto"/>
                <w:kern w:val="0"/>
                <w:szCs w:val="21"/>
                <w:u w:val="none" w:color="auto"/>
                <w:vertAlign w:val="subscript"/>
              </w:rPr>
              <w:t>Cr</w:t>
            </w:r>
          </w:p>
        </w:tc>
        <w:tc>
          <w:tcPr>
            <w:tcW w:w="1509" w:type="dxa"/>
            <w:vAlign w:val="center"/>
          </w:tcPr>
          <w:p w14:paraId="4F3C35F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400</w:t>
            </w:r>
          </w:p>
        </w:tc>
        <w:tc>
          <w:tcPr>
            <w:tcW w:w="1610" w:type="dxa"/>
            <w:vAlign w:val="center"/>
          </w:tcPr>
          <w:p w14:paraId="35DC5ED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3.485 </w:t>
            </w:r>
          </w:p>
        </w:tc>
        <w:tc>
          <w:tcPr>
            <w:tcW w:w="1596" w:type="dxa"/>
            <w:vAlign w:val="center"/>
          </w:tcPr>
          <w:p w14:paraId="63090AB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300</w:t>
            </w:r>
          </w:p>
        </w:tc>
        <w:tc>
          <w:tcPr>
            <w:tcW w:w="1625" w:type="dxa"/>
            <w:vAlign w:val="center"/>
          </w:tcPr>
          <w:p w14:paraId="7D5AFAF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2.614 </w:t>
            </w:r>
          </w:p>
        </w:tc>
      </w:tr>
      <w:tr w14:paraId="27BD52B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vAlign w:val="center"/>
          </w:tcPr>
          <w:p w14:paraId="07217D1D">
            <w:pPr>
              <w:widowControl/>
              <w:snapToGrid w:val="0"/>
              <w:jc w:val="left"/>
              <w:rPr>
                <w:rFonts w:ascii="Times New Roman" w:hAnsi="Times New Roman" w:eastAsia="宋体" w:cs="Times New Roman"/>
                <w:color w:val="auto"/>
                <w:kern w:val="0"/>
                <w:szCs w:val="21"/>
                <w:u w:val="none" w:color="auto"/>
              </w:rPr>
            </w:pPr>
          </w:p>
        </w:tc>
        <w:tc>
          <w:tcPr>
            <w:tcW w:w="1179" w:type="dxa"/>
            <w:vAlign w:val="center"/>
          </w:tcPr>
          <w:p w14:paraId="75CB9303">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BOD</w:t>
            </w:r>
            <w:r>
              <w:rPr>
                <w:rFonts w:ascii="Times New Roman" w:hAnsi="Times New Roman" w:eastAsia="宋体" w:cs="Times New Roman"/>
                <w:color w:val="auto"/>
                <w:kern w:val="0"/>
                <w:szCs w:val="21"/>
                <w:u w:val="none" w:color="auto"/>
                <w:vertAlign w:val="subscript"/>
              </w:rPr>
              <w:t>5</w:t>
            </w:r>
          </w:p>
        </w:tc>
        <w:tc>
          <w:tcPr>
            <w:tcW w:w="1509" w:type="dxa"/>
            <w:vAlign w:val="center"/>
          </w:tcPr>
          <w:p w14:paraId="62214E0C">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200</w:t>
            </w:r>
          </w:p>
        </w:tc>
        <w:tc>
          <w:tcPr>
            <w:tcW w:w="1610" w:type="dxa"/>
            <w:vAlign w:val="center"/>
          </w:tcPr>
          <w:p w14:paraId="2F9DAF9F">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1.742 </w:t>
            </w:r>
          </w:p>
        </w:tc>
        <w:tc>
          <w:tcPr>
            <w:tcW w:w="1596" w:type="dxa"/>
            <w:vAlign w:val="center"/>
          </w:tcPr>
          <w:p w14:paraId="717917C2">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150</w:t>
            </w:r>
          </w:p>
        </w:tc>
        <w:tc>
          <w:tcPr>
            <w:tcW w:w="1625" w:type="dxa"/>
            <w:vAlign w:val="center"/>
          </w:tcPr>
          <w:p w14:paraId="4C8A9461">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1.307 </w:t>
            </w:r>
          </w:p>
        </w:tc>
      </w:tr>
      <w:tr w14:paraId="5BBC0CA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vAlign w:val="center"/>
          </w:tcPr>
          <w:p w14:paraId="7C3CC7F2">
            <w:pPr>
              <w:widowControl/>
              <w:snapToGrid w:val="0"/>
              <w:jc w:val="left"/>
              <w:rPr>
                <w:rFonts w:ascii="Times New Roman" w:hAnsi="Times New Roman" w:eastAsia="宋体" w:cs="Times New Roman"/>
                <w:color w:val="auto"/>
                <w:kern w:val="0"/>
                <w:szCs w:val="21"/>
                <w:u w:val="none" w:color="auto"/>
              </w:rPr>
            </w:pPr>
          </w:p>
        </w:tc>
        <w:tc>
          <w:tcPr>
            <w:tcW w:w="1179" w:type="dxa"/>
            <w:vAlign w:val="center"/>
          </w:tcPr>
          <w:p w14:paraId="035FFCCA">
            <w:pPr>
              <w:widowControl/>
              <w:snapToGri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NH</w:t>
            </w:r>
            <w:r>
              <w:rPr>
                <w:rFonts w:ascii="Times New Roman" w:hAnsi="Times New Roman" w:eastAsia="宋体" w:cs="Times New Roman"/>
                <w:color w:val="auto"/>
                <w:kern w:val="0"/>
                <w:szCs w:val="21"/>
                <w:u w:val="none" w:color="auto"/>
                <w:vertAlign w:val="subscript"/>
              </w:rPr>
              <w:t>3</w:t>
            </w:r>
            <w:r>
              <w:rPr>
                <w:rFonts w:ascii="Times New Roman" w:hAnsi="Times New Roman" w:eastAsia="宋体" w:cs="Times New Roman"/>
                <w:color w:val="auto"/>
                <w:kern w:val="0"/>
                <w:szCs w:val="21"/>
                <w:u w:val="none" w:color="auto"/>
              </w:rPr>
              <w:t>-N</w:t>
            </w:r>
          </w:p>
        </w:tc>
        <w:tc>
          <w:tcPr>
            <w:tcW w:w="1509" w:type="dxa"/>
            <w:vAlign w:val="center"/>
          </w:tcPr>
          <w:p w14:paraId="2CAF644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35</w:t>
            </w:r>
          </w:p>
        </w:tc>
        <w:tc>
          <w:tcPr>
            <w:tcW w:w="1610" w:type="dxa"/>
            <w:vAlign w:val="center"/>
          </w:tcPr>
          <w:p w14:paraId="3254BD1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0.305 </w:t>
            </w:r>
          </w:p>
        </w:tc>
        <w:tc>
          <w:tcPr>
            <w:tcW w:w="1596" w:type="dxa"/>
            <w:vAlign w:val="center"/>
          </w:tcPr>
          <w:p w14:paraId="18576F8C">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30</w:t>
            </w:r>
          </w:p>
        </w:tc>
        <w:tc>
          <w:tcPr>
            <w:tcW w:w="1625" w:type="dxa"/>
            <w:vAlign w:val="center"/>
          </w:tcPr>
          <w:p w14:paraId="51375F00">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 xml:space="preserve">0.261 </w:t>
            </w:r>
          </w:p>
        </w:tc>
      </w:tr>
    </w:tbl>
    <w:p w14:paraId="421179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eastAsia" w:ascii="Times New Roman" w:hAnsi="Times New Roman" w:eastAsia="宋体" w:cs="Times New Roman"/>
          <w:color w:val="auto"/>
          <w:sz w:val="24"/>
          <w:szCs w:val="24"/>
          <w:u w:val="single"/>
          <w:lang w:val="en-US" w:eastAsia="zh-CN"/>
        </w:rPr>
        <w:t>2）初期雨水</w:t>
      </w:r>
    </w:p>
    <w:p w14:paraId="587F82EE">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为保障项目</w:t>
      </w:r>
      <w:r>
        <w:rPr>
          <w:rFonts w:hint="eastAsia" w:ascii="Times New Roman" w:hAnsi="Times New Roman" w:eastAsia="宋体" w:cs="Times New Roman"/>
          <w:color w:val="auto"/>
          <w:sz w:val="24"/>
          <w:szCs w:val="24"/>
          <w:u w:val="single"/>
          <w:lang w:eastAsia="zh-CN"/>
        </w:rPr>
        <w:t>初期雨水</w:t>
      </w:r>
      <w:r>
        <w:rPr>
          <w:rFonts w:hint="default" w:ascii="Times New Roman" w:hAnsi="Times New Roman" w:eastAsia="宋体" w:cs="Times New Roman"/>
          <w:color w:val="auto"/>
          <w:sz w:val="24"/>
          <w:szCs w:val="24"/>
          <w:u w:val="single"/>
        </w:rPr>
        <w:t>对周围环境的影响降至最低，建设单位对</w:t>
      </w:r>
      <w:r>
        <w:rPr>
          <w:rFonts w:hint="eastAsia" w:ascii="Times New Roman" w:hAnsi="Times New Roman" w:eastAsia="宋体" w:cs="Times New Roman"/>
          <w:color w:val="auto"/>
          <w:sz w:val="24"/>
          <w:szCs w:val="24"/>
          <w:u w:val="single"/>
          <w:lang w:val="en-US" w:eastAsia="zh-CN"/>
        </w:rPr>
        <w:t>初期</w:t>
      </w:r>
      <w:r>
        <w:rPr>
          <w:rFonts w:hint="default" w:ascii="Times New Roman" w:hAnsi="Times New Roman" w:eastAsia="宋体" w:cs="Times New Roman"/>
          <w:color w:val="auto"/>
          <w:sz w:val="24"/>
          <w:szCs w:val="24"/>
          <w:u w:val="single"/>
        </w:rPr>
        <w:t>雨水进行收集。</w:t>
      </w:r>
    </w:p>
    <w:p w14:paraId="70E654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①暴雨强度计算</w:t>
      </w:r>
    </w:p>
    <w:p w14:paraId="3074E32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暴雨强度是描述暴雨雨量的重要指标，强度越大，雨越猛烈。同时暴雨强度也是决定雨水设计流量的重要参数之一。暴雨强度公式是暴雨强度q、降雨历时t与重现期p之间关系的数字表达式，是设计雨水管渠的依据。根据《广西32城镇暴雨强度公式成果表》查询得出钦州市暴雨强度公式如下：</w:t>
      </w:r>
    </w:p>
    <w:p w14:paraId="75EBB0F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position w:val="-26"/>
          <w:sz w:val="24"/>
          <w:szCs w:val="24"/>
          <w:u w:val="single"/>
        </w:rPr>
        <w:object>
          <v:shape id="_x0000_i1029" o:spt="75" type="#_x0000_t75" style="height:33.05pt;width:168pt;" o:ole="t" filled="f" o:preferrelative="t" stroked="f" coordsize="21600,21600">
            <v:path/>
            <v:fill on="f" alignshape="1" focussize="0,0"/>
            <v:stroke on="f"/>
            <v:imagedata r:id="rId24" o:title=""/>
            <o:lock v:ext="edit" aspectratio="t"/>
            <w10:wrap type="none"/>
            <w10:anchorlock/>
          </v:shape>
          <o:OLEObject Type="Embed" ProgID="Equation.3" ShapeID="_x0000_i1029" DrawAspect="Content" ObjectID="_1468075729" r:id="rId23">
            <o:LockedField>false</o:LockedField>
          </o:OLEObject>
        </w:object>
      </w:r>
    </w:p>
    <w:p w14:paraId="3C412F0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式中：</w:t>
      </w:r>
    </w:p>
    <w:p w14:paraId="601E1CE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Cs/>
          <w:color w:val="auto"/>
          <w:sz w:val="24"/>
          <w:szCs w:val="24"/>
          <w:u w:val="single"/>
        </w:rPr>
      </w:pPr>
      <w:r>
        <w:rPr>
          <w:rFonts w:hint="default" w:ascii="Times New Roman" w:hAnsi="Times New Roman" w:eastAsia="宋体" w:cs="Times New Roman"/>
          <w:bCs/>
          <w:color w:val="auto"/>
          <w:sz w:val="24"/>
          <w:szCs w:val="24"/>
          <w:u w:val="single"/>
        </w:rPr>
        <w:t>q——暴雨强度，升/秒·公顷；</w:t>
      </w:r>
    </w:p>
    <w:p w14:paraId="52E8049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P</w:t>
      </w:r>
      <w:r>
        <w:rPr>
          <w:rFonts w:hint="default" w:ascii="Times New Roman" w:hAnsi="Times New Roman" w:eastAsia="宋体" w:cs="Times New Roman"/>
          <w:bCs/>
          <w:color w:val="auto"/>
          <w:sz w:val="24"/>
          <w:szCs w:val="24"/>
          <w:u w:val="single"/>
        </w:rPr>
        <w:t>——</w:t>
      </w:r>
      <w:r>
        <w:rPr>
          <w:rFonts w:hint="default" w:ascii="Times New Roman" w:hAnsi="Times New Roman" w:eastAsia="宋体" w:cs="Times New Roman"/>
          <w:color w:val="auto"/>
          <w:sz w:val="24"/>
          <w:szCs w:val="24"/>
          <w:u w:val="single"/>
        </w:rPr>
        <w:t>重现期，取2年；</w:t>
      </w:r>
    </w:p>
    <w:p w14:paraId="3BD2153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t</w:t>
      </w:r>
      <w:r>
        <w:rPr>
          <w:rFonts w:hint="default" w:ascii="Times New Roman" w:hAnsi="Times New Roman" w:eastAsia="宋体" w:cs="Times New Roman"/>
          <w:bCs/>
          <w:color w:val="auto"/>
          <w:sz w:val="24"/>
          <w:szCs w:val="24"/>
          <w:u w:val="single"/>
        </w:rPr>
        <w:t>——</w:t>
      </w:r>
      <w:r>
        <w:rPr>
          <w:rFonts w:hint="default" w:ascii="Times New Roman" w:hAnsi="Times New Roman" w:eastAsia="宋体" w:cs="Times New Roman"/>
          <w:color w:val="auto"/>
          <w:sz w:val="24"/>
          <w:szCs w:val="24"/>
          <w:u w:val="single"/>
        </w:rPr>
        <w:t>降雨时间，取60分钟。</w:t>
      </w:r>
    </w:p>
    <w:p w14:paraId="53A2C37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根据暴雨强度计算公式估算，项目所在区域重现期为2年时暴雨强度为</w:t>
      </w:r>
      <w:r>
        <w:rPr>
          <w:rFonts w:hint="eastAsia" w:ascii="Times New Roman" w:hAnsi="Times New Roman" w:eastAsia="宋体" w:cs="Times New Roman"/>
          <w:color w:val="auto"/>
          <w:sz w:val="24"/>
          <w:szCs w:val="24"/>
          <w:u w:val="single"/>
          <w:lang w:val="en-US" w:eastAsia="zh-CN"/>
        </w:rPr>
        <w:t>175.13</w:t>
      </w:r>
      <w:r>
        <w:rPr>
          <w:rFonts w:hint="default" w:ascii="Times New Roman" w:hAnsi="Times New Roman" w:eastAsia="宋体" w:cs="Times New Roman"/>
          <w:color w:val="auto"/>
          <w:sz w:val="24"/>
          <w:szCs w:val="24"/>
          <w:u w:val="single"/>
        </w:rPr>
        <w:t>L/s·hm</w:t>
      </w:r>
      <w:r>
        <w:rPr>
          <w:rFonts w:hint="default" w:ascii="Times New Roman" w:hAnsi="Times New Roman" w:eastAsia="宋体" w:cs="Times New Roman"/>
          <w:color w:val="auto"/>
          <w:sz w:val="24"/>
          <w:szCs w:val="24"/>
          <w:u w:val="single"/>
          <w:vertAlign w:val="superscript"/>
        </w:rPr>
        <w:t>2</w:t>
      </w:r>
      <w:r>
        <w:rPr>
          <w:rFonts w:hint="default" w:ascii="Times New Roman" w:hAnsi="Times New Roman" w:eastAsia="宋体" w:cs="Times New Roman"/>
          <w:color w:val="auto"/>
          <w:sz w:val="24"/>
          <w:szCs w:val="24"/>
          <w:u w:val="single"/>
        </w:rPr>
        <w:t>。</w:t>
      </w:r>
    </w:p>
    <w:p w14:paraId="51724CD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② 水量估算</w:t>
      </w:r>
    </w:p>
    <w:p w14:paraId="5C18A51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根据《室外排水设计规范》，初期雨水流量公式为：</w:t>
      </w:r>
    </w:p>
    <w:p w14:paraId="5EF4720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 xml:space="preserve">Q = </w:t>
      </w:r>
      <w:r>
        <w:rPr>
          <w:rFonts w:hint="default" w:ascii="Times New Roman" w:hAnsi="Times New Roman" w:eastAsia="宋体" w:cs="Times New Roman"/>
          <w:color w:val="auto"/>
          <w:sz w:val="24"/>
          <w:szCs w:val="24"/>
          <w:u w:val="single"/>
        </w:rPr>
        <w:sym w:font="Symbol" w:char="F079"/>
      </w:r>
      <w:r>
        <w:rPr>
          <w:rFonts w:hint="default" w:ascii="Times New Roman" w:hAnsi="Times New Roman" w:eastAsia="宋体" w:cs="Times New Roman"/>
          <w:color w:val="auto"/>
          <w:sz w:val="24"/>
          <w:szCs w:val="24"/>
          <w:u w:val="single"/>
        </w:rPr>
        <w:t>·q·F</w:t>
      </w:r>
    </w:p>
    <w:p w14:paraId="472EA37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其中：</w:t>
      </w:r>
      <w:r>
        <w:rPr>
          <w:rFonts w:hint="default" w:ascii="Times New Roman" w:hAnsi="Times New Roman" w:eastAsia="宋体" w:cs="Times New Roman"/>
          <w:color w:val="auto"/>
          <w:sz w:val="24"/>
          <w:szCs w:val="24"/>
          <w:u w:val="single"/>
        </w:rPr>
        <w:sym w:font="Symbol" w:char="F079"/>
      </w:r>
      <w:r>
        <w:rPr>
          <w:rFonts w:hint="default" w:ascii="Times New Roman" w:hAnsi="Times New Roman" w:eastAsia="宋体" w:cs="Times New Roman"/>
          <w:color w:val="auto"/>
          <w:sz w:val="24"/>
          <w:szCs w:val="24"/>
          <w:u w:val="single"/>
        </w:rPr>
        <w:t>—径流系数，取0.</w:t>
      </w:r>
      <w:r>
        <w:rPr>
          <w:rFonts w:hint="eastAsia" w:ascii="Times New Roman" w:hAnsi="Times New Roman" w:eastAsia="宋体" w:cs="Times New Roman"/>
          <w:color w:val="auto"/>
          <w:sz w:val="24"/>
          <w:szCs w:val="24"/>
          <w:u w:val="single"/>
          <w:lang w:val="en-US" w:eastAsia="zh-CN"/>
        </w:rPr>
        <w:t>9</w:t>
      </w:r>
      <w:r>
        <w:rPr>
          <w:rFonts w:hint="default" w:ascii="Times New Roman" w:hAnsi="Times New Roman" w:eastAsia="宋体" w:cs="Times New Roman"/>
          <w:color w:val="auto"/>
          <w:sz w:val="24"/>
          <w:szCs w:val="24"/>
          <w:u w:val="single"/>
        </w:rPr>
        <w:t>；</w:t>
      </w:r>
    </w:p>
    <w:p w14:paraId="4FF663E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q—项目所在区域暴雨强度，钦州为</w:t>
      </w:r>
      <w:r>
        <w:rPr>
          <w:rFonts w:hint="eastAsia" w:ascii="Times New Roman" w:hAnsi="Times New Roman" w:eastAsia="宋体" w:cs="Times New Roman"/>
          <w:color w:val="auto"/>
          <w:sz w:val="24"/>
          <w:szCs w:val="24"/>
          <w:u w:val="single"/>
          <w:lang w:val="en-US" w:eastAsia="zh-CN"/>
        </w:rPr>
        <w:t>175.13</w:t>
      </w:r>
      <w:r>
        <w:rPr>
          <w:rFonts w:hint="default" w:ascii="Times New Roman" w:hAnsi="Times New Roman" w:eastAsia="宋体" w:cs="Times New Roman"/>
          <w:color w:val="auto"/>
          <w:sz w:val="24"/>
          <w:szCs w:val="24"/>
          <w:u w:val="single"/>
        </w:rPr>
        <w:t>L/s·hm</w:t>
      </w:r>
      <w:r>
        <w:rPr>
          <w:rFonts w:hint="default" w:ascii="Times New Roman" w:hAnsi="Times New Roman" w:eastAsia="宋体" w:cs="Times New Roman"/>
          <w:color w:val="auto"/>
          <w:sz w:val="24"/>
          <w:szCs w:val="24"/>
          <w:u w:val="single"/>
          <w:vertAlign w:val="superscript"/>
        </w:rPr>
        <w:t>2</w:t>
      </w:r>
      <w:r>
        <w:rPr>
          <w:rFonts w:hint="default" w:ascii="Times New Roman" w:hAnsi="Times New Roman" w:eastAsia="宋体" w:cs="Times New Roman"/>
          <w:color w:val="auto"/>
          <w:sz w:val="24"/>
          <w:szCs w:val="24"/>
          <w:u w:val="single"/>
        </w:rPr>
        <w:t>；</w:t>
      </w:r>
    </w:p>
    <w:p w14:paraId="18F0387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F—汇水面积。</w:t>
      </w:r>
    </w:p>
    <w:p w14:paraId="337AF12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eastAsia="宋体" w:cs="Times New Roman"/>
          <w:color w:val="auto"/>
          <w:sz w:val="24"/>
          <w:szCs w:val="24"/>
          <w:highlight w:val="none"/>
          <w:u w:val="single"/>
        </w:rPr>
        <w:t>项目初期雨水收集范围</w:t>
      </w:r>
      <w:r>
        <w:rPr>
          <w:rFonts w:hint="eastAsia" w:ascii="Times New Roman" w:hAnsi="Times New Roman" w:eastAsia="宋体" w:cs="Times New Roman"/>
          <w:color w:val="auto"/>
          <w:sz w:val="24"/>
          <w:szCs w:val="24"/>
          <w:highlight w:val="none"/>
          <w:u w:val="single"/>
          <w:lang w:val="en-US" w:eastAsia="zh-CN"/>
        </w:rPr>
        <w:t>主要考虑生产区以及产品堆场，其中生产区初期雨水收集范围主要为堆场、道路等场地，其他区域（生产厂房、绿化、生活区等）不收集初期雨水。生活区占地面积约为10750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2</w:t>
      </w:r>
      <w:r>
        <w:rPr>
          <w:rFonts w:hint="default" w:ascii="Times New Roman" w:hAnsi="Times New Roman" w:eastAsia="宋体" w:cs="Times New Roman"/>
          <w:color w:val="auto"/>
          <w:sz w:val="24"/>
          <w:szCs w:val="24"/>
          <w:highlight w:val="none"/>
          <w:u w:val="single"/>
        </w:rPr>
        <w:t>，</w:t>
      </w:r>
      <w:r>
        <w:rPr>
          <w:rFonts w:hint="eastAsia" w:ascii="Times New Roman" w:hAnsi="Times New Roman" w:eastAsia="宋体" w:cs="Times New Roman"/>
          <w:color w:val="auto"/>
          <w:sz w:val="24"/>
          <w:szCs w:val="24"/>
          <w:highlight w:val="none"/>
          <w:u w:val="single"/>
          <w:lang w:val="en-US" w:eastAsia="zh-CN"/>
        </w:rPr>
        <w:t>生产厂房占地面积约为56070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2</w:t>
      </w:r>
      <w:r>
        <w:rPr>
          <w:rFonts w:hint="default" w:ascii="Times New Roman" w:hAnsi="Times New Roman" w:eastAsia="宋体" w:cs="Times New Roman"/>
          <w:color w:val="auto"/>
          <w:sz w:val="24"/>
          <w:szCs w:val="24"/>
          <w:highlight w:val="none"/>
          <w:u w:val="single"/>
        </w:rPr>
        <w:t>，</w:t>
      </w:r>
      <w:r>
        <w:rPr>
          <w:rFonts w:hint="eastAsia" w:ascii="Times New Roman" w:hAnsi="Times New Roman" w:eastAsia="宋体" w:cs="Times New Roman"/>
          <w:color w:val="auto"/>
          <w:sz w:val="24"/>
          <w:szCs w:val="24"/>
          <w:highlight w:val="none"/>
          <w:u w:val="single"/>
          <w:lang w:val="en-US" w:eastAsia="zh-CN"/>
        </w:rPr>
        <w:t>绿化面积约为2600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2</w:t>
      </w:r>
      <w:r>
        <w:rPr>
          <w:rFonts w:hint="eastAsia" w:ascii="Times New Roman" w:hAnsi="Times New Roman" w:eastAsia="宋体" w:cs="Times New Roman"/>
          <w:color w:val="auto"/>
          <w:sz w:val="24"/>
          <w:szCs w:val="24"/>
          <w:highlight w:val="none"/>
          <w:u w:val="single"/>
          <w:vertAlign w:val="baseline"/>
          <w:lang w:eastAsia="zh-CN"/>
        </w:rPr>
        <w:t>。</w:t>
      </w:r>
      <w:r>
        <w:rPr>
          <w:rFonts w:hint="eastAsia" w:ascii="Times New Roman" w:hAnsi="Times New Roman" w:eastAsia="宋体" w:cs="Times New Roman"/>
          <w:color w:val="auto"/>
          <w:sz w:val="24"/>
          <w:szCs w:val="24"/>
          <w:highlight w:val="none"/>
          <w:u w:val="single"/>
          <w:lang w:val="en-US" w:eastAsia="zh-CN"/>
        </w:rPr>
        <w:t>生活区和生产厂区的雨水通过厂区管道直接排入厂外雨水管网。生产区和产品堆场初期雨水分开收集，其中生产区</w:t>
      </w:r>
      <w:r>
        <w:rPr>
          <w:rFonts w:hint="default" w:ascii="Times New Roman" w:hAnsi="Times New Roman" w:eastAsia="宋体" w:cs="Times New Roman"/>
          <w:color w:val="auto"/>
          <w:sz w:val="24"/>
          <w:szCs w:val="24"/>
          <w:highlight w:val="none"/>
          <w:u w:val="single"/>
        </w:rPr>
        <w:t>汇水面积约为</w:t>
      </w:r>
      <w:r>
        <w:rPr>
          <w:rFonts w:hint="eastAsia" w:ascii="Times New Roman" w:hAnsi="Times New Roman" w:eastAsia="宋体" w:cs="Times New Roman"/>
          <w:color w:val="auto"/>
          <w:sz w:val="24"/>
          <w:szCs w:val="24"/>
          <w:highlight w:val="none"/>
          <w:u w:val="single"/>
          <w:lang w:val="en-US" w:eastAsia="zh-CN"/>
        </w:rPr>
        <w:t>61216</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2</w:t>
      </w:r>
      <w:r>
        <w:rPr>
          <w:rFonts w:hint="default" w:ascii="Times New Roman" w:hAnsi="Times New Roman" w:eastAsia="宋体" w:cs="Times New Roman"/>
          <w:color w:val="auto"/>
          <w:sz w:val="24"/>
          <w:szCs w:val="24"/>
          <w:highlight w:val="none"/>
          <w:u w:val="single"/>
        </w:rPr>
        <w:t>，</w:t>
      </w:r>
      <w:r>
        <w:rPr>
          <w:rFonts w:hint="eastAsia" w:ascii="Times New Roman" w:hAnsi="Times New Roman" w:eastAsia="宋体" w:cs="Times New Roman"/>
          <w:color w:val="auto"/>
          <w:sz w:val="24"/>
          <w:szCs w:val="24"/>
          <w:highlight w:val="none"/>
          <w:u w:val="single"/>
          <w:lang w:val="en-US" w:eastAsia="zh-CN"/>
        </w:rPr>
        <w:t>产品堆场</w:t>
      </w:r>
      <w:r>
        <w:rPr>
          <w:rFonts w:hint="default" w:ascii="Times New Roman" w:hAnsi="Times New Roman" w:eastAsia="宋体" w:cs="Times New Roman"/>
          <w:color w:val="auto"/>
          <w:sz w:val="24"/>
          <w:szCs w:val="24"/>
          <w:highlight w:val="none"/>
          <w:u w:val="single"/>
        </w:rPr>
        <w:t>汇水面积约为</w:t>
      </w:r>
      <w:r>
        <w:rPr>
          <w:rFonts w:hint="eastAsia" w:ascii="Times New Roman" w:hAnsi="Times New Roman" w:eastAsia="宋体" w:cs="Times New Roman"/>
          <w:color w:val="auto"/>
          <w:sz w:val="24"/>
          <w:szCs w:val="24"/>
          <w:highlight w:val="none"/>
          <w:u w:val="single"/>
          <w:lang w:val="en-US" w:eastAsia="zh-CN"/>
        </w:rPr>
        <w:t>37</w:t>
      </w:r>
      <w:r>
        <w:rPr>
          <w:rFonts w:hint="default" w:ascii="Times New Roman" w:hAnsi="Times New Roman" w:eastAsia="宋体" w:cs="Times New Roman"/>
          <w:color w:val="auto"/>
          <w:sz w:val="24"/>
          <w:szCs w:val="24"/>
          <w:highlight w:val="none"/>
          <w:u w:val="single"/>
        </w:rPr>
        <w:t>000m</w:t>
      </w:r>
      <w:r>
        <w:rPr>
          <w:rFonts w:hint="default" w:ascii="Times New Roman" w:hAnsi="Times New Roman" w:eastAsia="宋体" w:cs="Times New Roman"/>
          <w:color w:val="auto"/>
          <w:sz w:val="24"/>
          <w:szCs w:val="24"/>
          <w:highlight w:val="none"/>
          <w:u w:val="single"/>
          <w:vertAlign w:val="superscript"/>
        </w:rPr>
        <w:t>2</w:t>
      </w:r>
      <w:r>
        <w:rPr>
          <w:rFonts w:hint="default" w:ascii="Times New Roman" w:hAnsi="Times New Roman" w:eastAsia="宋体" w:cs="Times New Roman"/>
          <w:color w:val="auto"/>
          <w:sz w:val="24"/>
          <w:szCs w:val="24"/>
          <w:highlight w:val="none"/>
          <w:u w:val="single"/>
        </w:rPr>
        <w:t>，每次需收集前1</w:t>
      </w:r>
      <w:r>
        <w:rPr>
          <w:rFonts w:hint="eastAsia" w:ascii="Times New Roman" w:hAnsi="Times New Roman" w:eastAsia="宋体" w:cs="Times New Roman"/>
          <w:color w:val="auto"/>
          <w:sz w:val="24"/>
          <w:szCs w:val="24"/>
          <w:highlight w:val="none"/>
          <w:u w:val="single"/>
          <w:lang w:val="en-US" w:eastAsia="zh-CN"/>
        </w:rPr>
        <w:t>5</w:t>
      </w:r>
      <w:r>
        <w:rPr>
          <w:rFonts w:hint="default" w:ascii="Times New Roman" w:hAnsi="Times New Roman" w:eastAsia="宋体" w:cs="Times New Roman"/>
          <w:color w:val="auto"/>
          <w:sz w:val="24"/>
          <w:szCs w:val="24"/>
          <w:highlight w:val="none"/>
          <w:u w:val="single"/>
        </w:rPr>
        <w:t>分钟</w:t>
      </w:r>
      <w:r>
        <w:rPr>
          <w:rFonts w:hint="eastAsia" w:ascii="Times New Roman" w:hAnsi="Times New Roman" w:eastAsia="宋体" w:cs="Times New Roman"/>
          <w:color w:val="auto"/>
          <w:sz w:val="24"/>
          <w:szCs w:val="24"/>
          <w:highlight w:val="none"/>
          <w:u w:val="single"/>
          <w:lang w:eastAsia="zh-CN"/>
        </w:rPr>
        <w:t>，</w:t>
      </w:r>
      <w:r>
        <w:rPr>
          <w:rFonts w:hint="eastAsia" w:ascii="Times New Roman" w:hAnsi="Times New Roman" w:eastAsia="宋体" w:cs="Times New Roman"/>
          <w:color w:val="auto"/>
          <w:sz w:val="24"/>
          <w:szCs w:val="24"/>
          <w:highlight w:val="none"/>
          <w:u w:val="single"/>
          <w:lang w:val="en-US" w:eastAsia="zh-CN"/>
        </w:rPr>
        <w:t>则生产区</w:t>
      </w:r>
      <w:r>
        <w:rPr>
          <w:rFonts w:hint="default" w:ascii="Times New Roman" w:hAnsi="Times New Roman" w:eastAsia="宋体" w:cs="Times New Roman"/>
          <w:color w:val="auto"/>
          <w:sz w:val="24"/>
          <w:szCs w:val="24"/>
          <w:highlight w:val="none"/>
          <w:u w:val="single"/>
        </w:rPr>
        <w:t>的初期雨水水量</w:t>
      </w:r>
      <w:r>
        <w:rPr>
          <w:rFonts w:hint="eastAsia" w:ascii="Times New Roman" w:hAnsi="Times New Roman" w:eastAsia="宋体" w:cs="Times New Roman"/>
          <w:color w:val="auto"/>
          <w:sz w:val="24"/>
          <w:szCs w:val="24"/>
          <w:highlight w:val="none"/>
          <w:u w:val="single"/>
          <w:lang w:val="en-US" w:eastAsia="zh-CN"/>
        </w:rPr>
        <w:t>约</w:t>
      </w:r>
      <w:r>
        <w:rPr>
          <w:rFonts w:hint="default" w:ascii="Times New Roman" w:hAnsi="Times New Roman" w:eastAsia="宋体" w:cs="Times New Roman"/>
          <w:color w:val="auto"/>
          <w:sz w:val="24"/>
          <w:szCs w:val="24"/>
          <w:highlight w:val="none"/>
          <w:u w:val="single"/>
        </w:rPr>
        <w:t>为</w:t>
      </w:r>
      <w:r>
        <w:rPr>
          <w:rFonts w:hint="eastAsia" w:ascii="Times New Roman" w:hAnsi="Times New Roman" w:eastAsia="宋体" w:cs="Times New Roman"/>
          <w:color w:val="auto"/>
          <w:sz w:val="24"/>
          <w:szCs w:val="24"/>
          <w:highlight w:val="none"/>
          <w:u w:val="single"/>
          <w:lang w:val="en-US" w:eastAsia="zh-CN"/>
        </w:rPr>
        <w:t>893</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eastAsia="zh-CN"/>
        </w:rPr>
        <w:t>，</w:t>
      </w:r>
      <w:r>
        <w:rPr>
          <w:rFonts w:hint="eastAsia" w:ascii="Times New Roman" w:hAnsi="Times New Roman" w:eastAsia="宋体" w:cs="Times New Roman"/>
          <w:color w:val="auto"/>
          <w:sz w:val="24"/>
          <w:szCs w:val="24"/>
          <w:highlight w:val="none"/>
          <w:u w:val="single"/>
          <w:vertAlign w:val="baseline"/>
          <w:lang w:val="en-US" w:eastAsia="zh-CN"/>
        </w:rPr>
        <w:t>产品堆场的</w:t>
      </w:r>
      <w:r>
        <w:rPr>
          <w:rFonts w:hint="default" w:ascii="Times New Roman" w:hAnsi="Times New Roman" w:eastAsia="宋体" w:cs="Times New Roman"/>
          <w:color w:val="auto"/>
          <w:sz w:val="24"/>
          <w:szCs w:val="24"/>
          <w:highlight w:val="none"/>
          <w:u w:val="single"/>
        </w:rPr>
        <w:t>初期雨水水量</w:t>
      </w:r>
      <w:r>
        <w:rPr>
          <w:rFonts w:hint="eastAsia" w:ascii="Times New Roman" w:hAnsi="Times New Roman" w:eastAsia="宋体" w:cs="Times New Roman"/>
          <w:color w:val="auto"/>
          <w:sz w:val="24"/>
          <w:szCs w:val="24"/>
          <w:highlight w:val="none"/>
          <w:u w:val="single"/>
          <w:lang w:val="en-US" w:eastAsia="zh-CN"/>
        </w:rPr>
        <w:t>约</w:t>
      </w:r>
      <w:r>
        <w:rPr>
          <w:rFonts w:hint="default" w:ascii="Times New Roman" w:hAnsi="Times New Roman" w:eastAsia="宋体" w:cs="Times New Roman"/>
          <w:color w:val="auto"/>
          <w:sz w:val="24"/>
          <w:szCs w:val="24"/>
          <w:highlight w:val="none"/>
          <w:u w:val="single"/>
        </w:rPr>
        <w:t>为</w:t>
      </w:r>
      <w:r>
        <w:rPr>
          <w:rFonts w:hint="eastAsia" w:ascii="Times New Roman" w:hAnsi="Times New Roman" w:eastAsia="宋体" w:cs="Times New Roman"/>
          <w:color w:val="auto"/>
          <w:sz w:val="24"/>
          <w:szCs w:val="24"/>
          <w:highlight w:val="none"/>
          <w:u w:val="single"/>
          <w:lang w:val="en-US" w:eastAsia="zh-CN"/>
        </w:rPr>
        <w:t>539</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default" w:ascii="Times New Roman" w:hAnsi="Times New Roman" w:eastAsia="宋体" w:cs="Times New Roman"/>
          <w:color w:val="auto"/>
          <w:sz w:val="24"/>
          <w:szCs w:val="24"/>
          <w:highlight w:val="none"/>
          <w:u w:val="single"/>
        </w:rPr>
        <w:t>。</w:t>
      </w:r>
      <w:r>
        <w:rPr>
          <w:rFonts w:hint="default" w:ascii="Times New Roman" w:hAnsi="Times New Roman" w:eastAsia="宋体" w:cs="Times New Roman"/>
          <w:color w:val="auto"/>
          <w:spacing w:val="10"/>
          <w:sz w:val="24"/>
          <w:szCs w:val="24"/>
          <w:highlight w:val="none"/>
          <w:u w:val="single"/>
        </w:rPr>
        <w:t>初期雨水</w:t>
      </w:r>
      <w:r>
        <w:rPr>
          <w:rFonts w:hint="eastAsia" w:ascii="Times New Roman" w:hAnsi="Times New Roman" w:eastAsia="宋体" w:cs="Times New Roman"/>
          <w:color w:val="auto"/>
          <w:spacing w:val="10"/>
          <w:sz w:val="24"/>
          <w:szCs w:val="24"/>
          <w:highlight w:val="none"/>
          <w:u w:val="single"/>
          <w:lang w:val="en-US" w:eastAsia="zh-CN"/>
        </w:rPr>
        <w:t>经雨水沟收集</w:t>
      </w:r>
      <w:r>
        <w:rPr>
          <w:rFonts w:hint="default" w:ascii="Times New Roman" w:hAnsi="Times New Roman" w:eastAsia="宋体" w:cs="Times New Roman"/>
          <w:color w:val="auto"/>
          <w:spacing w:val="10"/>
          <w:sz w:val="24"/>
          <w:szCs w:val="24"/>
          <w:highlight w:val="none"/>
          <w:u w:val="single"/>
        </w:rPr>
        <w:t>，</w:t>
      </w:r>
      <w:r>
        <w:rPr>
          <w:rFonts w:hint="eastAsia" w:ascii="Times New Roman" w:hAnsi="Times New Roman" w:eastAsia="宋体" w:cs="Times New Roman"/>
          <w:color w:val="auto"/>
          <w:spacing w:val="10"/>
          <w:sz w:val="24"/>
          <w:szCs w:val="24"/>
          <w:highlight w:val="none"/>
          <w:u w:val="single"/>
          <w:lang w:eastAsia="zh-CN"/>
        </w:rPr>
        <w:t>排入</w:t>
      </w:r>
      <w:r>
        <w:rPr>
          <w:rFonts w:hint="default" w:ascii="Times New Roman" w:hAnsi="Times New Roman" w:eastAsia="宋体" w:cs="Times New Roman"/>
          <w:snapToGrid w:val="0"/>
          <w:color w:val="auto"/>
          <w:sz w:val="24"/>
          <w:szCs w:val="24"/>
          <w:highlight w:val="none"/>
          <w:u w:val="single"/>
        </w:rPr>
        <w:t>初期雨水收集池</w:t>
      </w:r>
      <w:r>
        <w:rPr>
          <w:rFonts w:hint="default" w:ascii="Times New Roman" w:hAnsi="Times New Roman" w:eastAsia="宋体" w:cs="Times New Roman"/>
          <w:color w:val="auto"/>
          <w:spacing w:val="10"/>
          <w:sz w:val="24"/>
          <w:szCs w:val="24"/>
          <w:highlight w:val="none"/>
          <w:u w:val="single"/>
        </w:rPr>
        <w:t>中，</w:t>
      </w:r>
      <w:r>
        <w:rPr>
          <w:rFonts w:hint="eastAsia" w:ascii="Times New Roman" w:hAnsi="Times New Roman" w:eastAsia="宋体" w:cs="Times New Roman"/>
          <w:color w:val="auto"/>
          <w:spacing w:val="10"/>
          <w:sz w:val="24"/>
          <w:szCs w:val="24"/>
          <w:highlight w:val="none"/>
          <w:u w:val="single"/>
          <w:lang w:val="en-US" w:eastAsia="zh-CN"/>
        </w:rPr>
        <w:t>收集沉淀处理后用于厂区洒水降尘，不外排</w:t>
      </w:r>
      <w:r>
        <w:rPr>
          <w:rFonts w:hint="default" w:ascii="Times New Roman" w:hAnsi="Times New Roman" w:eastAsia="宋体" w:cs="Times New Roman"/>
          <w:color w:val="auto"/>
          <w:spacing w:val="10"/>
          <w:sz w:val="24"/>
          <w:szCs w:val="24"/>
          <w:highlight w:val="none"/>
          <w:u w:val="single"/>
        </w:rPr>
        <w:t>，对周围环境影响较小。</w:t>
      </w:r>
      <w:r>
        <w:rPr>
          <w:rFonts w:hint="eastAsia" w:ascii="Times New Roman" w:hAnsi="Times New Roman" w:eastAsia="宋体" w:cs="Times New Roman"/>
          <w:color w:val="auto"/>
          <w:spacing w:val="10"/>
          <w:sz w:val="24"/>
          <w:szCs w:val="24"/>
          <w:highlight w:val="none"/>
          <w:u w:val="single"/>
          <w:lang w:val="en-US" w:eastAsia="zh-CN"/>
        </w:rPr>
        <w:t>生产区设置</w:t>
      </w:r>
      <w:r>
        <w:rPr>
          <w:rFonts w:hint="eastAsia" w:ascii="Times New Roman" w:hAnsi="Times New Roman" w:eastAsia="宋体" w:cs="Times New Roman"/>
          <w:color w:val="auto"/>
          <w:sz w:val="24"/>
          <w:szCs w:val="24"/>
          <w:highlight w:val="none"/>
          <w:u w:val="single"/>
          <w:lang w:val="en-US" w:eastAsia="zh-CN"/>
        </w:rPr>
        <w:t>900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初期雨水池，产品堆场设置</w:t>
      </w:r>
      <w:r>
        <w:rPr>
          <w:rFonts w:hint="eastAsia" w:ascii="Times New Roman" w:hAnsi="Times New Roman" w:eastAsia="宋体" w:cs="Times New Roman"/>
          <w:color w:val="auto"/>
          <w:sz w:val="24"/>
          <w:szCs w:val="24"/>
          <w:highlight w:val="none"/>
          <w:u w:val="single"/>
          <w:lang w:val="en-US" w:eastAsia="zh-CN"/>
        </w:rPr>
        <w:t>550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w:t>
      </w:r>
    </w:p>
    <w:p w14:paraId="143EF982">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（3）噪声</w:t>
      </w:r>
    </w:p>
    <w:p w14:paraId="43DED7D6">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本项目主要噪声设备为切割机、锯床、组立机、矫正机、钻床、冲孔机、割圆机、剪板机、冲剪机、折弯机、卷弯机、型弯机、卷板机、铣削机、抛丸机、喷砂机、空压机及风机等，噪声在75-</w:t>
      </w:r>
      <w:r>
        <w:rPr>
          <w:rFonts w:hint="eastAsia" w:ascii="Times New Roman" w:hAnsi="Times New Roman" w:eastAsia="宋体" w:cs="Times New Roman"/>
          <w:color w:val="auto"/>
          <w:sz w:val="24"/>
          <w:szCs w:val="24"/>
          <w:u w:val="none" w:color="auto"/>
          <w:lang w:val="en-US" w:eastAsia="zh-CN"/>
        </w:rPr>
        <w:t>105</w:t>
      </w:r>
      <w:r>
        <w:rPr>
          <w:rFonts w:ascii="Times New Roman" w:hAnsi="Times New Roman" w:eastAsia="宋体" w:cs="Times New Roman"/>
          <w:color w:val="auto"/>
          <w:sz w:val="24"/>
          <w:szCs w:val="24"/>
          <w:u w:val="none" w:color="auto"/>
        </w:rPr>
        <w:t>dB（A）之间。</w:t>
      </w:r>
    </w:p>
    <w:p w14:paraId="3D5F9A92">
      <w:pPr>
        <w:keepNext w:val="0"/>
        <w:keepLines w:val="0"/>
        <w:pageBreakBefore w:val="0"/>
        <w:widowControl w:val="0"/>
        <w:kinsoku/>
        <w:wordWrap/>
        <w:overflowPunct/>
        <w:topLinePunct w:val="0"/>
        <w:autoSpaceDE/>
        <w:autoSpaceDN/>
        <w:bidi w:val="0"/>
        <w:adjustRightInd/>
        <w:snapToGrid/>
        <w:spacing w:before="161" w:beforeLines="50"/>
        <w:ind w:left="0" w:leftChars="0" w:firstLine="0" w:firstLineChars="0"/>
        <w:jc w:val="center"/>
        <w:textAlignment w:val="auto"/>
        <w:rPr>
          <w:rFonts w:hint="default" w:ascii="Times New Roman" w:hAnsi="Times New Roman" w:eastAsia="宋体" w:cs="Times New Roman"/>
          <w:b/>
          <w:bCs/>
          <w:color w:val="auto"/>
          <w:sz w:val="24"/>
          <w:szCs w:val="24"/>
          <w:u w:val="single" w:color="auto"/>
          <w:lang w:eastAsia="zh-CN"/>
        </w:rPr>
      </w:pPr>
      <w:r>
        <w:rPr>
          <w:rFonts w:hint="default" w:ascii="Times New Roman" w:hAnsi="Times New Roman" w:eastAsia="宋体" w:cs="Times New Roman"/>
          <w:b/>
          <w:bCs/>
          <w:color w:val="auto"/>
          <w:sz w:val="24"/>
          <w:szCs w:val="24"/>
          <w:u w:val="single" w:color="auto"/>
          <w:lang w:eastAsia="zh-CN"/>
        </w:rPr>
        <w:t>表</w:t>
      </w:r>
      <w:r>
        <w:rPr>
          <w:rFonts w:hint="eastAsia" w:ascii="Times New Roman" w:hAnsi="Times New Roman" w:eastAsia="宋体" w:cs="Times New Roman"/>
          <w:b/>
          <w:bCs/>
          <w:color w:val="auto"/>
          <w:sz w:val="24"/>
          <w:szCs w:val="24"/>
          <w:u w:val="single" w:color="auto"/>
          <w:lang w:val="en-US" w:eastAsia="zh-CN"/>
        </w:rPr>
        <w:t>2</w:t>
      </w:r>
      <w:r>
        <w:rPr>
          <w:rFonts w:hint="default" w:ascii="Times New Roman" w:hAnsi="Times New Roman" w:eastAsia="宋体" w:cs="Times New Roman"/>
          <w:b/>
          <w:bCs/>
          <w:color w:val="auto"/>
          <w:sz w:val="24"/>
          <w:szCs w:val="24"/>
          <w:u w:val="single" w:color="auto"/>
          <w:lang w:eastAsia="zh-CN"/>
        </w:rPr>
        <w:t>.3-</w:t>
      </w:r>
      <w:r>
        <w:rPr>
          <w:rFonts w:hint="eastAsia" w:ascii="Times New Roman" w:hAnsi="Times New Roman" w:eastAsia="宋体" w:cs="Times New Roman"/>
          <w:b/>
          <w:bCs/>
          <w:color w:val="auto"/>
          <w:sz w:val="24"/>
          <w:szCs w:val="24"/>
          <w:u w:val="single" w:color="auto"/>
          <w:lang w:val="en-US" w:eastAsia="zh-CN"/>
        </w:rPr>
        <w:t xml:space="preserve">15 </w:t>
      </w:r>
      <w:r>
        <w:rPr>
          <w:rFonts w:hint="default" w:ascii="Times New Roman" w:hAnsi="Times New Roman" w:eastAsia="宋体" w:cs="Times New Roman"/>
          <w:b/>
          <w:bCs/>
          <w:color w:val="auto"/>
          <w:sz w:val="24"/>
          <w:szCs w:val="24"/>
          <w:u w:val="single" w:color="auto"/>
          <w:lang w:eastAsia="zh-CN"/>
        </w:rPr>
        <w:t>各生产设备噪声源强一览表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1802"/>
        <w:gridCol w:w="2316"/>
        <w:gridCol w:w="3370"/>
      </w:tblGrid>
      <w:tr w14:paraId="3769D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704F66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序号</w:t>
            </w:r>
          </w:p>
        </w:tc>
        <w:tc>
          <w:tcPr>
            <w:tcW w:w="1058" w:type="pct"/>
            <w:noWrap w:val="0"/>
            <w:vAlign w:val="center"/>
          </w:tcPr>
          <w:p w14:paraId="4703E4B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设备名称</w:t>
            </w:r>
          </w:p>
        </w:tc>
        <w:tc>
          <w:tcPr>
            <w:tcW w:w="1360" w:type="pct"/>
            <w:noWrap w:val="0"/>
            <w:vAlign w:val="center"/>
          </w:tcPr>
          <w:p w14:paraId="5213A77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数量（台/套）</w:t>
            </w:r>
          </w:p>
        </w:tc>
        <w:tc>
          <w:tcPr>
            <w:tcW w:w="1978" w:type="pct"/>
            <w:noWrap w:val="0"/>
            <w:vAlign w:val="center"/>
          </w:tcPr>
          <w:p w14:paraId="410B682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噪声值dB</w:t>
            </w:r>
            <w:r>
              <w:rPr>
                <w:rFonts w:hint="default" w:ascii="Times New Roman" w:hAnsi="Times New Roman" w:eastAsia="宋体" w:cs="Times New Roman"/>
                <w:color w:val="auto"/>
                <w:sz w:val="21"/>
                <w:szCs w:val="21"/>
                <w:u w:val="single" w:color="auto"/>
                <w:lang w:eastAsia="zh-CN"/>
              </w:rPr>
              <w:t>（A）</w:t>
            </w:r>
          </w:p>
        </w:tc>
      </w:tr>
      <w:tr w14:paraId="25328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4045A4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058" w:type="pct"/>
            <w:noWrap w:val="0"/>
            <w:vAlign w:val="center"/>
          </w:tcPr>
          <w:p w14:paraId="0D00F31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多头条直切割机</w:t>
            </w:r>
          </w:p>
        </w:tc>
        <w:tc>
          <w:tcPr>
            <w:tcW w:w="1360" w:type="pct"/>
            <w:noWrap w:val="0"/>
            <w:vAlign w:val="center"/>
          </w:tcPr>
          <w:p w14:paraId="121C15C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978" w:type="pct"/>
            <w:noWrap w:val="0"/>
            <w:vAlign w:val="center"/>
          </w:tcPr>
          <w:p w14:paraId="5E20754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4BC87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01AA8D3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058" w:type="pct"/>
            <w:noWrap w:val="0"/>
            <w:vAlign w:val="center"/>
          </w:tcPr>
          <w:p w14:paraId="455D379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数控直条切割机</w:t>
            </w:r>
          </w:p>
        </w:tc>
        <w:tc>
          <w:tcPr>
            <w:tcW w:w="1360" w:type="pct"/>
            <w:noWrap w:val="0"/>
            <w:vAlign w:val="center"/>
          </w:tcPr>
          <w:p w14:paraId="1A91BE9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12</w:t>
            </w:r>
          </w:p>
        </w:tc>
        <w:tc>
          <w:tcPr>
            <w:tcW w:w="1978" w:type="pct"/>
            <w:noWrap w:val="0"/>
            <w:vAlign w:val="center"/>
          </w:tcPr>
          <w:p w14:paraId="4DE5C94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3ABC3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B64921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3</w:t>
            </w:r>
          </w:p>
        </w:tc>
        <w:tc>
          <w:tcPr>
            <w:tcW w:w="1058" w:type="pct"/>
            <w:noWrap w:val="0"/>
            <w:vAlign w:val="center"/>
          </w:tcPr>
          <w:p w14:paraId="113B157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数控等离子门式切割机</w:t>
            </w:r>
          </w:p>
        </w:tc>
        <w:tc>
          <w:tcPr>
            <w:tcW w:w="1360" w:type="pct"/>
            <w:noWrap w:val="0"/>
            <w:vAlign w:val="center"/>
          </w:tcPr>
          <w:p w14:paraId="3CB11FA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8" w:type="pct"/>
            <w:noWrap w:val="0"/>
            <w:vAlign w:val="center"/>
          </w:tcPr>
          <w:p w14:paraId="699F78E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37BB4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03068C0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058" w:type="pct"/>
            <w:noWrap w:val="0"/>
            <w:vAlign w:val="center"/>
          </w:tcPr>
          <w:p w14:paraId="05A8461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数控等离子相贯线切割机</w:t>
            </w:r>
          </w:p>
        </w:tc>
        <w:tc>
          <w:tcPr>
            <w:tcW w:w="1360" w:type="pct"/>
            <w:noWrap w:val="0"/>
            <w:vAlign w:val="center"/>
          </w:tcPr>
          <w:p w14:paraId="2077281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8" w:type="pct"/>
            <w:noWrap w:val="0"/>
            <w:vAlign w:val="center"/>
          </w:tcPr>
          <w:p w14:paraId="5872155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7C6C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6D82B70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5</w:t>
            </w:r>
          </w:p>
        </w:tc>
        <w:tc>
          <w:tcPr>
            <w:tcW w:w="1058" w:type="pct"/>
            <w:noWrap w:val="0"/>
            <w:vAlign w:val="center"/>
          </w:tcPr>
          <w:p w14:paraId="6049E50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锯床</w:t>
            </w:r>
          </w:p>
        </w:tc>
        <w:tc>
          <w:tcPr>
            <w:tcW w:w="1360" w:type="pct"/>
            <w:noWrap w:val="0"/>
            <w:vAlign w:val="center"/>
          </w:tcPr>
          <w:p w14:paraId="4503252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8" w:type="pct"/>
            <w:noWrap w:val="0"/>
            <w:vAlign w:val="center"/>
          </w:tcPr>
          <w:p w14:paraId="224197A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4A209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F1903E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058" w:type="pct"/>
            <w:noWrap w:val="0"/>
            <w:vAlign w:val="center"/>
          </w:tcPr>
          <w:p w14:paraId="0DD4876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摇臂钻床</w:t>
            </w:r>
          </w:p>
        </w:tc>
        <w:tc>
          <w:tcPr>
            <w:tcW w:w="1360" w:type="pct"/>
            <w:noWrap w:val="0"/>
            <w:vAlign w:val="center"/>
          </w:tcPr>
          <w:p w14:paraId="753A0DB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978" w:type="pct"/>
            <w:noWrap w:val="0"/>
            <w:vAlign w:val="center"/>
          </w:tcPr>
          <w:p w14:paraId="293A4EF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3A073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396F587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w:t>
            </w:r>
          </w:p>
        </w:tc>
        <w:tc>
          <w:tcPr>
            <w:tcW w:w="1058" w:type="pct"/>
            <w:noWrap w:val="0"/>
            <w:vAlign w:val="center"/>
          </w:tcPr>
          <w:p w14:paraId="7EF99ED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数控平板钻床</w:t>
            </w:r>
          </w:p>
        </w:tc>
        <w:tc>
          <w:tcPr>
            <w:tcW w:w="1360" w:type="pct"/>
            <w:noWrap w:val="0"/>
            <w:vAlign w:val="center"/>
          </w:tcPr>
          <w:p w14:paraId="786A31A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8" w:type="pct"/>
            <w:noWrap w:val="0"/>
            <w:vAlign w:val="center"/>
          </w:tcPr>
          <w:p w14:paraId="1064B74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02BC0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0E79E9F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w:t>
            </w:r>
          </w:p>
        </w:tc>
        <w:tc>
          <w:tcPr>
            <w:tcW w:w="1058" w:type="pct"/>
            <w:noWrap w:val="0"/>
            <w:vAlign w:val="center"/>
          </w:tcPr>
          <w:p w14:paraId="275840E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磁力钻</w:t>
            </w:r>
          </w:p>
        </w:tc>
        <w:tc>
          <w:tcPr>
            <w:tcW w:w="1360" w:type="pct"/>
            <w:noWrap w:val="0"/>
            <w:vAlign w:val="center"/>
          </w:tcPr>
          <w:p w14:paraId="067B928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978" w:type="pct"/>
            <w:noWrap w:val="0"/>
            <w:vAlign w:val="center"/>
          </w:tcPr>
          <w:p w14:paraId="5F15C19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2FB29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B71E44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9</w:t>
            </w:r>
          </w:p>
        </w:tc>
        <w:tc>
          <w:tcPr>
            <w:tcW w:w="1058" w:type="pct"/>
            <w:noWrap w:val="0"/>
            <w:vAlign w:val="center"/>
          </w:tcPr>
          <w:p w14:paraId="70C26F2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冲孔机</w:t>
            </w:r>
          </w:p>
        </w:tc>
        <w:tc>
          <w:tcPr>
            <w:tcW w:w="1360" w:type="pct"/>
            <w:noWrap w:val="0"/>
            <w:vAlign w:val="center"/>
          </w:tcPr>
          <w:p w14:paraId="5974C07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8" w:type="pct"/>
            <w:noWrap w:val="0"/>
            <w:vAlign w:val="center"/>
          </w:tcPr>
          <w:p w14:paraId="4AA6C9E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6BF32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30C3210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058" w:type="pct"/>
            <w:noWrap w:val="0"/>
            <w:vAlign w:val="center"/>
          </w:tcPr>
          <w:p w14:paraId="0F16302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割圆机</w:t>
            </w:r>
          </w:p>
        </w:tc>
        <w:tc>
          <w:tcPr>
            <w:tcW w:w="1360" w:type="pct"/>
            <w:noWrap w:val="0"/>
            <w:vAlign w:val="center"/>
          </w:tcPr>
          <w:p w14:paraId="4AE4261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8" w:type="pct"/>
            <w:noWrap w:val="0"/>
            <w:vAlign w:val="center"/>
          </w:tcPr>
          <w:p w14:paraId="04FE559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13DE3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832396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11</w:t>
            </w:r>
          </w:p>
        </w:tc>
        <w:tc>
          <w:tcPr>
            <w:tcW w:w="1058" w:type="pct"/>
            <w:noWrap w:val="0"/>
            <w:vAlign w:val="center"/>
          </w:tcPr>
          <w:p w14:paraId="24D2A7B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剪板机</w:t>
            </w:r>
          </w:p>
        </w:tc>
        <w:tc>
          <w:tcPr>
            <w:tcW w:w="1360" w:type="pct"/>
            <w:noWrap w:val="0"/>
            <w:vAlign w:val="center"/>
          </w:tcPr>
          <w:p w14:paraId="06384D4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8" w:type="pct"/>
            <w:noWrap w:val="0"/>
            <w:vAlign w:val="center"/>
          </w:tcPr>
          <w:p w14:paraId="37F6EFE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15D78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3F56297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12</w:t>
            </w:r>
          </w:p>
        </w:tc>
        <w:tc>
          <w:tcPr>
            <w:tcW w:w="1058" w:type="pct"/>
            <w:noWrap w:val="0"/>
            <w:vAlign w:val="center"/>
          </w:tcPr>
          <w:p w14:paraId="6302C57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联合冲剪机</w:t>
            </w:r>
          </w:p>
        </w:tc>
        <w:tc>
          <w:tcPr>
            <w:tcW w:w="1360" w:type="pct"/>
            <w:noWrap w:val="0"/>
            <w:vAlign w:val="center"/>
          </w:tcPr>
          <w:p w14:paraId="2BBFE11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8" w:type="pct"/>
            <w:noWrap w:val="0"/>
            <w:vAlign w:val="center"/>
          </w:tcPr>
          <w:p w14:paraId="338EC7F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39FCB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7D4F6B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13</w:t>
            </w:r>
          </w:p>
        </w:tc>
        <w:tc>
          <w:tcPr>
            <w:tcW w:w="1058" w:type="pct"/>
            <w:noWrap w:val="0"/>
            <w:vAlign w:val="center"/>
          </w:tcPr>
          <w:p w14:paraId="0BCB4B38">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龙门吊</w:t>
            </w:r>
          </w:p>
        </w:tc>
        <w:tc>
          <w:tcPr>
            <w:tcW w:w="1360" w:type="pct"/>
            <w:noWrap w:val="0"/>
            <w:vAlign w:val="center"/>
          </w:tcPr>
          <w:p w14:paraId="7BCA80A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32</w:t>
            </w:r>
          </w:p>
        </w:tc>
        <w:tc>
          <w:tcPr>
            <w:tcW w:w="1978" w:type="pct"/>
            <w:noWrap w:val="0"/>
            <w:vAlign w:val="center"/>
          </w:tcPr>
          <w:p w14:paraId="7223845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1F423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02" w:type="pct"/>
            <w:noWrap w:val="0"/>
            <w:vAlign w:val="center"/>
          </w:tcPr>
          <w:p w14:paraId="67F4DD4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14</w:t>
            </w:r>
          </w:p>
        </w:tc>
        <w:tc>
          <w:tcPr>
            <w:tcW w:w="1058" w:type="pct"/>
            <w:noWrap w:val="0"/>
            <w:vAlign w:val="center"/>
          </w:tcPr>
          <w:p w14:paraId="17358AE2">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型钢抛丸机</w:t>
            </w:r>
          </w:p>
        </w:tc>
        <w:tc>
          <w:tcPr>
            <w:tcW w:w="1360" w:type="pct"/>
            <w:noWrap w:val="0"/>
            <w:vAlign w:val="center"/>
          </w:tcPr>
          <w:p w14:paraId="131DABF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978" w:type="pct"/>
            <w:noWrap w:val="0"/>
            <w:vAlign w:val="center"/>
          </w:tcPr>
          <w:p w14:paraId="02CB494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6B59F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25" w:type="dxa"/>
            <w:noWrap w:val="0"/>
            <w:vAlign w:val="center"/>
          </w:tcPr>
          <w:p w14:paraId="0DFB599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15</w:t>
            </w:r>
          </w:p>
        </w:tc>
        <w:tc>
          <w:tcPr>
            <w:tcW w:w="1058" w:type="pct"/>
            <w:noWrap w:val="0"/>
            <w:vAlign w:val="center"/>
          </w:tcPr>
          <w:p w14:paraId="0F74649E">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u w:val="single" w:color="auto"/>
                <w:lang w:val="en-US" w:eastAsia="zh-CN"/>
              </w:rPr>
            </w:pPr>
            <w:r>
              <w:rPr>
                <w:rFonts w:hint="eastAsia" w:ascii="Times New Roman" w:hAnsi="Times New Roman" w:cs="Times New Roman"/>
                <w:color w:val="auto"/>
                <w:szCs w:val="21"/>
                <w:u w:val="single" w:color="auto"/>
                <w:lang w:val="en-US" w:eastAsia="zh-CN"/>
              </w:rPr>
              <w:t>喷砂机</w:t>
            </w:r>
          </w:p>
        </w:tc>
        <w:tc>
          <w:tcPr>
            <w:tcW w:w="1360" w:type="pct"/>
            <w:noWrap w:val="0"/>
            <w:vAlign w:val="center"/>
          </w:tcPr>
          <w:p w14:paraId="51438C8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978" w:type="pct"/>
            <w:noWrap w:val="0"/>
            <w:vAlign w:val="center"/>
          </w:tcPr>
          <w:p w14:paraId="7D55D30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654C3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25" w:type="dxa"/>
            <w:noWrap w:val="0"/>
            <w:vAlign w:val="center"/>
          </w:tcPr>
          <w:p w14:paraId="7DC4055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16</w:t>
            </w:r>
          </w:p>
        </w:tc>
        <w:tc>
          <w:tcPr>
            <w:tcW w:w="1058" w:type="pct"/>
            <w:noWrap w:val="0"/>
            <w:vAlign w:val="center"/>
          </w:tcPr>
          <w:p w14:paraId="4D7BDBDF">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color w:val="auto"/>
                <w:spacing w:val="18"/>
                <w:sz w:val="21"/>
                <w:szCs w:val="21"/>
                <w:u w:val="single" w:color="auto"/>
              </w:rPr>
              <w:t>空压机</w:t>
            </w:r>
          </w:p>
        </w:tc>
        <w:tc>
          <w:tcPr>
            <w:tcW w:w="1360" w:type="pct"/>
            <w:noWrap w:val="0"/>
            <w:vAlign w:val="center"/>
          </w:tcPr>
          <w:p w14:paraId="5FCD7CF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978" w:type="pct"/>
            <w:noWrap w:val="0"/>
            <w:vAlign w:val="center"/>
          </w:tcPr>
          <w:p w14:paraId="79B8A39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105</w:t>
            </w:r>
          </w:p>
        </w:tc>
      </w:tr>
      <w:tr w14:paraId="33B96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DA0DA3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17</w:t>
            </w:r>
          </w:p>
        </w:tc>
        <w:tc>
          <w:tcPr>
            <w:tcW w:w="1058" w:type="pct"/>
            <w:noWrap w:val="0"/>
            <w:vAlign w:val="center"/>
          </w:tcPr>
          <w:p w14:paraId="372390C4">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eastAsia="宋体"/>
                <w:color w:val="auto"/>
                <w:spacing w:val="18"/>
                <w:sz w:val="21"/>
                <w:szCs w:val="21"/>
                <w:u w:val="single" w:color="auto"/>
                <w:lang w:val="en-US" w:eastAsia="zh-CN"/>
              </w:rPr>
            </w:pPr>
            <w:r>
              <w:rPr>
                <w:rFonts w:hint="eastAsia"/>
                <w:color w:val="auto"/>
                <w:spacing w:val="18"/>
                <w:sz w:val="21"/>
                <w:szCs w:val="21"/>
                <w:u w:val="single" w:color="auto"/>
                <w:lang w:val="en-US" w:eastAsia="zh-CN"/>
              </w:rPr>
              <w:t>龙门吊</w:t>
            </w:r>
          </w:p>
        </w:tc>
        <w:tc>
          <w:tcPr>
            <w:tcW w:w="1360" w:type="pct"/>
            <w:noWrap w:val="0"/>
            <w:vAlign w:val="center"/>
          </w:tcPr>
          <w:p w14:paraId="36D6CE0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32</w:t>
            </w:r>
          </w:p>
        </w:tc>
        <w:tc>
          <w:tcPr>
            <w:tcW w:w="1978" w:type="pct"/>
            <w:noWrap w:val="0"/>
            <w:vAlign w:val="center"/>
          </w:tcPr>
          <w:p w14:paraId="74B586B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bl>
    <w:p w14:paraId="76127499">
      <w:pPr>
        <w:snapToGrid w:val="0"/>
        <w:spacing w:line="360" w:lineRule="auto"/>
        <w:rPr>
          <w:rFonts w:ascii="Times New Roman" w:hAnsi="Times New Roman" w:eastAsia="宋体" w:cs="Times New Roman"/>
          <w:color w:val="auto"/>
          <w:sz w:val="24"/>
          <w:szCs w:val="24"/>
          <w:u w:val="none" w:color="auto"/>
        </w:rPr>
      </w:pPr>
    </w:p>
    <w:p w14:paraId="62DEDF37">
      <w:pPr>
        <w:snapToGrid w:val="0"/>
        <w:spacing w:line="360" w:lineRule="auto"/>
        <w:ind w:firstLine="480" w:firstLineChars="200"/>
        <w:rPr>
          <w:rFonts w:ascii="Times New Roman" w:hAnsi="Times New Roman" w:eastAsia="宋体" w:cs="Times New Roman"/>
          <w:color w:val="auto"/>
          <w:sz w:val="24"/>
          <w:szCs w:val="24"/>
          <w:u w:val="none" w:color="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9" w:charSpace="0"/>
        </w:sectPr>
      </w:pPr>
    </w:p>
    <w:p w14:paraId="24FD6DC0">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表2.3-1</w:t>
      </w:r>
      <w:r>
        <w:rPr>
          <w:rFonts w:hint="eastAsia" w:ascii="Times New Roman" w:hAnsi="Times New Roman" w:eastAsia="宋体" w:cs="Times New Roman"/>
          <w:b/>
          <w:color w:val="auto"/>
          <w:sz w:val="24"/>
          <w:szCs w:val="24"/>
          <w:u w:val="none" w:color="auto"/>
          <w:lang w:val="en-US" w:eastAsia="zh-CN"/>
        </w:rPr>
        <w:t>6</w:t>
      </w:r>
      <w:r>
        <w:rPr>
          <w:rFonts w:hint="eastAsia" w:ascii="Times New Roman" w:hAnsi="Times New Roman" w:eastAsia="宋体" w:cs="Times New Roman"/>
          <w:b/>
          <w:color w:val="auto"/>
          <w:sz w:val="24"/>
          <w:szCs w:val="24"/>
          <w:u w:val="none" w:color="auto"/>
        </w:rPr>
        <w:t>工业企业噪声源强调查清单(室外声源)</w:t>
      </w:r>
    </w:p>
    <w:tbl>
      <w:tblPr>
        <w:tblStyle w:val="110"/>
        <w:tblW w:w="13991" w:type="dxa"/>
        <w:tblInd w:w="28" w:type="dxa"/>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Layout w:type="fixed"/>
        <w:tblCellMar>
          <w:top w:w="0" w:type="dxa"/>
          <w:left w:w="0" w:type="dxa"/>
          <w:bottom w:w="0" w:type="dxa"/>
          <w:right w:w="0" w:type="dxa"/>
        </w:tblCellMar>
      </w:tblPr>
      <w:tblGrid>
        <w:gridCol w:w="801"/>
        <w:gridCol w:w="3377"/>
        <w:gridCol w:w="1098"/>
        <w:gridCol w:w="1098"/>
        <w:gridCol w:w="880"/>
        <w:gridCol w:w="2866"/>
        <w:gridCol w:w="2818"/>
        <w:gridCol w:w="1053"/>
      </w:tblGrid>
      <w:tr w14:paraId="47888AD4">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PrEx>
        <w:trPr>
          <w:trHeight w:val="0" w:hRule="atLeast"/>
        </w:trPr>
        <w:tc>
          <w:tcPr>
            <w:tcW w:w="801" w:type="dxa"/>
            <w:vMerge w:val="restart"/>
            <w:tcBorders>
              <w:bottom w:val="nil"/>
            </w:tcBorders>
            <w:vAlign w:val="center"/>
          </w:tcPr>
          <w:p w14:paraId="608620E3">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2"/>
                <w:sz w:val="21"/>
                <w:szCs w:val="21"/>
                <w:u w:val="none" w:color="auto"/>
              </w:rPr>
              <w:t>序号</w:t>
            </w:r>
          </w:p>
        </w:tc>
        <w:tc>
          <w:tcPr>
            <w:tcW w:w="3377" w:type="dxa"/>
            <w:vMerge w:val="restart"/>
            <w:tcBorders>
              <w:bottom w:val="nil"/>
            </w:tcBorders>
            <w:vAlign w:val="center"/>
          </w:tcPr>
          <w:p w14:paraId="21458D5F">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3"/>
                <w:sz w:val="21"/>
                <w:szCs w:val="21"/>
                <w:u w:val="none" w:color="auto"/>
              </w:rPr>
              <w:t>声源名称</w:t>
            </w:r>
          </w:p>
        </w:tc>
        <w:tc>
          <w:tcPr>
            <w:tcW w:w="3076" w:type="dxa"/>
            <w:gridSpan w:val="3"/>
            <w:vAlign w:val="center"/>
          </w:tcPr>
          <w:p w14:paraId="76C65C1D">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11"/>
                <w:szCs w:val="11"/>
                <w:u w:val="none" w:color="auto"/>
              </w:rPr>
            </w:pPr>
            <w:r>
              <w:rPr>
                <w:color w:val="auto"/>
                <w:spacing w:val="-2"/>
                <w:sz w:val="21"/>
                <w:szCs w:val="21"/>
                <w:u w:val="none" w:color="auto"/>
              </w:rPr>
              <w:t>空间相对位置</w:t>
            </w:r>
            <w:r>
              <w:rPr>
                <w:rFonts w:ascii="Times New Roman" w:hAnsi="Times New Roman" w:eastAsia="Times New Roman" w:cs="Times New Roman"/>
                <w:color w:val="auto"/>
                <w:spacing w:val="-2"/>
                <w:sz w:val="21"/>
                <w:szCs w:val="21"/>
                <w:u w:val="none" w:color="auto"/>
              </w:rPr>
              <w:t>/m</w:t>
            </w:r>
          </w:p>
        </w:tc>
        <w:tc>
          <w:tcPr>
            <w:tcW w:w="2866" w:type="dxa"/>
            <w:vAlign w:val="center"/>
          </w:tcPr>
          <w:p w14:paraId="3EB799C7">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3"/>
                <w:sz w:val="21"/>
                <w:szCs w:val="21"/>
                <w:u w:val="none" w:color="auto"/>
              </w:rPr>
              <w:t>声源源强</w:t>
            </w:r>
          </w:p>
        </w:tc>
        <w:tc>
          <w:tcPr>
            <w:tcW w:w="2818" w:type="dxa"/>
            <w:vMerge w:val="restart"/>
            <w:tcBorders>
              <w:bottom w:val="nil"/>
            </w:tcBorders>
            <w:vAlign w:val="center"/>
          </w:tcPr>
          <w:p w14:paraId="353C5257">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2"/>
                <w:sz w:val="21"/>
                <w:szCs w:val="21"/>
                <w:u w:val="none" w:color="auto"/>
              </w:rPr>
              <w:t>声源控制措施</w:t>
            </w:r>
          </w:p>
        </w:tc>
        <w:tc>
          <w:tcPr>
            <w:tcW w:w="1053" w:type="dxa"/>
            <w:vMerge w:val="restart"/>
            <w:tcBorders>
              <w:bottom w:val="nil"/>
            </w:tcBorders>
            <w:vAlign w:val="center"/>
          </w:tcPr>
          <w:p w14:paraId="3A026F89">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2"/>
                <w:sz w:val="21"/>
                <w:szCs w:val="21"/>
                <w:u w:val="none" w:color="auto"/>
              </w:rPr>
              <w:t>运行时</w:t>
            </w:r>
            <w:r>
              <w:rPr>
                <w:color w:val="auto"/>
                <w:sz w:val="21"/>
                <w:szCs w:val="21"/>
                <w:u w:val="none" w:color="auto"/>
              </w:rPr>
              <w:t>段</w:t>
            </w:r>
          </w:p>
        </w:tc>
      </w:tr>
      <w:tr w14:paraId="167C679B">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Merge w:val="continue"/>
            <w:tcBorders>
              <w:top w:val="nil"/>
            </w:tcBorders>
            <w:vAlign w:val="center"/>
          </w:tcPr>
          <w:p w14:paraId="33D171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none" w:color="auto"/>
              </w:rPr>
            </w:pPr>
          </w:p>
        </w:tc>
        <w:tc>
          <w:tcPr>
            <w:tcW w:w="3377" w:type="dxa"/>
            <w:vMerge w:val="continue"/>
            <w:tcBorders>
              <w:top w:val="nil"/>
            </w:tcBorders>
            <w:vAlign w:val="center"/>
          </w:tcPr>
          <w:p w14:paraId="255504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none" w:color="auto"/>
              </w:rPr>
            </w:pPr>
          </w:p>
        </w:tc>
        <w:tc>
          <w:tcPr>
            <w:tcW w:w="1098" w:type="dxa"/>
            <w:vAlign w:val="center"/>
          </w:tcPr>
          <w:p w14:paraId="68F35B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X</w:t>
            </w:r>
          </w:p>
        </w:tc>
        <w:tc>
          <w:tcPr>
            <w:tcW w:w="1098" w:type="dxa"/>
            <w:vAlign w:val="center"/>
          </w:tcPr>
          <w:p w14:paraId="51C6DA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Y</w:t>
            </w:r>
          </w:p>
        </w:tc>
        <w:tc>
          <w:tcPr>
            <w:tcW w:w="880" w:type="dxa"/>
            <w:vAlign w:val="center"/>
          </w:tcPr>
          <w:p w14:paraId="0AB416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Z</w:t>
            </w:r>
          </w:p>
        </w:tc>
        <w:tc>
          <w:tcPr>
            <w:tcW w:w="2866" w:type="dxa"/>
            <w:vAlign w:val="center"/>
          </w:tcPr>
          <w:p w14:paraId="4CCBDE97">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2"/>
                <w:sz w:val="21"/>
                <w:szCs w:val="21"/>
                <w:u w:val="none" w:color="auto"/>
              </w:rPr>
              <w:t>声压级</w:t>
            </w:r>
            <w:r>
              <w:rPr>
                <w:rFonts w:ascii="Times New Roman" w:hAnsi="Times New Roman" w:eastAsia="Times New Roman" w:cs="Times New Roman"/>
                <w:color w:val="auto"/>
                <w:spacing w:val="-2"/>
                <w:sz w:val="21"/>
                <w:szCs w:val="21"/>
                <w:u w:val="none" w:color="auto"/>
              </w:rPr>
              <w:t>/</w:t>
            </w:r>
            <w:r>
              <w:rPr>
                <w:color w:val="auto"/>
                <w:spacing w:val="-2"/>
                <w:sz w:val="21"/>
                <w:szCs w:val="21"/>
                <w:u w:val="none" w:color="auto"/>
              </w:rPr>
              <w:t>距声源距离</w:t>
            </w:r>
          </w:p>
          <w:p w14:paraId="5E1BE54A">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z w:val="21"/>
                <w:szCs w:val="21"/>
                <w:u w:val="none" w:color="auto"/>
              </w:rPr>
              <w:t>(</w:t>
            </w:r>
            <w:r>
              <w:rPr>
                <w:rFonts w:ascii="Times New Roman" w:hAnsi="Times New Roman" w:eastAsia="Times New Roman" w:cs="Times New Roman"/>
                <w:color w:val="auto"/>
                <w:sz w:val="21"/>
                <w:szCs w:val="21"/>
                <w:u w:val="none" w:color="auto"/>
              </w:rPr>
              <w:t>dB(A)/m</w:t>
            </w:r>
            <w:r>
              <w:rPr>
                <w:color w:val="auto"/>
                <w:sz w:val="21"/>
                <w:szCs w:val="21"/>
                <w:u w:val="none" w:color="auto"/>
              </w:rPr>
              <w:t>)</w:t>
            </w:r>
          </w:p>
        </w:tc>
        <w:tc>
          <w:tcPr>
            <w:tcW w:w="2818" w:type="dxa"/>
            <w:vMerge w:val="continue"/>
            <w:tcBorders>
              <w:top w:val="nil"/>
            </w:tcBorders>
            <w:vAlign w:val="center"/>
          </w:tcPr>
          <w:p w14:paraId="72E93F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none" w:color="auto"/>
              </w:rPr>
            </w:pPr>
          </w:p>
        </w:tc>
        <w:tc>
          <w:tcPr>
            <w:tcW w:w="1053" w:type="dxa"/>
            <w:vMerge w:val="continue"/>
            <w:tcBorders>
              <w:top w:val="nil"/>
            </w:tcBorders>
            <w:vAlign w:val="center"/>
          </w:tcPr>
          <w:p w14:paraId="498AEC7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none" w:color="auto"/>
              </w:rPr>
            </w:pPr>
          </w:p>
        </w:tc>
      </w:tr>
      <w:tr w14:paraId="1783DD17">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Align w:val="center"/>
          </w:tcPr>
          <w:p w14:paraId="750F7E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1</w:t>
            </w:r>
          </w:p>
        </w:tc>
        <w:tc>
          <w:tcPr>
            <w:tcW w:w="3377" w:type="dxa"/>
            <w:vAlign w:val="center"/>
          </w:tcPr>
          <w:p w14:paraId="24D316E7">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color w:val="auto"/>
                <w:sz w:val="21"/>
                <w:szCs w:val="21"/>
                <w:u w:val="none" w:color="auto"/>
                <w:lang w:eastAsia="zh-CN"/>
              </w:rPr>
            </w:pPr>
            <w:r>
              <w:rPr>
                <w:rFonts w:hint="eastAsia"/>
                <w:color w:val="auto"/>
                <w:spacing w:val="4"/>
                <w:sz w:val="21"/>
                <w:szCs w:val="21"/>
                <w:u w:val="none" w:color="auto"/>
                <w:lang w:val="en-US" w:eastAsia="zh-CN"/>
              </w:rPr>
              <w:t>厂区卸货场地龙门吊</w:t>
            </w:r>
          </w:p>
        </w:tc>
        <w:tc>
          <w:tcPr>
            <w:tcW w:w="1098" w:type="dxa"/>
            <w:vAlign w:val="center"/>
          </w:tcPr>
          <w:p w14:paraId="7C08A57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3"/>
                <w:sz w:val="21"/>
                <w:szCs w:val="21"/>
                <w:u w:val="none" w:color="auto"/>
              </w:rPr>
              <w:t>182.28</w:t>
            </w:r>
          </w:p>
        </w:tc>
        <w:tc>
          <w:tcPr>
            <w:tcW w:w="1098" w:type="dxa"/>
            <w:vAlign w:val="center"/>
          </w:tcPr>
          <w:p w14:paraId="2E0CC20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5"/>
                <w:sz w:val="21"/>
                <w:szCs w:val="21"/>
                <w:u w:val="none" w:color="auto"/>
              </w:rPr>
              <w:t>116.88</w:t>
            </w:r>
          </w:p>
        </w:tc>
        <w:tc>
          <w:tcPr>
            <w:tcW w:w="880" w:type="dxa"/>
            <w:vAlign w:val="center"/>
          </w:tcPr>
          <w:p w14:paraId="1B6DA03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5"/>
                <w:sz w:val="21"/>
                <w:szCs w:val="21"/>
                <w:u w:val="none" w:color="auto"/>
              </w:rPr>
              <w:t>1.2</w:t>
            </w:r>
          </w:p>
        </w:tc>
        <w:tc>
          <w:tcPr>
            <w:tcW w:w="2866" w:type="dxa"/>
            <w:vAlign w:val="center"/>
          </w:tcPr>
          <w:p w14:paraId="215F6AD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3"/>
                <w:sz w:val="21"/>
                <w:szCs w:val="21"/>
                <w:u w:val="none" w:color="auto"/>
              </w:rPr>
              <w:t>85/1</w:t>
            </w:r>
          </w:p>
        </w:tc>
        <w:tc>
          <w:tcPr>
            <w:tcW w:w="2818" w:type="dxa"/>
            <w:vMerge w:val="restart"/>
            <w:vAlign w:val="center"/>
          </w:tcPr>
          <w:p w14:paraId="77458A93">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none" w:color="auto"/>
              </w:rPr>
            </w:pPr>
            <w:r>
              <w:rPr>
                <w:color w:val="auto"/>
                <w:spacing w:val="-1"/>
                <w:sz w:val="21"/>
                <w:szCs w:val="21"/>
                <w:u w:val="none" w:color="auto"/>
              </w:rPr>
              <w:t>低噪设备、基础减振、</w:t>
            </w:r>
            <w:r>
              <w:rPr>
                <w:color w:val="auto"/>
                <w:spacing w:val="-7"/>
                <w:sz w:val="21"/>
                <w:szCs w:val="21"/>
                <w:u w:val="none" w:color="auto"/>
              </w:rPr>
              <w:t>厂区绿化</w:t>
            </w:r>
          </w:p>
        </w:tc>
        <w:tc>
          <w:tcPr>
            <w:tcW w:w="1053" w:type="dxa"/>
            <w:vAlign w:val="center"/>
          </w:tcPr>
          <w:p w14:paraId="636EEB4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none" w:color="auto"/>
              </w:rPr>
            </w:pPr>
            <w:r>
              <w:rPr>
                <w:rFonts w:hint="eastAsia" w:ascii="Times New Roman" w:hAnsi="Times New Roman" w:eastAsia="宋体" w:cs="Times New Roman"/>
                <w:color w:val="auto"/>
                <w:spacing w:val="-2"/>
                <w:sz w:val="21"/>
                <w:szCs w:val="21"/>
                <w:u w:val="none" w:color="auto"/>
                <w:lang w:val="en-US" w:eastAsia="zh-CN"/>
              </w:rPr>
              <w:t>24</w:t>
            </w:r>
            <w:r>
              <w:rPr>
                <w:rFonts w:ascii="Times New Roman" w:hAnsi="Times New Roman" w:eastAsia="Times New Roman" w:cs="Times New Roman"/>
                <w:color w:val="auto"/>
                <w:spacing w:val="-2"/>
                <w:sz w:val="21"/>
                <w:szCs w:val="21"/>
                <w:u w:val="none" w:color="auto"/>
              </w:rPr>
              <w:t>h/d</w:t>
            </w:r>
          </w:p>
        </w:tc>
      </w:tr>
      <w:tr w14:paraId="1E875703">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Align w:val="center"/>
          </w:tcPr>
          <w:p w14:paraId="0644B8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w:t>
            </w:r>
          </w:p>
        </w:tc>
        <w:tc>
          <w:tcPr>
            <w:tcW w:w="3377" w:type="dxa"/>
            <w:vAlign w:val="center"/>
          </w:tcPr>
          <w:p w14:paraId="35AD50B6">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color w:val="auto"/>
                <w:spacing w:val="4"/>
                <w:sz w:val="21"/>
                <w:szCs w:val="21"/>
                <w:u w:val="none" w:color="auto"/>
                <w:lang w:eastAsia="zh-CN"/>
              </w:rPr>
            </w:pPr>
            <w:r>
              <w:rPr>
                <w:rFonts w:hint="eastAsia"/>
                <w:color w:val="auto"/>
                <w:spacing w:val="4"/>
                <w:sz w:val="21"/>
                <w:szCs w:val="21"/>
                <w:u w:val="none" w:color="auto"/>
                <w:lang w:val="en-US" w:eastAsia="zh-CN"/>
              </w:rPr>
              <w:t>成品堆场龙门吊</w:t>
            </w:r>
          </w:p>
        </w:tc>
        <w:tc>
          <w:tcPr>
            <w:tcW w:w="1098" w:type="dxa"/>
            <w:vAlign w:val="center"/>
          </w:tcPr>
          <w:p w14:paraId="02AB47F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3"/>
                <w:sz w:val="21"/>
                <w:szCs w:val="21"/>
                <w:u w:val="none" w:color="auto"/>
                <w:lang w:val="en-US" w:eastAsia="zh-CN"/>
              </w:rPr>
            </w:pPr>
            <w:r>
              <w:rPr>
                <w:rFonts w:hint="eastAsia" w:ascii="Times New Roman" w:hAnsi="Times New Roman" w:eastAsia="宋体" w:cs="Times New Roman"/>
                <w:color w:val="auto"/>
                <w:spacing w:val="-3"/>
                <w:sz w:val="21"/>
                <w:szCs w:val="21"/>
                <w:u w:val="none" w:color="auto"/>
                <w:lang w:val="en-US" w:eastAsia="zh-CN"/>
              </w:rPr>
              <w:t>274</w:t>
            </w:r>
            <w:r>
              <w:rPr>
                <w:rFonts w:ascii="Times New Roman" w:hAnsi="Times New Roman" w:eastAsia="Times New Roman" w:cs="Times New Roman"/>
                <w:color w:val="auto"/>
                <w:spacing w:val="-3"/>
                <w:sz w:val="21"/>
                <w:szCs w:val="21"/>
                <w:u w:val="none" w:color="auto"/>
              </w:rPr>
              <w:t>.</w:t>
            </w:r>
            <w:r>
              <w:rPr>
                <w:rFonts w:hint="eastAsia" w:ascii="Times New Roman" w:hAnsi="Times New Roman" w:eastAsia="宋体" w:cs="Times New Roman"/>
                <w:color w:val="auto"/>
                <w:spacing w:val="-3"/>
                <w:sz w:val="21"/>
                <w:szCs w:val="21"/>
                <w:u w:val="none" w:color="auto"/>
                <w:lang w:val="en-US" w:eastAsia="zh-CN"/>
              </w:rPr>
              <w:t>35</w:t>
            </w:r>
          </w:p>
        </w:tc>
        <w:tc>
          <w:tcPr>
            <w:tcW w:w="1098" w:type="dxa"/>
            <w:vAlign w:val="center"/>
          </w:tcPr>
          <w:p w14:paraId="1D9B0E8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5"/>
                <w:sz w:val="21"/>
                <w:szCs w:val="21"/>
                <w:u w:val="none" w:color="auto"/>
                <w:lang w:val="en-US" w:eastAsia="zh-CN"/>
              </w:rPr>
            </w:pPr>
            <w:r>
              <w:rPr>
                <w:rFonts w:hint="eastAsia" w:ascii="Times New Roman" w:hAnsi="Times New Roman" w:eastAsia="宋体" w:cs="Times New Roman"/>
                <w:color w:val="auto"/>
                <w:spacing w:val="-5"/>
                <w:sz w:val="21"/>
                <w:szCs w:val="21"/>
                <w:u w:val="none" w:color="auto"/>
                <w:lang w:val="en-US" w:eastAsia="zh-CN"/>
              </w:rPr>
              <w:t>-380.92</w:t>
            </w:r>
          </w:p>
        </w:tc>
        <w:tc>
          <w:tcPr>
            <w:tcW w:w="880" w:type="dxa"/>
            <w:vAlign w:val="center"/>
          </w:tcPr>
          <w:p w14:paraId="14ECE41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5"/>
                <w:sz w:val="21"/>
                <w:szCs w:val="21"/>
                <w:u w:val="none" w:color="auto"/>
              </w:rPr>
            </w:pPr>
            <w:r>
              <w:rPr>
                <w:rFonts w:ascii="Times New Roman" w:hAnsi="Times New Roman" w:eastAsia="Times New Roman" w:cs="Times New Roman"/>
                <w:color w:val="auto"/>
                <w:spacing w:val="-5"/>
                <w:sz w:val="21"/>
                <w:szCs w:val="21"/>
                <w:u w:val="none" w:color="auto"/>
              </w:rPr>
              <w:t>1.2</w:t>
            </w:r>
          </w:p>
        </w:tc>
        <w:tc>
          <w:tcPr>
            <w:tcW w:w="2866" w:type="dxa"/>
            <w:vAlign w:val="center"/>
          </w:tcPr>
          <w:p w14:paraId="7501C37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none" w:color="auto"/>
              </w:rPr>
            </w:pPr>
            <w:r>
              <w:rPr>
                <w:rFonts w:ascii="Times New Roman" w:hAnsi="Times New Roman" w:eastAsia="Times New Roman" w:cs="Times New Roman"/>
                <w:color w:val="auto"/>
                <w:spacing w:val="-3"/>
                <w:sz w:val="21"/>
                <w:szCs w:val="21"/>
                <w:u w:val="none" w:color="auto"/>
              </w:rPr>
              <w:t>85/1</w:t>
            </w:r>
          </w:p>
        </w:tc>
        <w:tc>
          <w:tcPr>
            <w:tcW w:w="2818" w:type="dxa"/>
            <w:vMerge w:val="continue"/>
            <w:vAlign w:val="center"/>
          </w:tcPr>
          <w:p w14:paraId="0EB3484E">
            <w:pPr>
              <w:pStyle w:val="15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color w:val="auto"/>
                <w:spacing w:val="-7"/>
                <w:sz w:val="21"/>
                <w:szCs w:val="21"/>
                <w:u w:val="none" w:color="auto"/>
              </w:rPr>
            </w:pPr>
          </w:p>
        </w:tc>
        <w:tc>
          <w:tcPr>
            <w:tcW w:w="1053" w:type="dxa"/>
            <w:vAlign w:val="center"/>
          </w:tcPr>
          <w:p w14:paraId="0C718BD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none" w:color="auto"/>
              </w:rPr>
            </w:pPr>
            <w:r>
              <w:rPr>
                <w:rFonts w:hint="eastAsia" w:ascii="Times New Roman" w:hAnsi="Times New Roman" w:eastAsia="宋体" w:cs="Times New Roman"/>
                <w:color w:val="auto"/>
                <w:spacing w:val="-2"/>
                <w:sz w:val="21"/>
                <w:szCs w:val="21"/>
                <w:u w:val="none" w:color="auto"/>
                <w:lang w:val="en-US" w:eastAsia="zh-CN"/>
              </w:rPr>
              <w:t>24</w:t>
            </w:r>
            <w:r>
              <w:rPr>
                <w:rFonts w:ascii="Times New Roman" w:hAnsi="Times New Roman" w:eastAsia="Times New Roman" w:cs="Times New Roman"/>
                <w:color w:val="auto"/>
                <w:spacing w:val="-2"/>
                <w:sz w:val="21"/>
                <w:szCs w:val="21"/>
                <w:u w:val="none" w:color="auto"/>
              </w:rPr>
              <w:t>h/d</w:t>
            </w:r>
          </w:p>
        </w:tc>
      </w:tr>
    </w:tbl>
    <w:p w14:paraId="4A99A22E">
      <w:pPr>
        <w:spacing w:line="88" w:lineRule="exact"/>
        <w:rPr>
          <w:color w:val="auto"/>
          <w:u w:val="none" w:color="auto"/>
        </w:rPr>
      </w:pPr>
    </w:p>
    <w:p w14:paraId="2267EE91">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表2.3-1</w:t>
      </w:r>
      <w:r>
        <w:rPr>
          <w:rFonts w:hint="eastAsia" w:ascii="Times New Roman" w:hAnsi="Times New Roman" w:eastAsia="宋体" w:cs="Times New Roman"/>
          <w:b/>
          <w:color w:val="auto"/>
          <w:sz w:val="24"/>
          <w:szCs w:val="24"/>
          <w:u w:val="none" w:color="auto"/>
          <w:lang w:val="en-US" w:eastAsia="zh-CN"/>
        </w:rPr>
        <w:t>7</w:t>
      </w:r>
      <w:r>
        <w:rPr>
          <w:rFonts w:hint="eastAsia" w:ascii="Times New Roman" w:hAnsi="Times New Roman" w:eastAsia="宋体" w:cs="Times New Roman"/>
          <w:b/>
          <w:color w:val="auto"/>
          <w:sz w:val="24"/>
          <w:szCs w:val="24"/>
          <w:u w:val="none" w:color="auto"/>
        </w:rPr>
        <w:t>工业企业噪声源强调查清单(室内声源)</w:t>
      </w:r>
    </w:p>
    <w:tbl>
      <w:tblPr>
        <w:tblStyle w:val="110"/>
        <w:tblW w:w="13991" w:type="dxa"/>
        <w:tblInd w:w="28" w:type="dxa"/>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Layout w:type="fixed"/>
        <w:tblCellMar>
          <w:top w:w="0" w:type="dxa"/>
          <w:left w:w="0" w:type="dxa"/>
          <w:bottom w:w="0" w:type="dxa"/>
          <w:right w:w="0" w:type="dxa"/>
        </w:tblCellMar>
      </w:tblPr>
      <w:tblGrid>
        <w:gridCol w:w="612"/>
        <w:gridCol w:w="664"/>
        <w:gridCol w:w="1578"/>
        <w:gridCol w:w="1458"/>
        <w:gridCol w:w="1379"/>
        <w:gridCol w:w="801"/>
        <w:gridCol w:w="949"/>
        <w:gridCol w:w="876"/>
        <w:gridCol w:w="875"/>
        <w:gridCol w:w="995"/>
        <w:gridCol w:w="952"/>
        <w:gridCol w:w="993"/>
        <w:gridCol w:w="993"/>
        <w:gridCol w:w="866"/>
      </w:tblGrid>
      <w:tr w14:paraId="2B2289C1">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vMerge w:val="restart"/>
            <w:tcBorders>
              <w:tl2br w:val="nil"/>
              <w:tr2bl w:val="nil"/>
            </w:tcBorders>
            <w:textDirection w:val="tbRlV"/>
            <w:vAlign w:val="center"/>
          </w:tcPr>
          <w:p w14:paraId="15473289">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1"/>
                <w:sz w:val="21"/>
                <w:szCs w:val="21"/>
                <w:u w:val="single" w:color="auto"/>
              </w:rPr>
              <w:t>序号</w:t>
            </w:r>
          </w:p>
        </w:tc>
        <w:tc>
          <w:tcPr>
            <w:tcW w:w="664" w:type="dxa"/>
            <w:vMerge w:val="restart"/>
            <w:tcBorders>
              <w:tl2br w:val="nil"/>
              <w:tr2bl w:val="nil"/>
            </w:tcBorders>
            <w:vAlign w:val="center"/>
          </w:tcPr>
          <w:p w14:paraId="6E75C06A">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5"/>
                <w:sz w:val="21"/>
                <w:szCs w:val="21"/>
                <w:u w:val="single" w:color="auto"/>
              </w:rPr>
              <w:t>建筑</w:t>
            </w:r>
            <w:r>
              <w:rPr>
                <w:color w:val="auto"/>
                <w:spacing w:val="-4"/>
                <w:sz w:val="21"/>
                <w:szCs w:val="21"/>
                <w:u w:val="single" w:color="auto"/>
              </w:rPr>
              <w:t>物名</w:t>
            </w:r>
            <w:r>
              <w:rPr>
                <w:color w:val="auto"/>
                <w:spacing w:val="28"/>
                <w:w w:val="132"/>
                <w:sz w:val="21"/>
                <w:szCs w:val="21"/>
                <w:u w:val="single" w:color="auto"/>
              </w:rPr>
              <w:t>称</w:t>
            </w:r>
          </w:p>
        </w:tc>
        <w:tc>
          <w:tcPr>
            <w:tcW w:w="1578" w:type="dxa"/>
            <w:vMerge w:val="restart"/>
            <w:tcBorders>
              <w:tl2br w:val="nil"/>
              <w:tr2bl w:val="nil"/>
            </w:tcBorders>
            <w:vAlign w:val="center"/>
          </w:tcPr>
          <w:p w14:paraId="14DEEB5A">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声源名称</w:t>
            </w:r>
          </w:p>
        </w:tc>
        <w:tc>
          <w:tcPr>
            <w:tcW w:w="1458" w:type="dxa"/>
            <w:vMerge w:val="restart"/>
            <w:tcBorders>
              <w:tl2br w:val="nil"/>
              <w:tr2bl w:val="nil"/>
            </w:tcBorders>
            <w:vAlign w:val="center"/>
          </w:tcPr>
          <w:p w14:paraId="05489C86">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声源源强声压级</w:t>
            </w:r>
            <w:r>
              <w:rPr>
                <w:rFonts w:ascii="Times New Roman" w:hAnsi="Times New Roman" w:eastAsia="Times New Roman" w:cs="Times New Roman"/>
                <w:color w:val="auto"/>
                <w:spacing w:val="-2"/>
                <w:sz w:val="21"/>
                <w:szCs w:val="21"/>
                <w:u w:val="single" w:color="auto"/>
              </w:rPr>
              <w:t>/</w:t>
            </w:r>
            <w:r>
              <w:rPr>
                <w:color w:val="auto"/>
                <w:spacing w:val="-2"/>
                <w:sz w:val="21"/>
                <w:szCs w:val="21"/>
                <w:u w:val="single" w:color="auto"/>
              </w:rPr>
              <w:t>距声源距离</w:t>
            </w:r>
            <w:r>
              <w:rPr>
                <w:color w:val="auto"/>
                <w:sz w:val="21"/>
                <w:szCs w:val="21"/>
                <w:u w:val="single" w:color="auto"/>
              </w:rPr>
              <w:t>(</w:t>
            </w:r>
            <w:r>
              <w:rPr>
                <w:rFonts w:ascii="Times New Roman" w:hAnsi="Times New Roman" w:eastAsia="Times New Roman" w:cs="Times New Roman"/>
                <w:color w:val="auto"/>
                <w:sz w:val="21"/>
                <w:szCs w:val="21"/>
                <w:u w:val="single" w:color="auto"/>
              </w:rPr>
              <w:t>dB(A)/m</w:t>
            </w:r>
            <w:r>
              <w:rPr>
                <w:color w:val="auto"/>
                <w:sz w:val="21"/>
                <w:szCs w:val="21"/>
                <w:u w:val="single" w:color="auto"/>
              </w:rPr>
              <w:t>)</w:t>
            </w:r>
          </w:p>
        </w:tc>
        <w:tc>
          <w:tcPr>
            <w:tcW w:w="1379" w:type="dxa"/>
            <w:vMerge w:val="restart"/>
            <w:tcBorders>
              <w:tl2br w:val="nil"/>
              <w:tr2bl w:val="nil"/>
            </w:tcBorders>
            <w:vAlign w:val="center"/>
          </w:tcPr>
          <w:p w14:paraId="387494A8">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声源控制措</w:t>
            </w:r>
            <w:r>
              <w:rPr>
                <w:color w:val="auto"/>
                <w:sz w:val="21"/>
                <w:szCs w:val="21"/>
                <w:u w:val="single" w:color="auto"/>
              </w:rPr>
              <w:t>施</w:t>
            </w:r>
          </w:p>
        </w:tc>
        <w:tc>
          <w:tcPr>
            <w:tcW w:w="2626" w:type="dxa"/>
            <w:gridSpan w:val="3"/>
            <w:tcBorders>
              <w:tl2br w:val="nil"/>
              <w:tr2bl w:val="nil"/>
            </w:tcBorders>
            <w:vAlign w:val="center"/>
          </w:tcPr>
          <w:p w14:paraId="42CA2E6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11"/>
                <w:szCs w:val="11"/>
                <w:u w:val="single" w:color="auto"/>
              </w:rPr>
            </w:pPr>
            <w:r>
              <w:rPr>
                <w:color w:val="auto"/>
                <w:spacing w:val="-2"/>
                <w:sz w:val="21"/>
                <w:szCs w:val="21"/>
                <w:u w:val="single" w:color="auto"/>
              </w:rPr>
              <w:t>空间相对位置</w:t>
            </w:r>
            <w:r>
              <w:rPr>
                <w:rFonts w:ascii="Times New Roman" w:hAnsi="Times New Roman" w:eastAsia="Times New Roman" w:cs="Times New Roman"/>
                <w:color w:val="auto"/>
                <w:spacing w:val="-2"/>
                <w:sz w:val="21"/>
                <w:szCs w:val="21"/>
                <w:u w:val="single" w:color="auto"/>
              </w:rPr>
              <w:t>/m</w:t>
            </w:r>
          </w:p>
        </w:tc>
        <w:tc>
          <w:tcPr>
            <w:tcW w:w="875" w:type="dxa"/>
            <w:vMerge w:val="restart"/>
            <w:tcBorders>
              <w:tl2br w:val="nil"/>
              <w:tr2bl w:val="nil"/>
            </w:tcBorders>
            <w:vAlign w:val="center"/>
          </w:tcPr>
          <w:p w14:paraId="67B0660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2"/>
                <w:sz w:val="21"/>
                <w:szCs w:val="21"/>
                <w:u w:val="single" w:color="auto"/>
              </w:rPr>
              <w:t>距室内边界距</w:t>
            </w:r>
            <w:r>
              <w:rPr>
                <w:color w:val="auto"/>
                <w:spacing w:val="30"/>
                <w:sz w:val="21"/>
                <w:szCs w:val="21"/>
                <w:u w:val="single" w:color="auto"/>
              </w:rPr>
              <w:t>离</w:t>
            </w:r>
            <w:r>
              <w:rPr>
                <w:rFonts w:ascii="Times New Roman" w:hAnsi="Times New Roman" w:eastAsia="Times New Roman" w:cs="Times New Roman"/>
                <w:color w:val="auto"/>
                <w:spacing w:val="30"/>
                <w:sz w:val="21"/>
                <w:szCs w:val="21"/>
                <w:u w:val="single" w:color="auto"/>
              </w:rPr>
              <w:t>/m</w:t>
            </w:r>
          </w:p>
        </w:tc>
        <w:tc>
          <w:tcPr>
            <w:tcW w:w="995" w:type="dxa"/>
            <w:vMerge w:val="restart"/>
            <w:tcBorders>
              <w:tl2br w:val="nil"/>
              <w:tr2bl w:val="nil"/>
            </w:tcBorders>
            <w:vAlign w:val="center"/>
          </w:tcPr>
          <w:p w14:paraId="0F77D4C8">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3"/>
                <w:sz w:val="21"/>
                <w:szCs w:val="21"/>
                <w:u w:val="single" w:color="auto"/>
              </w:rPr>
              <w:t>室内边</w:t>
            </w:r>
            <w:r>
              <w:rPr>
                <w:color w:val="auto"/>
                <w:spacing w:val="-4"/>
                <w:sz w:val="21"/>
                <w:szCs w:val="21"/>
                <w:u w:val="single" w:color="auto"/>
              </w:rPr>
              <w:t>界声级</w:t>
            </w:r>
            <w:r>
              <w:rPr>
                <w:rFonts w:ascii="Times New Roman" w:hAnsi="Times New Roman" w:eastAsia="Times New Roman" w:cs="Times New Roman"/>
                <w:color w:val="auto"/>
                <w:spacing w:val="2"/>
                <w:sz w:val="21"/>
                <w:szCs w:val="21"/>
                <w:u w:val="single" w:color="auto"/>
              </w:rPr>
              <w:t>/</w:t>
            </w:r>
            <w:r>
              <w:rPr>
                <w:rFonts w:ascii="Times New Roman" w:hAnsi="Times New Roman" w:eastAsia="Times New Roman" w:cs="Times New Roman"/>
                <w:color w:val="auto"/>
                <w:sz w:val="21"/>
                <w:szCs w:val="21"/>
                <w:u w:val="single" w:color="auto"/>
              </w:rPr>
              <w:t>dB</w:t>
            </w:r>
            <w:r>
              <w:rPr>
                <w:rFonts w:ascii="Times New Roman" w:hAnsi="Times New Roman" w:eastAsia="Times New Roman" w:cs="Times New Roman"/>
                <w:color w:val="auto"/>
                <w:spacing w:val="2"/>
                <w:sz w:val="21"/>
                <w:szCs w:val="21"/>
                <w:u w:val="single" w:color="auto"/>
              </w:rPr>
              <w:t>(A)</w:t>
            </w:r>
          </w:p>
        </w:tc>
        <w:tc>
          <w:tcPr>
            <w:tcW w:w="952" w:type="dxa"/>
            <w:vMerge w:val="restart"/>
            <w:tcBorders>
              <w:tl2br w:val="nil"/>
              <w:tr2bl w:val="nil"/>
            </w:tcBorders>
            <w:vAlign w:val="center"/>
          </w:tcPr>
          <w:p w14:paraId="6EA0CEF8">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运行时</w:t>
            </w:r>
            <w:r>
              <w:rPr>
                <w:color w:val="auto"/>
                <w:sz w:val="21"/>
                <w:szCs w:val="21"/>
                <w:u w:val="single" w:color="auto"/>
              </w:rPr>
              <w:t>段</w:t>
            </w:r>
          </w:p>
        </w:tc>
        <w:tc>
          <w:tcPr>
            <w:tcW w:w="993" w:type="dxa"/>
            <w:vMerge w:val="restart"/>
            <w:tcBorders>
              <w:tl2br w:val="nil"/>
              <w:tr2bl w:val="nil"/>
            </w:tcBorders>
            <w:vAlign w:val="center"/>
          </w:tcPr>
          <w:p w14:paraId="66DD64BD">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2"/>
                <w:sz w:val="21"/>
                <w:szCs w:val="21"/>
                <w:u w:val="single" w:color="auto"/>
              </w:rPr>
              <w:t>建筑物</w:t>
            </w:r>
            <w:r>
              <w:rPr>
                <w:color w:val="auto"/>
                <w:spacing w:val="-1"/>
                <w:sz w:val="21"/>
                <w:szCs w:val="21"/>
                <w:u w:val="single" w:color="auto"/>
              </w:rPr>
              <w:t>插入损</w:t>
            </w:r>
            <w:r>
              <w:rPr>
                <w:color w:val="auto"/>
                <w:sz w:val="21"/>
                <w:szCs w:val="21"/>
                <w:u w:val="single" w:color="auto"/>
              </w:rPr>
              <w:t>失</w:t>
            </w:r>
            <w:r>
              <w:rPr>
                <w:rFonts w:ascii="Times New Roman" w:hAnsi="Times New Roman" w:eastAsia="Times New Roman" w:cs="Times New Roman"/>
                <w:color w:val="auto"/>
                <w:sz w:val="21"/>
                <w:szCs w:val="21"/>
                <w:u w:val="single" w:color="auto"/>
              </w:rPr>
              <w:t>/dB(A)</w:t>
            </w:r>
          </w:p>
        </w:tc>
        <w:tc>
          <w:tcPr>
            <w:tcW w:w="1859" w:type="dxa"/>
            <w:gridSpan w:val="2"/>
            <w:tcBorders>
              <w:tl2br w:val="nil"/>
              <w:tr2bl w:val="nil"/>
            </w:tcBorders>
            <w:vAlign w:val="center"/>
          </w:tcPr>
          <w:p w14:paraId="298B0BBC">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建筑物外噪声</w:t>
            </w:r>
          </w:p>
        </w:tc>
      </w:tr>
      <w:tr w14:paraId="02E6B3A9">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vMerge w:val="continue"/>
            <w:tcBorders>
              <w:tl2br w:val="nil"/>
              <w:tr2bl w:val="nil"/>
            </w:tcBorders>
            <w:textDirection w:val="tbRlV"/>
            <w:vAlign w:val="center"/>
          </w:tcPr>
          <w:p w14:paraId="5F10E99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664" w:type="dxa"/>
            <w:vMerge w:val="continue"/>
            <w:tcBorders>
              <w:tl2br w:val="nil"/>
              <w:tr2bl w:val="nil"/>
            </w:tcBorders>
            <w:vAlign w:val="center"/>
          </w:tcPr>
          <w:p w14:paraId="0541B8E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vMerge w:val="continue"/>
            <w:tcBorders>
              <w:tl2br w:val="nil"/>
              <w:tr2bl w:val="nil"/>
            </w:tcBorders>
            <w:vAlign w:val="center"/>
          </w:tcPr>
          <w:p w14:paraId="0AD27A0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458" w:type="dxa"/>
            <w:vMerge w:val="continue"/>
            <w:tcBorders>
              <w:tl2br w:val="nil"/>
              <w:tr2bl w:val="nil"/>
            </w:tcBorders>
            <w:vAlign w:val="center"/>
          </w:tcPr>
          <w:p w14:paraId="5915F71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379" w:type="dxa"/>
            <w:vMerge w:val="continue"/>
            <w:tcBorders>
              <w:tl2br w:val="nil"/>
              <w:tr2bl w:val="nil"/>
            </w:tcBorders>
            <w:vAlign w:val="center"/>
          </w:tcPr>
          <w:p w14:paraId="11E7122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26B8EA0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X</w:t>
            </w:r>
          </w:p>
        </w:tc>
        <w:tc>
          <w:tcPr>
            <w:tcW w:w="949" w:type="dxa"/>
            <w:tcBorders>
              <w:tl2br w:val="nil"/>
              <w:tr2bl w:val="nil"/>
            </w:tcBorders>
            <w:vAlign w:val="center"/>
          </w:tcPr>
          <w:p w14:paraId="0E6A0A7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Y</w:t>
            </w:r>
          </w:p>
        </w:tc>
        <w:tc>
          <w:tcPr>
            <w:tcW w:w="876" w:type="dxa"/>
            <w:tcBorders>
              <w:tl2br w:val="nil"/>
              <w:tr2bl w:val="nil"/>
            </w:tcBorders>
            <w:vAlign w:val="center"/>
          </w:tcPr>
          <w:p w14:paraId="04A50E6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Z</w:t>
            </w:r>
          </w:p>
        </w:tc>
        <w:tc>
          <w:tcPr>
            <w:tcW w:w="875" w:type="dxa"/>
            <w:vMerge w:val="continue"/>
            <w:tcBorders>
              <w:tl2br w:val="nil"/>
              <w:tr2bl w:val="nil"/>
            </w:tcBorders>
            <w:vAlign w:val="center"/>
          </w:tcPr>
          <w:p w14:paraId="5AFE30E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5" w:type="dxa"/>
            <w:vMerge w:val="continue"/>
            <w:tcBorders>
              <w:tl2br w:val="nil"/>
              <w:tr2bl w:val="nil"/>
            </w:tcBorders>
            <w:vAlign w:val="center"/>
          </w:tcPr>
          <w:p w14:paraId="2C8581C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52" w:type="dxa"/>
            <w:vMerge w:val="continue"/>
            <w:tcBorders>
              <w:tl2br w:val="nil"/>
              <w:tr2bl w:val="nil"/>
            </w:tcBorders>
            <w:vAlign w:val="center"/>
          </w:tcPr>
          <w:p w14:paraId="2100384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3" w:type="dxa"/>
            <w:vMerge w:val="continue"/>
            <w:tcBorders>
              <w:tl2br w:val="nil"/>
              <w:tr2bl w:val="nil"/>
            </w:tcBorders>
            <w:vAlign w:val="center"/>
          </w:tcPr>
          <w:p w14:paraId="5CD5846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3" w:type="dxa"/>
            <w:tcBorders>
              <w:tl2br w:val="nil"/>
              <w:tr2bl w:val="nil"/>
            </w:tcBorders>
            <w:vAlign w:val="center"/>
          </w:tcPr>
          <w:p w14:paraId="47781617">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4"/>
                <w:sz w:val="21"/>
                <w:szCs w:val="21"/>
                <w:u w:val="single" w:color="auto"/>
              </w:rPr>
              <w:t>声压级</w:t>
            </w:r>
            <w:r>
              <w:rPr>
                <w:rFonts w:ascii="Times New Roman" w:hAnsi="Times New Roman" w:eastAsia="Times New Roman" w:cs="Times New Roman"/>
                <w:color w:val="auto"/>
                <w:sz w:val="21"/>
                <w:szCs w:val="21"/>
                <w:u w:val="single" w:color="auto"/>
              </w:rPr>
              <w:t>/dB(A)</w:t>
            </w:r>
          </w:p>
        </w:tc>
        <w:tc>
          <w:tcPr>
            <w:tcW w:w="866" w:type="dxa"/>
            <w:tcBorders>
              <w:tl2br w:val="nil"/>
              <w:tr2bl w:val="nil"/>
            </w:tcBorders>
            <w:vAlign w:val="center"/>
          </w:tcPr>
          <w:p w14:paraId="7223245C">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建筑物</w:t>
            </w:r>
          </w:p>
          <w:p w14:paraId="66DE6280">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外距离</w:t>
            </w:r>
          </w:p>
          <w:p w14:paraId="3B07A55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/m</w:t>
            </w:r>
          </w:p>
        </w:tc>
      </w:tr>
      <w:tr w14:paraId="1EC786C0">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950C82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1</w:t>
            </w:r>
          </w:p>
        </w:tc>
        <w:tc>
          <w:tcPr>
            <w:tcW w:w="664" w:type="dxa"/>
            <w:vMerge w:val="restart"/>
            <w:tcBorders>
              <w:tl2br w:val="nil"/>
              <w:tr2bl w:val="nil"/>
            </w:tcBorders>
            <w:vAlign w:val="center"/>
          </w:tcPr>
          <w:p w14:paraId="081E69C3">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eastAsia="宋体"/>
                <w:color w:val="auto"/>
                <w:sz w:val="21"/>
                <w:szCs w:val="21"/>
                <w:u w:val="single" w:color="auto"/>
                <w:lang w:val="en-US" w:eastAsia="zh-CN"/>
              </w:rPr>
            </w:pPr>
            <w:r>
              <w:rPr>
                <w:rFonts w:hint="eastAsia"/>
                <w:color w:val="auto"/>
                <w:spacing w:val="-5"/>
                <w:sz w:val="21"/>
                <w:szCs w:val="21"/>
                <w:u w:val="single" w:color="auto"/>
                <w:lang w:val="en-US" w:eastAsia="zh-CN"/>
              </w:rPr>
              <w:t>装焊车间</w:t>
            </w:r>
          </w:p>
        </w:tc>
        <w:tc>
          <w:tcPr>
            <w:tcW w:w="1578" w:type="dxa"/>
            <w:tcBorders>
              <w:tl2br w:val="nil"/>
              <w:tr2bl w:val="nil"/>
            </w:tcBorders>
            <w:vAlign w:val="center"/>
          </w:tcPr>
          <w:p w14:paraId="7E5A8C30">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多头条直切割机</w:t>
            </w:r>
          </w:p>
        </w:tc>
        <w:tc>
          <w:tcPr>
            <w:tcW w:w="1458" w:type="dxa"/>
            <w:tcBorders>
              <w:tl2br w:val="nil"/>
              <w:tr2bl w:val="nil"/>
            </w:tcBorders>
            <w:vAlign w:val="center"/>
          </w:tcPr>
          <w:p w14:paraId="53E206C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restart"/>
            <w:tcBorders>
              <w:tl2br w:val="nil"/>
              <w:tr2bl w:val="nil"/>
            </w:tcBorders>
            <w:vAlign w:val="center"/>
          </w:tcPr>
          <w:p w14:paraId="031D382C">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选用高品质、高性</w:t>
            </w:r>
            <w:r>
              <w:rPr>
                <w:color w:val="auto"/>
                <w:spacing w:val="-3"/>
                <w:sz w:val="21"/>
                <w:szCs w:val="21"/>
                <w:u w:val="single" w:color="auto"/>
              </w:rPr>
              <w:t>能、低噪声</w:t>
            </w:r>
            <w:r>
              <w:rPr>
                <w:color w:val="auto"/>
                <w:spacing w:val="-8"/>
                <w:sz w:val="21"/>
                <w:szCs w:val="21"/>
                <w:u w:val="single" w:color="auto"/>
              </w:rPr>
              <w:t>设备,隔振</w:t>
            </w:r>
            <w:r>
              <w:rPr>
                <w:color w:val="auto"/>
                <w:spacing w:val="-7"/>
                <w:sz w:val="21"/>
                <w:szCs w:val="21"/>
                <w:u w:val="single" w:color="auto"/>
              </w:rPr>
              <w:t>基础,软接</w:t>
            </w:r>
            <w:r>
              <w:rPr>
                <w:color w:val="auto"/>
                <w:spacing w:val="19"/>
                <w:sz w:val="21"/>
                <w:szCs w:val="21"/>
                <w:u w:val="single" w:color="auto"/>
              </w:rPr>
              <w:t>头</w:t>
            </w:r>
          </w:p>
        </w:tc>
        <w:tc>
          <w:tcPr>
            <w:tcW w:w="801" w:type="dxa"/>
            <w:tcBorders>
              <w:tl2br w:val="nil"/>
              <w:tr2bl w:val="nil"/>
            </w:tcBorders>
            <w:vAlign w:val="center"/>
          </w:tcPr>
          <w:p w14:paraId="2923137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162.82</w:t>
            </w:r>
          </w:p>
        </w:tc>
        <w:tc>
          <w:tcPr>
            <w:tcW w:w="949" w:type="dxa"/>
            <w:tcBorders>
              <w:tl2br w:val="nil"/>
              <w:tr2bl w:val="nil"/>
            </w:tcBorders>
            <w:vAlign w:val="center"/>
          </w:tcPr>
          <w:p w14:paraId="23CC95A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-73.91</w:t>
            </w:r>
          </w:p>
        </w:tc>
        <w:tc>
          <w:tcPr>
            <w:tcW w:w="876" w:type="dxa"/>
            <w:tcBorders>
              <w:tl2br w:val="nil"/>
              <w:tr2bl w:val="nil"/>
            </w:tcBorders>
            <w:vAlign w:val="center"/>
          </w:tcPr>
          <w:p w14:paraId="0E4BC9E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5F9A843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61AAC263">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47.1</w:t>
            </w:r>
          </w:p>
        </w:tc>
        <w:tc>
          <w:tcPr>
            <w:tcW w:w="952" w:type="dxa"/>
            <w:tcBorders>
              <w:tl2br w:val="nil"/>
              <w:tr2bl w:val="nil"/>
            </w:tcBorders>
            <w:vAlign w:val="center"/>
          </w:tcPr>
          <w:p w14:paraId="4626811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2965FC2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val="en-US" w:eastAsia="zh-CN"/>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28E020DC">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27.1</w:t>
            </w:r>
          </w:p>
        </w:tc>
        <w:tc>
          <w:tcPr>
            <w:tcW w:w="866" w:type="dxa"/>
            <w:tcBorders>
              <w:tl2br w:val="nil"/>
              <w:tr2bl w:val="nil"/>
            </w:tcBorders>
            <w:vAlign w:val="center"/>
          </w:tcPr>
          <w:p w14:paraId="12216705">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0604B4A">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C9A772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2</w:t>
            </w:r>
          </w:p>
        </w:tc>
        <w:tc>
          <w:tcPr>
            <w:tcW w:w="664" w:type="dxa"/>
            <w:vMerge w:val="continue"/>
            <w:tcBorders>
              <w:tl2br w:val="nil"/>
              <w:tr2bl w:val="nil"/>
            </w:tcBorders>
            <w:vAlign w:val="center"/>
          </w:tcPr>
          <w:p w14:paraId="5EFB50C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vAlign w:val="center"/>
          </w:tcPr>
          <w:p w14:paraId="0955D991">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数控直条切割机</w:t>
            </w:r>
          </w:p>
        </w:tc>
        <w:tc>
          <w:tcPr>
            <w:tcW w:w="1458" w:type="dxa"/>
            <w:tcBorders>
              <w:tl2br w:val="nil"/>
              <w:tr2bl w:val="nil"/>
            </w:tcBorders>
            <w:vAlign w:val="center"/>
          </w:tcPr>
          <w:p w14:paraId="0F63871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2FEFC43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73038EB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4"/>
                <w:sz w:val="21"/>
                <w:szCs w:val="21"/>
                <w:u w:val="single" w:color="auto"/>
              </w:rPr>
              <w:t>184.1</w:t>
            </w:r>
          </w:p>
        </w:tc>
        <w:tc>
          <w:tcPr>
            <w:tcW w:w="949" w:type="dxa"/>
            <w:tcBorders>
              <w:tl2br w:val="nil"/>
              <w:tr2bl w:val="nil"/>
            </w:tcBorders>
            <w:vAlign w:val="center"/>
          </w:tcPr>
          <w:p w14:paraId="7DF33B7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-67.93</w:t>
            </w:r>
          </w:p>
        </w:tc>
        <w:tc>
          <w:tcPr>
            <w:tcW w:w="876" w:type="dxa"/>
            <w:tcBorders>
              <w:tl2br w:val="nil"/>
              <w:tr2bl w:val="nil"/>
            </w:tcBorders>
            <w:vAlign w:val="center"/>
          </w:tcPr>
          <w:p w14:paraId="1E68680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2997827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2DF23FD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57.9</w:t>
            </w:r>
          </w:p>
        </w:tc>
        <w:tc>
          <w:tcPr>
            <w:tcW w:w="952" w:type="dxa"/>
            <w:tcBorders>
              <w:tl2br w:val="nil"/>
              <w:tr2bl w:val="nil"/>
            </w:tcBorders>
            <w:vAlign w:val="center"/>
          </w:tcPr>
          <w:p w14:paraId="141AD3B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66B09FA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val="en-US" w:eastAsia="zh-CN"/>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745CD2B8">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37.9</w:t>
            </w:r>
          </w:p>
        </w:tc>
        <w:tc>
          <w:tcPr>
            <w:tcW w:w="866" w:type="dxa"/>
            <w:tcBorders>
              <w:tl2br w:val="nil"/>
              <w:tr2bl w:val="nil"/>
            </w:tcBorders>
            <w:vAlign w:val="center"/>
          </w:tcPr>
          <w:p w14:paraId="33A2EFD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2FAC5C81">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0A041A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3</w:t>
            </w:r>
          </w:p>
        </w:tc>
        <w:tc>
          <w:tcPr>
            <w:tcW w:w="664" w:type="dxa"/>
            <w:vMerge w:val="continue"/>
            <w:tcBorders>
              <w:tl2br w:val="nil"/>
              <w:tr2bl w:val="nil"/>
            </w:tcBorders>
            <w:vAlign w:val="center"/>
          </w:tcPr>
          <w:p w14:paraId="1E459EE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68369B7B">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数控等离子门式切割机</w:t>
            </w:r>
          </w:p>
        </w:tc>
        <w:tc>
          <w:tcPr>
            <w:tcW w:w="1458" w:type="dxa"/>
            <w:tcBorders>
              <w:tl2br w:val="nil"/>
              <w:tr2bl w:val="nil"/>
            </w:tcBorders>
            <w:vAlign w:val="center"/>
          </w:tcPr>
          <w:p w14:paraId="218BB4D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1873F42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5122F54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208.71</w:t>
            </w:r>
          </w:p>
        </w:tc>
        <w:tc>
          <w:tcPr>
            <w:tcW w:w="949" w:type="dxa"/>
            <w:tcBorders>
              <w:tl2br w:val="nil"/>
              <w:tr2bl w:val="nil"/>
            </w:tcBorders>
            <w:vAlign w:val="center"/>
          </w:tcPr>
          <w:p w14:paraId="7AB4D1D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-63.27</w:t>
            </w:r>
          </w:p>
        </w:tc>
        <w:tc>
          <w:tcPr>
            <w:tcW w:w="876" w:type="dxa"/>
            <w:tcBorders>
              <w:tl2br w:val="nil"/>
              <w:tr2bl w:val="nil"/>
            </w:tcBorders>
            <w:vAlign w:val="center"/>
          </w:tcPr>
          <w:p w14:paraId="2AA80EB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3E6BE43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550D474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50.1</w:t>
            </w:r>
          </w:p>
        </w:tc>
        <w:tc>
          <w:tcPr>
            <w:tcW w:w="952" w:type="dxa"/>
            <w:tcBorders>
              <w:tl2br w:val="nil"/>
              <w:tr2bl w:val="nil"/>
            </w:tcBorders>
            <w:vAlign w:val="center"/>
          </w:tcPr>
          <w:p w14:paraId="1E566FF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372F8C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47AC2993">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30.1</w:t>
            </w:r>
          </w:p>
        </w:tc>
        <w:tc>
          <w:tcPr>
            <w:tcW w:w="866" w:type="dxa"/>
            <w:tcBorders>
              <w:tl2br w:val="nil"/>
              <w:tr2bl w:val="nil"/>
            </w:tcBorders>
            <w:vAlign w:val="center"/>
          </w:tcPr>
          <w:p w14:paraId="10D355D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B238F18">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BA70F9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4</w:t>
            </w:r>
          </w:p>
        </w:tc>
        <w:tc>
          <w:tcPr>
            <w:tcW w:w="664" w:type="dxa"/>
            <w:vMerge w:val="continue"/>
            <w:tcBorders>
              <w:tl2br w:val="nil"/>
              <w:tr2bl w:val="nil"/>
            </w:tcBorders>
            <w:vAlign w:val="center"/>
          </w:tcPr>
          <w:p w14:paraId="0E480E2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54C1FEF2">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数控等离子相贯线切割机</w:t>
            </w:r>
          </w:p>
        </w:tc>
        <w:tc>
          <w:tcPr>
            <w:tcW w:w="1458" w:type="dxa"/>
            <w:tcBorders>
              <w:tl2br w:val="nil"/>
              <w:tr2bl w:val="nil"/>
            </w:tcBorders>
            <w:vAlign w:val="center"/>
          </w:tcPr>
          <w:p w14:paraId="40C84FD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4688697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FE25EC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232.65</w:t>
            </w:r>
          </w:p>
        </w:tc>
        <w:tc>
          <w:tcPr>
            <w:tcW w:w="949" w:type="dxa"/>
            <w:tcBorders>
              <w:tl2br w:val="nil"/>
              <w:tr2bl w:val="nil"/>
            </w:tcBorders>
            <w:vAlign w:val="center"/>
          </w:tcPr>
          <w:p w14:paraId="705ED6A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-56.62</w:t>
            </w:r>
          </w:p>
        </w:tc>
        <w:tc>
          <w:tcPr>
            <w:tcW w:w="876" w:type="dxa"/>
            <w:tcBorders>
              <w:tl2br w:val="nil"/>
              <w:tr2bl w:val="nil"/>
            </w:tcBorders>
            <w:vAlign w:val="center"/>
          </w:tcPr>
          <w:p w14:paraId="689B635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DBA08E2">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7A7156A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50.1</w:t>
            </w:r>
          </w:p>
        </w:tc>
        <w:tc>
          <w:tcPr>
            <w:tcW w:w="952" w:type="dxa"/>
            <w:tcBorders>
              <w:tl2br w:val="nil"/>
              <w:tr2bl w:val="nil"/>
            </w:tcBorders>
            <w:vAlign w:val="center"/>
          </w:tcPr>
          <w:p w14:paraId="64A088D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2A06A19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26A50A31">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30.1</w:t>
            </w:r>
          </w:p>
        </w:tc>
        <w:tc>
          <w:tcPr>
            <w:tcW w:w="866" w:type="dxa"/>
            <w:tcBorders>
              <w:tl2br w:val="nil"/>
              <w:tr2bl w:val="nil"/>
            </w:tcBorders>
            <w:vAlign w:val="center"/>
          </w:tcPr>
          <w:p w14:paraId="282AF17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57118C3">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F8A311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5</w:t>
            </w:r>
          </w:p>
        </w:tc>
        <w:tc>
          <w:tcPr>
            <w:tcW w:w="664" w:type="dxa"/>
            <w:vMerge w:val="continue"/>
            <w:tcBorders>
              <w:tl2br w:val="nil"/>
              <w:tr2bl w:val="nil"/>
            </w:tcBorders>
            <w:vAlign w:val="center"/>
          </w:tcPr>
          <w:p w14:paraId="5558D82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1D90A0CD">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锯床</w:t>
            </w:r>
          </w:p>
        </w:tc>
        <w:tc>
          <w:tcPr>
            <w:tcW w:w="1458" w:type="dxa"/>
            <w:tcBorders>
              <w:tl2br w:val="nil"/>
              <w:tr2bl w:val="nil"/>
            </w:tcBorders>
            <w:vAlign w:val="center"/>
          </w:tcPr>
          <w:p w14:paraId="3E5B55C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4C76F87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4A8F481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164.82</w:t>
            </w:r>
          </w:p>
        </w:tc>
        <w:tc>
          <w:tcPr>
            <w:tcW w:w="949" w:type="dxa"/>
            <w:tcBorders>
              <w:tl2br w:val="nil"/>
              <w:tr2bl w:val="nil"/>
            </w:tcBorders>
            <w:vAlign w:val="center"/>
          </w:tcPr>
          <w:p w14:paraId="2C4E9D6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-5.41</w:t>
            </w:r>
          </w:p>
        </w:tc>
        <w:tc>
          <w:tcPr>
            <w:tcW w:w="876" w:type="dxa"/>
            <w:tcBorders>
              <w:tl2br w:val="nil"/>
              <w:tr2bl w:val="nil"/>
            </w:tcBorders>
            <w:vAlign w:val="center"/>
          </w:tcPr>
          <w:p w14:paraId="2B70ADD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2B745A9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2A69998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59.7</w:t>
            </w:r>
          </w:p>
        </w:tc>
        <w:tc>
          <w:tcPr>
            <w:tcW w:w="952" w:type="dxa"/>
            <w:tcBorders>
              <w:tl2br w:val="nil"/>
              <w:tr2bl w:val="nil"/>
            </w:tcBorders>
            <w:vAlign w:val="center"/>
          </w:tcPr>
          <w:p w14:paraId="55F4FD0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24A3DE8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73E02573">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39.7</w:t>
            </w:r>
          </w:p>
        </w:tc>
        <w:tc>
          <w:tcPr>
            <w:tcW w:w="866" w:type="dxa"/>
            <w:tcBorders>
              <w:tl2br w:val="nil"/>
              <w:tr2bl w:val="nil"/>
            </w:tcBorders>
            <w:vAlign w:val="center"/>
          </w:tcPr>
          <w:p w14:paraId="6997264F">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2E029A5A">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C28AC4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6</w:t>
            </w:r>
          </w:p>
        </w:tc>
        <w:tc>
          <w:tcPr>
            <w:tcW w:w="664" w:type="dxa"/>
            <w:vMerge w:val="continue"/>
            <w:tcBorders>
              <w:tl2br w:val="nil"/>
              <w:tr2bl w:val="nil"/>
            </w:tcBorders>
            <w:vAlign w:val="center"/>
          </w:tcPr>
          <w:p w14:paraId="0E47C95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7976C6D2">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摇臂钻床</w:t>
            </w:r>
          </w:p>
        </w:tc>
        <w:tc>
          <w:tcPr>
            <w:tcW w:w="1458" w:type="dxa"/>
            <w:tcBorders>
              <w:tl2br w:val="nil"/>
              <w:tr2bl w:val="nil"/>
            </w:tcBorders>
            <w:vAlign w:val="center"/>
          </w:tcPr>
          <w:p w14:paraId="1B41023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556C04C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657734C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174.79</w:t>
            </w:r>
          </w:p>
        </w:tc>
        <w:tc>
          <w:tcPr>
            <w:tcW w:w="949" w:type="dxa"/>
            <w:tcBorders>
              <w:tl2br w:val="nil"/>
              <w:tr2bl w:val="nil"/>
            </w:tcBorders>
            <w:vAlign w:val="center"/>
          </w:tcPr>
          <w:p w14:paraId="7280A87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-38.67</w:t>
            </w:r>
          </w:p>
        </w:tc>
        <w:tc>
          <w:tcPr>
            <w:tcW w:w="876" w:type="dxa"/>
            <w:tcBorders>
              <w:tl2br w:val="nil"/>
              <w:tr2bl w:val="nil"/>
            </w:tcBorders>
            <w:vAlign w:val="center"/>
          </w:tcPr>
          <w:p w14:paraId="6909CB6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7F5476D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2D8DE980">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53.4</w:t>
            </w:r>
          </w:p>
        </w:tc>
        <w:tc>
          <w:tcPr>
            <w:tcW w:w="952" w:type="dxa"/>
            <w:tcBorders>
              <w:tl2br w:val="nil"/>
              <w:tr2bl w:val="nil"/>
            </w:tcBorders>
            <w:vAlign w:val="center"/>
          </w:tcPr>
          <w:p w14:paraId="0BAA167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20151AE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8E6EC1A">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33.4</w:t>
            </w:r>
          </w:p>
        </w:tc>
        <w:tc>
          <w:tcPr>
            <w:tcW w:w="866" w:type="dxa"/>
            <w:tcBorders>
              <w:tl2br w:val="nil"/>
              <w:tr2bl w:val="nil"/>
            </w:tcBorders>
            <w:vAlign w:val="center"/>
          </w:tcPr>
          <w:p w14:paraId="24306A3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615334FE">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31B4148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7</w:t>
            </w:r>
          </w:p>
        </w:tc>
        <w:tc>
          <w:tcPr>
            <w:tcW w:w="664" w:type="dxa"/>
            <w:vMerge w:val="continue"/>
            <w:tcBorders>
              <w:tl2br w:val="nil"/>
              <w:tr2bl w:val="nil"/>
            </w:tcBorders>
            <w:vAlign w:val="center"/>
          </w:tcPr>
          <w:p w14:paraId="284973A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1F278C88">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数控平板钻床</w:t>
            </w:r>
          </w:p>
        </w:tc>
        <w:tc>
          <w:tcPr>
            <w:tcW w:w="1458" w:type="dxa"/>
            <w:tcBorders>
              <w:tl2br w:val="nil"/>
              <w:tr2bl w:val="nil"/>
            </w:tcBorders>
            <w:vAlign w:val="center"/>
          </w:tcPr>
          <w:p w14:paraId="5DFBC0C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7C7BF82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2E181D7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215.37</w:t>
            </w:r>
          </w:p>
        </w:tc>
        <w:tc>
          <w:tcPr>
            <w:tcW w:w="949" w:type="dxa"/>
            <w:tcBorders>
              <w:tl2br w:val="nil"/>
              <w:tr2bl w:val="nil"/>
            </w:tcBorders>
            <w:vAlign w:val="center"/>
          </w:tcPr>
          <w:p w14:paraId="4291E27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7.23</w:t>
            </w:r>
          </w:p>
        </w:tc>
        <w:tc>
          <w:tcPr>
            <w:tcW w:w="876" w:type="dxa"/>
            <w:tcBorders>
              <w:tl2br w:val="nil"/>
              <w:tr2bl w:val="nil"/>
            </w:tcBorders>
            <w:vAlign w:val="center"/>
          </w:tcPr>
          <w:p w14:paraId="1F5F790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00C7AA90">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0F078D2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64.5</w:t>
            </w:r>
          </w:p>
        </w:tc>
        <w:tc>
          <w:tcPr>
            <w:tcW w:w="952" w:type="dxa"/>
            <w:tcBorders>
              <w:tl2br w:val="nil"/>
              <w:tr2bl w:val="nil"/>
            </w:tcBorders>
            <w:vAlign w:val="center"/>
          </w:tcPr>
          <w:p w14:paraId="7168A0A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32DDAC9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19737936">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44.5</w:t>
            </w:r>
          </w:p>
        </w:tc>
        <w:tc>
          <w:tcPr>
            <w:tcW w:w="866" w:type="dxa"/>
            <w:tcBorders>
              <w:tl2br w:val="nil"/>
              <w:tr2bl w:val="nil"/>
            </w:tcBorders>
            <w:vAlign w:val="center"/>
          </w:tcPr>
          <w:p w14:paraId="1E83396B">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37EEB551">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3FD0A3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8</w:t>
            </w:r>
          </w:p>
        </w:tc>
        <w:tc>
          <w:tcPr>
            <w:tcW w:w="664" w:type="dxa"/>
            <w:vMerge w:val="continue"/>
            <w:tcBorders>
              <w:tl2br w:val="nil"/>
              <w:tr2bl w:val="nil"/>
            </w:tcBorders>
            <w:vAlign w:val="center"/>
          </w:tcPr>
          <w:p w14:paraId="4B438D9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35A429AC">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磁力钻</w:t>
            </w:r>
          </w:p>
        </w:tc>
        <w:tc>
          <w:tcPr>
            <w:tcW w:w="1458" w:type="dxa"/>
            <w:tcBorders>
              <w:tl2br w:val="nil"/>
              <w:tr2bl w:val="nil"/>
            </w:tcBorders>
            <w:vAlign w:val="center"/>
          </w:tcPr>
          <w:p w14:paraId="6ACC020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0320B7C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B6A546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225.34</w:t>
            </w:r>
          </w:p>
        </w:tc>
        <w:tc>
          <w:tcPr>
            <w:tcW w:w="949" w:type="dxa"/>
            <w:tcBorders>
              <w:tl2br w:val="nil"/>
              <w:tr2bl w:val="nil"/>
            </w:tcBorders>
            <w:vAlign w:val="center"/>
          </w:tcPr>
          <w:p w14:paraId="0BA8141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-30.01</w:t>
            </w:r>
          </w:p>
        </w:tc>
        <w:tc>
          <w:tcPr>
            <w:tcW w:w="876" w:type="dxa"/>
            <w:tcBorders>
              <w:tl2br w:val="nil"/>
              <w:tr2bl w:val="nil"/>
            </w:tcBorders>
            <w:vAlign w:val="center"/>
          </w:tcPr>
          <w:p w14:paraId="380B46F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A43C84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75E41F8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59.4</w:t>
            </w:r>
          </w:p>
        </w:tc>
        <w:tc>
          <w:tcPr>
            <w:tcW w:w="952" w:type="dxa"/>
            <w:tcBorders>
              <w:tl2br w:val="nil"/>
              <w:tr2bl w:val="nil"/>
            </w:tcBorders>
            <w:vAlign w:val="center"/>
          </w:tcPr>
          <w:p w14:paraId="7D49E35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7DF820D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A591EAC">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39.4</w:t>
            </w:r>
          </w:p>
        </w:tc>
        <w:tc>
          <w:tcPr>
            <w:tcW w:w="866" w:type="dxa"/>
            <w:tcBorders>
              <w:tl2br w:val="nil"/>
              <w:tr2bl w:val="nil"/>
            </w:tcBorders>
            <w:vAlign w:val="center"/>
          </w:tcPr>
          <w:p w14:paraId="36F2622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58A71A3E">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0867F7E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9</w:t>
            </w:r>
          </w:p>
        </w:tc>
        <w:tc>
          <w:tcPr>
            <w:tcW w:w="664" w:type="dxa"/>
            <w:vMerge w:val="continue"/>
            <w:tcBorders>
              <w:tl2br w:val="nil"/>
              <w:tr2bl w:val="nil"/>
            </w:tcBorders>
            <w:vAlign w:val="center"/>
          </w:tcPr>
          <w:p w14:paraId="6A12640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5D878339">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冲孔机</w:t>
            </w:r>
          </w:p>
        </w:tc>
        <w:tc>
          <w:tcPr>
            <w:tcW w:w="1458" w:type="dxa"/>
            <w:tcBorders>
              <w:tl2br w:val="nil"/>
              <w:tr2bl w:val="nil"/>
            </w:tcBorders>
            <w:vAlign w:val="center"/>
          </w:tcPr>
          <w:p w14:paraId="059C2C1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2A3F139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EA352C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275.22</w:t>
            </w:r>
          </w:p>
        </w:tc>
        <w:tc>
          <w:tcPr>
            <w:tcW w:w="949" w:type="dxa"/>
            <w:tcBorders>
              <w:tl2br w:val="nil"/>
              <w:tr2bl w:val="nil"/>
            </w:tcBorders>
            <w:vAlign w:val="center"/>
          </w:tcPr>
          <w:p w14:paraId="1A69C22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22.52</w:t>
            </w:r>
          </w:p>
        </w:tc>
        <w:tc>
          <w:tcPr>
            <w:tcW w:w="876" w:type="dxa"/>
            <w:tcBorders>
              <w:tl2br w:val="nil"/>
              <w:tr2bl w:val="nil"/>
            </w:tcBorders>
            <w:vAlign w:val="center"/>
          </w:tcPr>
          <w:p w14:paraId="344656E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08A28C0F">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0416894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64.5</w:t>
            </w:r>
          </w:p>
        </w:tc>
        <w:tc>
          <w:tcPr>
            <w:tcW w:w="952" w:type="dxa"/>
            <w:tcBorders>
              <w:tl2br w:val="nil"/>
              <w:tr2bl w:val="nil"/>
            </w:tcBorders>
            <w:vAlign w:val="center"/>
          </w:tcPr>
          <w:p w14:paraId="27FFD16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267776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4E80AADF">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44.5</w:t>
            </w:r>
          </w:p>
        </w:tc>
        <w:tc>
          <w:tcPr>
            <w:tcW w:w="866" w:type="dxa"/>
            <w:tcBorders>
              <w:tl2br w:val="nil"/>
              <w:tr2bl w:val="nil"/>
            </w:tcBorders>
            <w:vAlign w:val="center"/>
          </w:tcPr>
          <w:p w14:paraId="0F91EDFB">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6D6426B">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5E197EC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10</w:t>
            </w:r>
          </w:p>
        </w:tc>
        <w:tc>
          <w:tcPr>
            <w:tcW w:w="664" w:type="dxa"/>
            <w:vMerge w:val="continue"/>
            <w:tcBorders>
              <w:tl2br w:val="nil"/>
              <w:tr2bl w:val="nil"/>
            </w:tcBorders>
            <w:vAlign w:val="center"/>
          </w:tcPr>
          <w:p w14:paraId="00BE632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6B809363">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割圆机</w:t>
            </w:r>
          </w:p>
        </w:tc>
        <w:tc>
          <w:tcPr>
            <w:tcW w:w="1458" w:type="dxa"/>
            <w:tcBorders>
              <w:tl2br w:val="nil"/>
              <w:tr2bl w:val="nil"/>
            </w:tcBorders>
            <w:vAlign w:val="center"/>
          </w:tcPr>
          <w:p w14:paraId="637377F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766990A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0F1217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285.19</w:t>
            </w:r>
          </w:p>
        </w:tc>
        <w:tc>
          <w:tcPr>
            <w:tcW w:w="949" w:type="dxa"/>
            <w:tcBorders>
              <w:tl2br w:val="nil"/>
              <w:tr2bl w:val="nil"/>
            </w:tcBorders>
            <w:vAlign w:val="center"/>
          </w:tcPr>
          <w:p w14:paraId="31645AB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-16.72</w:t>
            </w:r>
          </w:p>
        </w:tc>
        <w:tc>
          <w:tcPr>
            <w:tcW w:w="876" w:type="dxa"/>
            <w:tcBorders>
              <w:tl2br w:val="nil"/>
              <w:tr2bl w:val="nil"/>
            </w:tcBorders>
            <w:vAlign w:val="center"/>
          </w:tcPr>
          <w:p w14:paraId="569F6CB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54819B3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5CD09F5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61.2</w:t>
            </w:r>
          </w:p>
        </w:tc>
        <w:tc>
          <w:tcPr>
            <w:tcW w:w="952" w:type="dxa"/>
            <w:tcBorders>
              <w:tl2br w:val="nil"/>
              <w:tr2bl w:val="nil"/>
            </w:tcBorders>
            <w:vAlign w:val="center"/>
          </w:tcPr>
          <w:p w14:paraId="5C116B1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C0BBA6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6F1513C0">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41.2</w:t>
            </w:r>
          </w:p>
        </w:tc>
        <w:tc>
          <w:tcPr>
            <w:tcW w:w="866" w:type="dxa"/>
            <w:tcBorders>
              <w:tl2br w:val="nil"/>
              <w:tr2bl w:val="nil"/>
            </w:tcBorders>
            <w:vAlign w:val="center"/>
          </w:tcPr>
          <w:p w14:paraId="1A13799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1311E24">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3E5DCF2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8"/>
                <w:sz w:val="21"/>
                <w:szCs w:val="21"/>
                <w:u w:val="single" w:color="auto"/>
              </w:rPr>
              <w:t>11</w:t>
            </w:r>
          </w:p>
        </w:tc>
        <w:tc>
          <w:tcPr>
            <w:tcW w:w="664" w:type="dxa"/>
            <w:vMerge w:val="continue"/>
            <w:tcBorders>
              <w:tl2br w:val="nil"/>
              <w:tr2bl w:val="nil"/>
            </w:tcBorders>
            <w:vAlign w:val="center"/>
          </w:tcPr>
          <w:p w14:paraId="4E8A866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67D28C3A">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剪板机</w:t>
            </w:r>
          </w:p>
        </w:tc>
        <w:tc>
          <w:tcPr>
            <w:tcW w:w="1458" w:type="dxa"/>
            <w:tcBorders>
              <w:tl2br w:val="nil"/>
              <w:tr2bl w:val="nil"/>
            </w:tcBorders>
            <w:vAlign w:val="center"/>
          </w:tcPr>
          <w:p w14:paraId="0F06746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614C3C4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7618A8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335.07</w:t>
            </w:r>
          </w:p>
        </w:tc>
        <w:tc>
          <w:tcPr>
            <w:tcW w:w="949" w:type="dxa"/>
            <w:tcBorders>
              <w:tl2br w:val="nil"/>
              <w:tr2bl w:val="nil"/>
            </w:tcBorders>
            <w:vAlign w:val="center"/>
          </w:tcPr>
          <w:p w14:paraId="5AD711A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37.15</w:t>
            </w:r>
          </w:p>
        </w:tc>
        <w:tc>
          <w:tcPr>
            <w:tcW w:w="876" w:type="dxa"/>
            <w:tcBorders>
              <w:tl2br w:val="nil"/>
              <w:tr2bl w:val="nil"/>
            </w:tcBorders>
            <w:vAlign w:val="center"/>
          </w:tcPr>
          <w:p w14:paraId="42D7370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3ED277F9">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7E024E79">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59.7</w:t>
            </w:r>
          </w:p>
        </w:tc>
        <w:tc>
          <w:tcPr>
            <w:tcW w:w="952" w:type="dxa"/>
            <w:tcBorders>
              <w:tl2br w:val="nil"/>
              <w:tr2bl w:val="nil"/>
            </w:tcBorders>
            <w:vAlign w:val="center"/>
          </w:tcPr>
          <w:p w14:paraId="103EA1C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7ADDABC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2C2F4B89">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39.7</w:t>
            </w:r>
          </w:p>
        </w:tc>
        <w:tc>
          <w:tcPr>
            <w:tcW w:w="866" w:type="dxa"/>
            <w:tcBorders>
              <w:tl2br w:val="nil"/>
              <w:tr2bl w:val="nil"/>
            </w:tcBorders>
            <w:vAlign w:val="center"/>
          </w:tcPr>
          <w:p w14:paraId="524797C0">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21E5AC4E">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6BC0BAA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12</w:t>
            </w:r>
          </w:p>
        </w:tc>
        <w:tc>
          <w:tcPr>
            <w:tcW w:w="664" w:type="dxa"/>
            <w:vMerge w:val="continue"/>
            <w:tcBorders>
              <w:tl2br w:val="nil"/>
              <w:tr2bl w:val="nil"/>
            </w:tcBorders>
            <w:vAlign w:val="center"/>
          </w:tcPr>
          <w:p w14:paraId="79672B9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5B4BD4EF">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联合冲剪机</w:t>
            </w:r>
          </w:p>
        </w:tc>
        <w:tc>
          <w:tcPr>
            <w:tcW w:w="1458" w:type="dxa"/>
            <w:tcBorders>
              <w:tl2br w:val="nil"/>
              <w:tr2bl w:val="nil"/>
            </w:tcBorders>
            <w:vAlign w:val="center"/>
          </w:tcPr>
          <w:p w14:paraId="0989EE6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38D992C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2748E6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345.71</w:t>
            </w:r>
          </w:p>
        </w:tc>
        <w:tc>
          <w:tcPr>
            <w:tcW w:w="949" w:type="dxa"/>
            <w:tcBorders>
              <w:tl2br w:val="nil"/>
              <w:tr2bl w:val="nil"/>
            </w:tcBorders>
            <w:vAlign w:val="center"/>
          </w:tcPr>
          <w:p w14:paraId="7330397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-4.75</w:t>
            </w:r>
          </w:p>
        </w:tc>
        <w:tc>
          <w:tcPr>
            <w:tcW w:w="876" w:type="dxa"/>
            <w:tcBorders>
              <w:tl2br w:val="nil"/>
              <w:tr2bl w:val="nil"/>
            </w:tcBorders>
            <w:vAlign w:val="center"/>
          </w:tcPr>
          <w:p w14:paraId="6E10B01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A79AAE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181BAE5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56.4</w:t>
            </w:r>
          </w:p>
        </w:tc>
        <w:tc>
          <w:tcPr>
            <w:tcW w:w="952" w:type="dxa"/>
            <w:tcBorders>
              <w:tl2br w:val="nil"/>
              <w:tr2bl w:val="nil"/>
            </w:tcBorders>
            <w:vAlign w:val="center"/>
          </w:tcPr>
          <w:p w14:paraId="0C22E5E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73E7FFF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1A70852">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36.4</w:t>
            </w:r>
          </w:p>
        </w:tc>
        <w:tc>
          <w:tcPr>
            <w:tcW w:w="866" w:type="dxa"/>
            <w:tcBorders>
              <w:tl2br w:val="nil"/>
              <w:tr2bl w:val="nil"/>
            </w:tcBorders>
            <w:vAlign w:val="center"/>
          </w:tcPr>
          <w:p w14:paraId="4DE272C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347F2700">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A829B0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13</w:t>
            </w:r>
          </w:p>
        </w:tc>
        <w:tc>
          <w:tcPr>
            <w:tcW w:w="664" w:type="dxa"/>
            <w:vMerge w:val="continue"/>
            <w:tcBorders>
              <w:tl2br w:val="nil"/>
              <w:tr2bl w:val="nil"/>
            </w:tcBorders>
            <w:vAlign w:val="center"/>
          </w:tcPr>
          <w:p w14:paraId="476B517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vAlign w:val="center"/>
          </w:tcPr>
          <w:p w14:paraId="0389DA4F">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龙门吊</w:t>
            </w:r>
          </w:p>
        </w:tc>
        <w:tc>
          <w:tcPr>
            <w:tcW w:w="1458" w:type="dxa"/>
            <w:tcBorders>
              <w:tl2br w:val="nil"/>
              <w:tr2bl w:val="nil"/>
            </w:tcBorders>
            <w:vAlign w:val="center"/>
          </w:tcPr>
          <w:p w14:paraId="6574E6B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772E034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76021C6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378.3</w:t>
            </w:r>
          </w:p>
        </w:tc>
        <w:tc>
          <w:tcPr>
            <w:tcW w:w="949" w:type="dxa"/>
            <w:tcBorders>
              <w:tl2br w:val="nil"/>
              <w:tr2bl w:val="nil"/>
            </w:tcBorders>
            <w:vAlign w:val="center"/>
          </w:tcPr>
          <w:p w14:paraId="172C4AF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48.46</w:t>
            </w:r>
          </w:p>
        </w:tc>
        <w:tc>
          <w:tcPr>
            <w:tcW w:w="876" w:type="dxa"/>
            <w:tcBorders>
              <w:tl2br w:val="nil"/>
              <w:tr2bl w:val="nil"/>
            </w:tcBorders>
            <w:vAlign w:val="center"/>
          </w:tcPr>
          <w:p w14:paraId="599B432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779C062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581F7DA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71.5</w:t>
            </w:r>
          </w:p>
        </w:tc>
        <w:tc>
          <w:tcPr>
            <w:tcW w:w="952" w:type="dxa"/>
            <w:tcBorders>
              <w:tl2br w:val="nil"/>
              <w:tr2bl w:val="nil"/>
            </w:tcBorders>
            <w:vAlign w:val="center"/>
          </w:tcPr>
          <w:p w14:paraId="4C88E70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55BE7A6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19BB895C">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51.5</w:t>
            </w:r>
          </w:p>
        </w:tc>
        <w:tc>
          <w:tcPr>
            <w:tcW w:w="866" w:type="dxa"/>
            <w:tcBorders>
              <w:tl2br w:val="nil"/>
              <w:tr2bl w:val="nil"/>
            </w:tcBorders>
            <w:vAlign w:val="center"/>
          </w:tcPr>
          <w:p w14:paraId="52D1E12A">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2CA00AAB">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0DB783D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ascii="Times New Roman" w:hAnsi="Times New Roman" w:eastAsia="宋体" w:cs="Times New Roman"/>
                <w:color w:val="auto"/>
                <w:spacing w:val="-6"/>
                <w:sz w:val="21"/>
                <w:szCs w:val="21"/>
                <w:u w:val="single" w:color="auto"/>
                <w:lang w:val="en-US" w:eastAsia="zh-CN"/>
              </w:rPr>
            </w:pPr>
            <w:r>
              <w:rPr>
                <w:rFonts w:hint="eastAsia" w:ascii="Times New Roman" w:hAnsi="Times New Roman" w:eastAsia="宋体" w:cs="Times New Roman"/>
                <w:color w:val="auto"/>
                <w:spacing w:val="-6"/>
                <w:sz w:val="21"/>
                <w:szCs w:val="21"/>
                <w:u w:val="single" w:color="auto"/>
                <w:lang w:val="en-US" w:eastAsia="zh-CN"/>
              </w:rPr>
              <w:t>14</w:t>
            </w:r>
          </w:p>
        </w:tc>
        <w:tc>
          <w:tcPr>
            <w:tcW w:w="664" w:type="dxa"/>
            <w:vMerge w:val="restart"/>
            <w:tcBorders>
              <w:tl2br w:val="nil"/>
              <w:tr2bl w:val="nil"/>
            </w:tcBorders>
            <w:vAlign w:val="center"/>
          </w:tcPr>
          <w:p w14:paraId="62EEA49F">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eastAsia="宋体"/>
                <w:color w:val="auto"/>
                <w:sz w:val="21"/>
                <w:szCs w:val="21"/>
                <w:u w:val="single" w:color="auto"/>
                <w:lang w:val="en-US" w:eastAsia="zh-CN"/>
              </w:rPr>
            </w:pPr>
            <w:r>
              <w:rPr>
                <w:rFonts w:hint="eastAsia"/>
                <w:color w:val="auto"/>
                <w:spacing w:val="-8"/>
                <w:sz w:val="21"/>
                <w:szCs w:val="21"/>
                <w:u w:val="single" w:color="auto"/>
                <w:lang w:val="en-US" w:eastAsia="zh-CN"/>
              </w:rPr>
              <w:t>涂装车间</w:t>
            </w:r>
          </w:p>
        </w:tc>
        <w:tc>
          <w:tcPr>
            <w:tcW w:w="1578" w:type="dxa"/>
            <w:tcBorders>
              <w:tl2br w:val="nil"/>
              <w:tr2bl w:val="nil"/>
            </w:tcBorders>
            <w:shd w:val="clear" w:color="auto" w:fill="auto"/>
            <w:vAlign w:val="center"/>
          </w:tcPr>
          <w:p w14:paraId="147FED39">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宋体" w:hAnsi="宋体" w:eastAsia="宋体" w:cs="宋体"/>
                <w:color w:val="auto"/>
                <w:spacing w:val="18"/>
                <w:kern w:val="2"/>
                <w:sz w:val="21"/>
                <w:szCs w:val="21"/>
                <w:u w:val="single" w:color="auto"/>
                <w:lang w:val="en-US" w:eastAsia="en-US" w:bidi="ar-SA"/>
              </w:rPr>
            </w:pPr>
            <w:r>
              <w:rPr>
                <w:rFonts w:ascii="Times New Roman" w:hAnsi="Times New Roman" w:eastAsia="宋体" w:cs="Times New Roman"/>
                <w:color w:val="auto"/>
                <w:szCs w:val="21"/>
                <w:u w:val="single" w:color="auto"/>
              </w:rPr>
              <w:t>型钢抛丸机</w:t>
            </w:r>
          </w:p>
        </w:tc>
        <w:tc>
          <w:tcPr>
            <w:tcW w:w="1458" w:type="dxa"/>
            <w:tcBorders>
              <w:tl2br w:val="nil"/>
              <w:tr2bl w:val="nil"/>
            </w:tcBorders>
            <w:shd w:val="clear" w:color="auto" w:fill="auto"/>
            <w:vAlign w:val="center"/>
          </w:tcPr>
          <w:p w14:paraId="46934CE3">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3"/>
                <w:sz w:val="21"/>
                <w:szCs w:val="21"/>
                <w:u w:val="single" w:color="auto"/>
              </w:rPr>
              <w:t>85/1</w:t>
            </w:r>
          </w:p>
        </w:tc>
        <w:tc>
          <w:tcPr>
            <w:tcW w:w="1379" w:type="dxa"/>
            <w:vMerge w:val="restart"/>
            <w:tcBorders>
              <w:tl2br w:val="nil"/>
              <w:tr2bl w:val="nil"/>
            </w:tcBorders>
            <w:shd w:val="clear" w:color="auto" w:fill="auto"/>
            <w:vAlign w:val="center"/>
          </w:tcPr>
          <w:p w14:paraId="48591DBA">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8"/>
                <w:sz w:val="21"/>
                <w:szCs w:val="21"/>
                <w:u w:val="single" w:color="auto"/>
              </w:rPr>
              <w:t>低噪设备、基础减振</w:t>
            </w:r>
          </w:p>
        </w:tc>
        <w:tc>
          <w:tcPr>
            <w:tcW w:w="801" w:type="dxa"/>
            <w:tcBorders>
              <w:tl2br w:val="nil"/>
              <w:tr2bl w:val="nil"/>
            </w:tcBorders>
            <w:shd w:val="clear" w:color="auto" w:fill="auto"/>
            <w:vAlign w:val="center"/>
          </w:tcPr>
          <w:p w14:paraId="4C3161B3">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1"/>
                <w:sz w:val="21"/>
                <w:szCs w:val="21"/>
                <w:u w:val="single" w:color="auto"/>
              </w:rPr>
              <w:t>390.93</w:t>
            </w:r>
          </w:p>
        </w:tc>
        <w:tc>
          <w:tcPr>
            <w:tcW w:w="949" w:type="dxa"/>
            <w:tcBorders>
              <w:tl2br w:val="nil"/>
              <w:tr2bl w:val="nil"/>
            </w:tcBorders>
            <w:shd w:val="clear" w:color="auto" w:fill="auto"/>
            <w:vAlign w:val="center"/>
          </w:tcPr>
          <w:p w14:paraId="59251509">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2"/>
                <w:sz w:val="21"/>
                <w:szCs w:val="21"/>
                <w:u w:val="single" w:color="auto"/>
              </w:rPr>
              <w:t>5.23</w:t>
            </w:r>
          </w:p>
        </w:tc>
        <w:tc>
          <w:tcPr>
            <w:tcW w:w="876" w:type="dxa"/>
            <w:tcBorders>
              <w:tl2br w:val="nil"/>
              <w:tr2bl w:val="nil"/>
            </w:tcBorders>
            <w:shd w:val="clear" w:color="auto" w:fill="auto"/>
            <w:vAlign w:val="center"/>
          </w:tcPr>
          <w:p w14:paraId="2DF93D20">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shd w:val="clear" w:color="auto" w:fill="auto"/>
            <w:vAlign w:val="center"/>
          </w:tcPr>
          <w:p w14:paraId="793276BA">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shd w:val="clear" w:color="auto" w:fill="auto"/>
            <w:vAlign w:val="center"/>
          </w:tcPr>
          <w:p w14:paraId="2D903AD9">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59.4</w:t>
            </w:r>
          </w:p>
        </w:tc>
        <w:tc>
          <w:tcPr>
            <w:tcW w:w="952" w:type="dxa"/>
            <w:tcBorders>
              <w:tl2br w:val="nil"/>
              <w:tr2bl w:val="nil"/>
            </w:tcBorders>
            <w:shd w:val="clear" w:color="auto" w:fill="auto"/>
            <w:vAlign w:val="center"/>
          </w:tcPr>
          <w:p w14:paraId="3101137D">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shd w:val="clear" w:color="auto" w:fill="auto"/>
            <w:vAlign w:val="center"/>
          </w:tcPr>
          <w:p w14:paraId="5385D225">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shd w:val="clear" w:color="auto" w:fill="auto"/>
            <w:vAlign w:val="center"/>
          </w:tcPr>
          <w:p w14:paraId="73808F6A">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39.4</w:t>
            </w:r>
          </w:p>
        </w:tc>
        <w:tc>
          <w:tcPr>
            <w:tcW w:w="866" w:type="dxa"/>
            <w:tcBorders>
              <w:tl2br w:val="nil"/>
              <w:tr2bl w:val="nil"/>
            </w:tcBorders>
            <w:shd w:val="clear" w:color="auto" w:fill="auto"/>
            <w:vAlign w:val="center"/>
          </w:tcPr>
          <w:p w14:paraId="4D5F650B">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D2A6A1A">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7338A1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ascii="Times New Roman" w:hAnsi="Times New Roman" w:eastAsia="宋体" w:cs="Times New Roman"/>
                <w:color w:val="auto"/>
                <w:spacing w:val="-6"/>
                <w:sz w:val="21"/>
                <w:szCs w:val="21"/>
                <w:u w:val="single" w:color="auto"/>
                <w:lang w:val="en-US" w:eastAsia="zh-CN"/>
              </w:rPr>
            </w:pPr>
            <w:r>
              <w:rPr>
                <w:rFonts w:hint="eastAsia" w:ascii="Times New Roman" w:hAnsi="Times New Roman" w:eastAsia="宋体" w:cs="Times New Roman"/>
                <w:color w:val="auto"/>
                <w:spacing w:val="-6"/>
                <w:sz w:val="21"/>
                <w:szCs w:val="21"/>
                <w:u w:val="single" w:color="auto"/>
                <w:lang w:val="en-US" w:eastAsia="zh-CN"/>
              </w:rPr>
              <w:t>15</w:t>
            </w:r>
          </w:p>
        </w:tc>
        <w:tc>
          <w:tcPr>
            <w:tcW w:w="664" w:type="dxa"/>
            <w:vMerge w:val="continue"/>
            <w:tcBorders>
              <w:tl2br w:val="nil"/>
              <w:tr2bl w:val="nil"/>
            </w:tcBorders>
            <w:vAlign w:val="center"/>
          </w:tcPr>
          <w:p w14:paraId="4D2F493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color w:val="auto"/>
                <w:spacing w:val="-8"/>
                <w:sz w:val="21"/>
                <w:szCs w:val="21"/>
                <w:u w:val="single" w:color="auto"/>
                <w:lang w:val="en-US" w:eastAsia="zh-CN"/>
              </w:rPr>
            </w:pPr>
          </w:p>
        </w:tc>
        <w:tc>
          <w:tcPr>
            <w:tcW w:w="1578" w:type="dxa"/>
            <w:tcBorders>
              <w:tl2br w:val="nil"/>
              <w:tr2bl w:val="nil"/>
            </w:tcBorders>
            <w:shd w:val="clear" w:color="auto" w:fill="auto"/>
            <w:vAlign w:val="center"/>
          </w:tcPr>
          <w:p w14:paraId="5FFF3927">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u w:val="single" w:color="auto"/>
                <w:lang w:val="en-US" w:eastAsia="zh-CN"/>
              </w:rPr>
            </w:pPr>
            <w:r>
              <w:rPr>
                <w:rFonts w:hint="eastAsia" w:ascii="Times New Roman" w:hAnsi="Times New Roman" w:cs="Times New Roman"/>
                <w:color w:val="auto"/>
                <w:szCs w:val="21"/>
                <w:u w:val="single" w:color="auto"/>
                <w:lang w:val="en-US" w:eastAsia="zh-CN"/>
              </w:rPr>
              <w:t>喷砂机</w:t>
            </w:r>
          </w:p>
        </w:tc>
        <w:tc>
          <w:tcPr>
            <w:tcW w:w="1458" w:type="dxa"/>
            <w:tcBorders>
              <w:tl2br w:val="nil"/>
              <w:tr2bl w:val="nil"/>
            </w:tcBorders>
            <w:shd w:val="clear" w:color="auto" w:fill="auto"/>
            <w:vAlign w:val="center"/>
          </w:tcPr>
          <w:p w14:paraId="1ED26C57">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shd w:val="clear" w:color="auto" w:fill="auto"/>
            <w:vAlign w:val="center"/>
          </w:tcPr>
          <w:p w14:paraId="35CEE178">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pacing w:val="-8"/>
                <w:sz w:val="21"/>
                <w:szCs w:val="21"/>
                <w:u w:val="single" w:color="auto"/>
              </w:rPr>
            </w:pPr>
          </w:p>
        </w:tc>
        <w:tc>
          <w:tcPr>
            <w:tcW w:w="801" w:type="dxa"/>
            <w:tcBorders>
              <w:tl2br w:val="nil"/>
              <w:tr2bl w:val="nil"/>
            </w:tcBorders>
            <w:shd w:val="clear" w:color="auto" w:fill="auto"/>
            <w:vAlign w:val="center"/>
          </w:tcPr>
          <w:p w14:paraId="25C13FA1">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1"/>
                <w:sz w:val="21"/>
                <w:szCs w:val="21"/>
                <w:u w:val="single" w:color="auto"/>
              </w:rPr>
            </w:pPr>
            <w:r>
              <w:rPr>
                <w:rFonts w:ascii="Times New Roman" w:hAnsi="Times New Roman" w:eastAsia="Times New Roman" w:cs="Times New Roman"/>
                <w:color w:val="auto"/>
                <w:spacing w:val="-1"/>
                <w:sz w:val="21"/>
                <w:szCs w:val="21"/>
                <w:u w:val="single" w:color="auto"/>
              </w:rPr>
              <w:t>3</w:t>
            </w:r>
            <w:r>
              <w:rPr>
                <w:rFonts w:hint="eastAsia" w:ascii="Times New Roman" w:hAnsi="Times New Roman" w:eastAsia="宋体" w:cs="Times New Roman"/>
                <w:color w:val="auto"/>
                <w:spacing w:val="-1"/>
                <w:sz w:val="21"/>
                <w:szCs w:val="21"/>
                <w:u w:val="single" w:color="auto"/>
                <w:lang w:val="en-US" w:eastAsia="zh-CN"/>
              </w:rPr>
              <w:t>85</w:t>
            </w:r>
            <w:r>
              <w:rPr>
                <w:rFonts w:ascii="Times New Roman" w:hAnsi="Times New Roman" w:eastAsia="Times New Roman" w:cs="Times New Roman"/>
                <w:color w:val="auto"/>
                <w:spacing w:val="-1"/>
                <w:sz w:val="21"/>
                <w:szCs w:val="21"/>
                <w:u w:val="single" w:color="auto"/>
              </w:rPr>
              <w:t>.93</w:t>
            </w:r>
          </w:p>
        </w:tc>
        <w:tc>
          <w:tcPr>
            <w:tcW w:w="949" w:type="dxa"/>
            <w:tcBorders>
              <w:tl2br w:val="nil"/>
              <w:tr2bl w:val="nil"/>
            </w:tcBorders>
            <w:shd w:val="clear" w:color="auto" w:fill="auto"/>
            <w:vAlign w:val="center"/>
          </w:tcPr>
          <w:p w14:paraId="06ECB8F7">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2"/>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4</w:t>
            </w:r>
            <w:r>
              <w:rPr>
                <w:rFonts w:ascii="Times New Roman" w:hAnsi="Times New Roman" w:eastAsia="Times New Roman" w:cs="Times New Roman"/>
                <w:color w:val="auto"/>
                <w:spacing w:val="-2"/>
                <w:sz w:val="21"/>
                <w:szCs w:val="21"/>
                <w:u w:val="single" w:color="auto"/>
              </w:rPr>
              <w:t>.23</w:t>
            </w:r>
          </w:p>
        </w:tc>
        <w:tc>
          <w:tcPr>
            <w:tcW w:w="876" w:type="dxa"/>
            <w:tcBorders>
              <w:tl2br w:val="nil"/>
              <w:tr2bl w:val="nil"/>
            </w:tcBorders>
            <w:shd w:val="clear" w:color="auto" w:fill="auto"/>
            <w:vAlign w:val="center"/>
          </w:tcPr>
          <w:p w14:paraId="36FC6CD5">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5"/>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shd w:val="clear" w:color="auto" w:fill="auto"/>
            <w:vAlign w:val="center"/>
          </w:tcPr>
          <w:p w14:paraId="37ED2EB3">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shd w:val="clear" w:color="auto" w:fill="auto"/>
            <w:vAlign w:val="center"/>
          </w:tcPr>
          <w:p w14:paraId="3BE3282D">
            <w:pPr>
              <w:keepNext w:val="0"/>
              <w:keepLines w:val="0"/>
              <w:widowControl/>
              <w:suppressLineNumbers w:val="0"/>
              <w:jc w:val="center"/>
              <w:textAlignment w:val="center"/>
              <w:rPr>
                <w:rFonts w:ascii="Times New Roman" w:hAnsi="Times New Roman" w:eastAsia="Times New Roman" w:cs="Times New Roman"/>
                <w:color w:val="auto"/>
                <w:spacing w:val="-3"/>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63.4</w:t>
            </w:r>
          </w:p>
        </w:tc>
        <w:tc>
          <w:tcPr>
            <w:tcW w:w="952" w:type="dxa"/>
            <w:tcBorders>
              <w:tl2br w:val="nil"/>
              <w:tr2bl w:val="nil"/>
            </w:tcBorders>
            <w:shd w:val="clear" w:color="auto" w:fill="auto"/>
            <w:vAlign w:val="center"/>
          </w:tcPr>
          <w:p w14:paraId="30D57AEB">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sz w:val="21"/>
                <w:szCs w:val="21"/>
                <w:u w:val="single" w:color="auto"/>
                <w:lang w:val="en-US" w:eastAsia="zh-CN"/>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shd w:val="clear" w:color="auto" w:fill="auto"/>
            <w:vAlign w:val="center"/>
          </w:tcPr>
          <w:p w14:paraId="1B2CCD02">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1"/>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shd w:val="clear" w:color="auto" w:fill="auto"/>
            <w:vAlign w:val="center"/>
          </w:tcPr>
          <w:p w14:paraId="1C182D92">
            <w:pPr>
              <w:keepNext w:val="0"/>
              <w:keepLines w:val="0"/>
              <w:widowControl/>
              <w:suppressLineNumbers w:val="0"/>
              <w:jc w:val="center"/>
              <w:textAlignment w:val="center"/>
              <w:rPr>
                <w:rFonts w:ascii="Times New Roman" w:hAnsi="Times New Roman" w:eastAsia="Times New Roman" w:cs="Times New Roman"/>
                <w:color w:val="auto"/>
                <w:spacing w:val="-2"/>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43.4</w:t>
            </w:r>
          </w:p>
        </w:tc>
        <w:tc>
          <w:tcPr>
            <w:tcW w:w="866" w:type="dxa"/>
            <w:tcBorders>
              <w:tl2br w:val="nil"/>
              <w:tr2bl w:val="nil"/>
            </w:tcBorders>
            <w:shd w:val="clear" w:color="auto" w:fill="auto"/>
            <w:vAlign w:val="center"/>
          </w:tcPr>
          <w:p w14:paraId="074A14E2">
            <w:pPr>
              <w:keepNext w:val="0"/>
              <w:keepLines w:val="0"/>
              <w:widowControl/>
              <w:suppressLineNumbers w:val="0"/>
              <w:jc w:val="center"/>
              <w:textAlignment w:val="center"/>
              <w:rPr>
                <w:rFonts w:ascii="Times New Roman" w:hAnsi="Times New Roman" w:eastAsia="Times New Roman" w:cs="Times New Roman"/>
                <w:color w:val="auto"/>
                <w:spacing w:val="-2"/>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5610F41">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EDB705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eastAsia="zh-CN"/>
              </w:rPr>
            </w:pPr>
            <w:r>
              <w:rPr>
                <w:rFonts w:ascii="Times New Roman" w:hAnsi="Times New Roman" w:eastAsia="Times New Roman" w:cs="Times New Roman"/>
                <w:color w:val="auto"/>
                <w:spacing w:val="-6"/>
                <w:sz w:val="21"/>
                <w:szCs w:val="21"/>
                <w:u w:val="single" w:color="auto"/>
              </w:rPr>
              <w:t>1</w:t>
            </w:r>
            <w:r>
              <w:rPr>
                <w:rFonts w:hint="eastAsia" w:ascii="Times New Roman" w:hAnsi="Times New Roman" w:eastAsia="宋体" w:cs="Times New Roman"/>
                <w:color w:val="auto"/>
                <w:spacing w:val="-6"/>
                <w:sz w:val="21"/>
                <w:szCs w:val="21"/>
                <w:u w:val="single" w:color="auto"/>
                <w:lang w:val="en-US" w:eastAsia="zh-CN"/>
              </w:rPr>
              <w:t>6</w:t>
            </w:r>
          </w:p>
        </w:tc>
        <w:tc>
          <w:tcPr>
            <w:tcW w:w="664" w:type="dxa"/>
            <w:vMerge w:val="continue"/>
            <w:tcBorders>
              <w:tl2br w:val="nil"/>
              <w:tr2bl w:val="nil"/>
            </w:tcBorders>
            <w:vAlign w:val="center"/>
          </w:tcPr>
          <w:p w14:paraId="3E845AF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p>
        </w:tc>
        <w:tc>
          <w:tcPr>
            <w:tcW w:w="1578" w:type="dxa"/>
            <w:tcBorders>
              <w:tl2br w:val="nil"/>
              <w:tr2bl w:val="nil"/>
            </w:tcBorders>
            <w:vAlign w:val="center"/>
          </w:tcPr>
          <w:p w14:paraId="0DCE1607">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18"/>
                <w:sz w:val="21"/>
                <w:szCs w:val="21"/>
                <w:u w:val="single" w:color="auto"/>
              </w:rPr>
              <w:t>空压机</w:t>
            </w:r>
          </w:p>
        </w:tc>
        <w:tc>
          <w:tcPr>
            <w:tcW w:w="1458" w:type="dxa"/>
            <w:tcBorders>
              <w:tl2br w:val="nil"/>
              <w:tr2bl w:val="nil"/>
            </w:tcBorders>
            <w:vAlign w:val="center"/>
          </w:tcPr>
          <w:p w14:paraId="27A4624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4"/>
                <w:sz w:val="21"/>
                <w:szCs w:val="21"/>
                <w:u w:val="single" w:color="auto"/>
              </w:rPr>
              <w:t>105/1</w:t>
            </w:r>
          </w:p>
        </w:tc>
        <w:tc>
          <w:tcPr>
            <w:tcW w:w="1379" w:type="dxa"/>
            <w:vMerge w:val="continue"/>
            <w:tcBorders>
              <w:tl2br w:val="nil"/>
              <w:tr2bl w:val="nil"/>
            </w:tcBorders>
            <w:vAlign w:val="center"/>
          </w:tcPr>
          <w:p w14:paraId="539E458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p>
        </w:tc>
        <w:tc>
          <w:tcPr>
            <w:tcW w:w="801" w:type="dxa"/>
            <w:tcBorders>
              <w:tl2br w:val="nil"/>
              <w:tr2bl w:val="nil"/>
            </w:tcBorders>
            <w:vAlign w:val="center"/>
          </w:tcPr>
          <w:p w14:paraId="461A7E7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-2.77</w:t>
            </w:r>
          </w:p>
        </w:tc>
        <w:tc>
          <w:tcPr>
            <w:tcW w:w="949" w:type="dxa"/>
            <w:tcBorders>
              <w:tl2br w:val="nil"/>
              <w:tr2bl w:val="nil"/>
            </w:tcBorders>
            <w:vAlign w:val="center"/>
          </w:tcPr>
          <w:p w14:paraId="3CCFC2D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90.17</w:t>
            </w:r>
          </w:p>
        </w:tc>
        <w:tc>
          <w:tcPr>
            <w:tcW w:w="876" w:type="dxa"/>
            <w:tcBorders>
              <w:tl2br w:val="nil"/>
              <w:tr2bl w:val="nil"/>
            </w:tcBorders>
            <w:vAlign w:val="center"/>
          </w:tcPr>
          <w:p w14:paraId="360F003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63EDBA1">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995" w:type="dxa"/>
            <w:tcBorders>
              <w:tl2br w:val="nil"/>
              <w:tr2bl w:val="nil"/>
            </w:tcBorders>
            <w:vAlign w:val="center"/>
          </w:tcPr>
          <w:p w14:paraId="7F9A3ED1">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95</w:t>
            </w:r>
          </w:p>
        </w:tc>
        <w:tc>
          <w:tcPr>
            <w:tcW w:w="952" w:type="dxa"/>
            <w:tcBorders>
              <w:tl2br w:val="nil"/>
              <w:tr2bl w:val="nil"/>
            </w:tcBorders>
            <w:vAlign w:val="center"/>
          </w:tcPr>
          <w:p w14:paraId="2AAF1FD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594744A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2CBDCAD4">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75</w:t>
            </w:r>
          </w:p>
        </w:tc>
        <w:tc>
          <w:tcPr>
            <w:tcW w:w="866" w:type="dxa"/>
            <w:tcBorders>
              <w:tl2br w:val="nil"/>
              <w:tr2bl w:val="nil"/>
            </w:tcBorders>
            <w:vAlign w:val="center"/>
          </w:tcPr>
          <w:p w14:paraId="7E2E097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bl>
    <w:p w14:paraId="24898C91">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p>
    <w:p w14:paraId="75D6A5C7">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p>
    <w:p w14:paraId="7B23ACC0">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p>
    <w:p w14:paraId="79A4C673">
      <w:pPr>
        <w:spacing w:line="88" w:lineRule="exact"/>
        <w:rPr>
          <w:color w:val="auto"/>
          <w:u w:val="none" w:color="auto"/>
        </w:rPr>
      </w:pPr>
    </w:p>
    <w:p w14:paraId="0DE4464D">
      <w:pPr>
        <w:snapToGrid w:val="0"/>
        <w:spacing w:line="360" w:lineRule="auto"/>
        <w:ind w:firstLine="480" w:firstLineChars="200"/>
        <w:rPr>
          <w:rFonts w:ascii="Times New Roman" w:hAnsi="Times New Roman" w:eastAsia="宋体" w:cs="Times New Roman"/>
          <w:color w:val="auto"/>
          <w:sz w:val="24"/>
          <w:szCs w:val="24"/>
          <w:u w:val="none" w:color="auto"/>
        </w:rPr>
      </w:pPr>
    </w:p>
    <w:p w14:paraId="3BA0ED3F">
      <w:pPr>
        <w:snapToGrid w:val="0"/>
        <w:spacing w:line="360" w:lineRule="auto"/>
        <w:ind w:firstLine="480" w:firstLineChars="200"/>
        <w:rPr>
          <w:rFonts w:ascii="Times New Roman" w:hAnsi="Times New Roman" w:eastAsia="宋体" w:cs="Times New Roman"/>
          <w:color w:val="auto"/>
          <w:sz w:val="24"/>
          <w:szCs w:val="24"/>
          <w:u w:val="none" w:color="auto"/>
        </w:rPr>
      </w:pPr>
    </w:p>
    <w:p w14:paraId="215DC733">
      <w:pPr>
        <w:snapToGrid w:val="0"/>
        <w:spacing w:line="360" w:lineRule="auto"/>
        <w:ind w:firstLine="480" w:firstLineChars="200"/>
        <w:rPr>
          <w:rFonts w:ascii="Times New Roman" w:hAnsi="Times New Roman" w:eastAsia="宋体" w:cs="Times New Roman"/>
          <w:color w:val="auto"/>
          <w:sz w:val="24"/>
          <w:szCs w:val="24"/>
          <w:u w:val="none" w:color="auto"/>
        </w:rPr>
      </w:pPr>
    </w:p>
    <w:p w14:paraId="18295F8D">
      <w:pPr>
        <w:snapToGrid w:val="0"/>
        <w:spacing w:line="360" w:lineRule="auto"/>
        <w:ind w:firstLine="480" w:firstLineChars="200"/>
        <w:rPr>
          <w:rFonts w:ascii="Times New Roman" w:hAnsi="Times New Roman" w:eastAsia="宋体" w:cs="Times New Roman"/>
          <w:color w:val="auto"/>
          <w:sz w:val="24"/>
          <w:szCs w:val="24"/>
          <w:u w:val="none" w:color="auto"/>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docGrid w:type="lines" w:linePitch="319" w:charSpace="0"/>
        </w:sectPr>
      </w:pPr>
    </w:p>
    <w:p w14:paraId="0C25BABD">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（4）固体废物</w:t>
      </w:r>
    </w:p>
    <w:p w14:paraId="1FFFDE27">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本项目营运期产生的</w:t>
      </w:r>
      <w:r>
        <w:rPr>
          <w:rFonts w:hint="eastAsia" w:ascii="Times New Roman" w:hAnsi="Times New Roman" w:eastAsia="宋体" w:cs="Times New Roman"/>
          <w:color w:val="auto"/>
          <w:sz w:val="24"/>
          <w:szCs w:val="24"/>
          <w:u w:val="none" w:color="auto"/>
        </w:rPr>
        <w:t>固体废物</w:t>
      </w:r>
      <w:r>
        <w:rPr>
          <w:rFonts w:ascii="Times New Roman" w:hAnsi="Times New Roman" w:eastAsia="宋体" w:cs="Times New Roman"/>
          <w:color w:val="auto"/>
          <w:sz w:val="24"/>
          <w:szCs w:val="24"/>
          <w:u w:val="none" w:color="auto"/>
        </w:rPr>
        <w:t>主要是切割下脚料、净化器除尘灰、</w:t>
      </w:r>
      <w:r>
        <w:rPr>
          <w:rFonts w:hint="eastAsia" w:ascii="Times New Roman" w:hAnsi="Times New Roman" w:eastAsia="宋体" w:cs="Times New Roman"/>
          <w:color w:val="auto"/>
          <w:sz w:val="24"/>
          <w:szCs w:val="24"/>
          <w:u w:val="none" w:color="auto"/>
        </w:rPr>
        <w:t>滤筒除尘灰、</w:t>
      </w:r>
      <w:r>
        <w:rPr>
          <w:rFonts w:ascii="Times New Roman" w:hAnsi="Times New Roman" w:eastAsia="宋体" w:cs="Times New Roman"/>
          <w:color w:val="auto"/>
          <w:sz w:val="24"/>
          <w:szCs w:val="24"/>
          <w:u w:val="none" w:color="auto"/>
        </w:rPr>
        <w:t>废焊条焊渣、废钢丸、</w:t>
      </w:r>
      <w:r>
        <w:rPr>
          <w:rFonts w:hint="eastAsia" w:ascii="Times New Roman" w:hAnsi="Times New Roman" w:eastAsia="宋体" w:cs="Times New Roman"/>
          <w:color w:val="auto"/>
          <w:sz w:val="24"/>
          <w:szCs w:val="24"/>
          <w:u w:val="none" w:color="auto"/>
        </w:rPr>
        <w:t>沉降粉尘、</w:t>
      </w:r>
      <w:r>
        <w:rPr>
          <w:rFonts w:ascii="Times New Roman" w:hAnsi="Times New Roman" w:eastAsia="宋体" w:cs="Times New Roman"/>
          <w:color w:val="auto"/>
          <w:sz w:val="24"/>
          <w:szCs w:val="24"/>
          <w:u w:val="none" w:color="auto"/>
        </w:rPr>
        <w:t>废过滤棉、废活性炭、</w:t>
      </w:r>
      <w:r>
        <w:rPr>
          <w:rFonts w:hint="eastAsia" w:ascii="Times New Roman" w:hAnsi="Times New Roman" w:eastAsia="宋体" w:cs="Times New Roman"/>
          <w:color w:val="auto"/>
          <w:sz w:val="24"/>
          <w:szCs w:val="24"/>
          <w:u w:val="none" w:color="auto"/>
        </w:rPr>
        <w:t>废催化剂、</w:t>
      </w:r>
      <w:r>
        <w:rPr>
          <w:rFonts w:ascii="Times New Roman" w:hAnsi="Times New Roman" w:eastAsia="宋体" w:cs="Times New Roman"/>
          <w:color w:val="auto"/>
          <w:sz w:val="24"/>
          <w:szCs w:val="24"/>
          <w:u w:val="none" w:color="auto"/>
        </w:rPr>
        <w:t>废油漆桶、</w:t>
      </w:r>
      <w:r>
        <w:rPr>
          <w:rFonts w:hint="eastAsia" w:ascii="Times New Roman" w:hAnsi="Times New Roman" w:eastAsia="宋体" w:cs="Times New Roman"/>
          <w:color w:val="auto"/>
          <w:sz w:val="24"/>
          <w:szCs w:val="24"/>
          <w:u w:val="none" w:color="auto"/>
        </w:rPr>
        <w:t>废稀释剂、</w:t>
      </w:r>
      <w:r>
        <w:rPr>
          <w:rFonts w:ascii="Times New Roman" w:hAnsi="Times New Roman" w:eastAsia="宋体" w:cs="Times New Roman"/>
          <w:color w:val="auto"/>
          <w:sz w:val="24"/>
          <w:szCs w:val="24"/>
          <w:u w:val="none" w:color="auto"/>
        </w:rPr>
        <w:t>废润滑油、废含油抹布及生活垃圾等。</w:t>
      </w:r>
    </w:p>
    <w:p w14:paraId="3C46583D">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一般固废</w:t>
      </w:r>
    </w:p>
    <w:p w14:paraId="2B35DCF5">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①</w:t>
      </w:r>
      <w:r>
        <w:rPr>
          <w:rFonts w:ascii="Times New Roman" w:hAnsi="Times New Roman" w:eastAsia="宋体" w:cs="Times New Roman"/>
          <w:color w:val="auto"/>
          <w:sz w:val="24"/>
          <w:szCs w:val="24"/>
          <w:u w:val="none" w:color="auto"/>
        </w:rPr>
        <w:t>切割下脚料</w:t>
      </w:r>
      <w:r>
        <w:rPr>
          <w:rFonts w:hint="eastAsia" w:ascii="Times New Roman" w:hAnsi="Times New Roman" w:eastAsia="宋体" w:cs="Times New Roman"/>
          <w:color w:val="auto"/>
          <w:sz w:val="24"/>
          <w:szCs w:val="24"/>
          <w:u w:val="none" w:color="auto"/>
        </w:rPr>
        <w:t>S1</w:t>
      </w:r>
    </w:p>
    <w:p w14:paraId="435D4A65">
      <w:pPr>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本项目切割及机加工过程会产生边角料及金属碎屑，根据建设单位提供的数据，本项目钢材使用量为</w:t>
      </w:r>
      <w:r>
        <w:rPr>
          <w:rFonts w:hint="default" w:ascii="Times New Roman" w:hAnsi="Times New Roman" w:eastAsia="宋体" w:cs="Times New Roman"/>
          <w:color w:val="auto"/>
          <w:sz w:val="24"/>
          <w:szCs w:val="24"/>
          <w:u w:val="none" w:color="auto"/>
          <w:lang w:eastAsia="zh-CN"/>
        </w:rPr>
        <w:t>162500</w:t>
      </w:r>
      <w:r>
        <w:rPr>
          <w:rFonts w:hint="default" w:ascii="Times New Roman" w:hAnsi="Times New Roman" w:eastAsia="宋体" w:cs="Times New Roman"/>
          <w:color w:val="auto"/>
          <w:sz w:val="24"/>
          <w:szCs w:val="24"/>
          <w:u w:val="none" w:color="auto"/>
        </w:rPr>
        <w:t>t/a，产生量约为0.8%钢材，故本项目切割下脚料产生量约为</w:t>
      </w:r>
      <w:r>
        <w:rPr>
          <w:rFonts w:hint="eastAsia" w:ascii="Times New Roman" w:hAnsi="Times New Roman" w:eastAsia="宋体" w:cs="Times New Roman"/>
          <w:color w:val="auto"/>
          <w:sz w:val="24"/>
          <w:szCs w:val="24"/>
          <w:u w:val="none" w:color="auto"/>
          <w:lang w:val="en-US" w:eastAsia="zh-CN"/>
        </w:rPr>
        <w:t>1300</w:t>
      </w:r>
      <w:r>
        <w:rPr>
          <w:rFonts w:hint="default" w:ascii="Times New Roman" w:hAnsi="Times New Roman" w:eastAsia="宋体" w:cs="Times New Roman"/>
          <w:color w:val="auto"/>
          <w:sz w:val="24"/>
          <w:szCs w:val="24"/>
          <w:u w:val="none" w:color="auto"/>
        </w:rPr>
        <w:t>t/a，属于一般固废，属于《固体废物分类与代码目录》（生态环境部2024年4号）中的“SW</w:t>
      </w:r>
      <w:r>
        <w:rPr>
          <w:rFonts w:hint="default" w:ascii="Times New Roman" w:hAnsi="Times New Roman" w:eastAsia="宋体" w:cs="Times New Roman"/>
          <w:color w:val="auto"/>
          <w:sz w:val="24"/>
          <w:szCs w:val="24"/>
          <w:u w:val="none" w:color="auto"/>
          <w:lang w:val="en-US" w:eastAsia="zh-CN"/>
        </w:rPr>
        <w:t>17可再生类废物</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非特定行业</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废钢铁</w:t>
      </w:r>
      <w:r>
        <w:rPr>
          <w:rFonts w:hint="default" w:ascii="Times New Roman" w:hAnsi="Times New Roman" w:eastAsia="宋体" w:cs="Times New Roman"/>
          <w:color w:val="auto"/>
          <w:sz w:val="24"/>
          <w:szCs w:val="24"/>
          <w:u w:val="none" w:color="auto"/>
        </w:rPr>
        <w:t>，废物代码</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900</w:t>
      </w:r>
      <w:r>
        <w:rPr>
          <w:rFonts w:hint="default" w:ascii="Times New Roman" w:hAnsi="Times New Roman" w:eastAsia="宋体" w:cs="Times New Roman"/>
          <w:color w:val="auto"/>
          <w:sz w:val="24"/>
          <w:szCs w:val="24"/>
          <w:u w:val="none" w:color="auto"/>
        </w:rPr>
        <w:t>-00</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rPr>
        <w:t>-S</w:t>
      </w:r>
      <w:r>
        <w:rPr>
          <w:rFonts w:hint="default" w:ascii="Times New Roman" w:hAnsi="Times New Roman" w:eastAsia="宋体" w:cs="Times New Roman"/>
          <w:color w:val="auto"/>
          <w:sz w:val="24"/>
          <w:szCs w:val="24"/>
          <w:u w:val="none" w:color="auto"/>
          <w:lang w:val="en-US" w:eastAsia="zh-CN"/>
        </w:rPr>
        <w:t>17</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集中收集在一般固废暂存间，定期外售。</w:t>
      </w:r>
    </w:p>
    <w:p w14:paraId="0956A986">
      <w:pPr>
        <w:snapToGrid w:val="0"/>
        <w:spacing w:line="360" w:lineRule="auto"/>
        <w:ind w:left="63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②</w:t>
      </w:r>
      <w:r>
        <w:rPr>
          <w:rFonts w:ascii="Times New Roman" w:hAnsi="Times New Roman" w:eastAsia="宋体" w:cs="Times New Roman"/>
          <w:color w:val="auto"/>
          <w:sz w:val="24"/>
          <w:szCs w:val="24"/>
          <w:u w:val="single" w:color="auto"/>
        </w:rPr>
        <w:t>净化器除尘灰</w:t>
      </w:r>
      <w:r>
        <w:rPr>
          <w:rFonts w:hint="eastAsia" w:ascii="Times New Roman" w:hAnsi="Times New Roman" w:eastAsia="宋体" w:cs="Times New Roman"/>
          <w:color w:val="auto"/>
          <w:sz w:val="24"/>
          <w:szCs w:val="24"/>
          <w:u w:val="single" w:color="auto"/>
        </w:rPr>
        <w:t>S2</w:t>
      </w:r>
    </w:p>
    <w:p w14:paraId="51FA202A">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根据本项目烟(粉)尘净化器，本项目净化器收集的除尘灰为</w:t>
      </w:r>
      <w:r>
        <w:rPr>
          <w:rFonts w:hint="eastAsia" w:ascii="Times New Roman" w:hAnsi="Times New Roman" w:eastAsia="宋体" w:cs="Times New Roman"/>
          <w:color w:val="auto"/>
          <w:sz w:val="24"/>
          <w:szCs w:val="24"/>
          <w:u w:val="single" w:color="auto"/>
          <w:lang w:val="en-US" w:eastAsia="zh-CN"/>
        </w:rPr>
        <w:t>70.402</w:t>
      </w:r>
      <w:r>
        <w:rPr>
          <w:rFonts w:ascii="Times New Roman" w:hAnsi="Times New Roman" w:eastAsia="宋体" w:cs="Times New Roman"/>
          <w:color w:val="auto"/>
          <w:sz w:val="24"/>
          <w:szCs w:val="24"/>
          <w:u w:val="single" w:color="auto"/>
        </w:rPr>
        <w:t>t/a，为铁粉，属于一般固废，</w:t>
      </w:r>
      <w:r>
        <w:rPr>
          <w:rFonts w:hint="default" w:ascii="Times New Roman" w:hAnsi="Times New Roman" w:eastAsia="宋体" w:cs="Times New Roman"/>
          <w:color w:val="auto"/>
          <w:sz w:val="24"/>
          <w:szCs w:val="24"/>
          <w:u w:val="single" w:color="auto"/>
        </w:rPr>
        <w:t>属于《固体废物分类与代码目录》（生态环境部2024年4号）中的“SW</w:t>
      </w:r>
      <w:r>
        <w:rPr>
          <w:rFonts w:hint="default" w:ascii="Times New Roman" w:hAnsi="Times New Roman" w:eastAsia="宋体" w:cs="Times New Roman"/>
          <w:color w:val="auto"/>
          <w:sz w:val="24"/>
          <w:szCs w:val="24"/>
          <w:u w:val="single" w:color="auto"/>
          <w:lang w:val="en-US" w:eastAsia="zh-CN"/>
        </w:rPr>
        <w:t>17可再生类废物</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非特定行业</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废钢铁</w:t>
      </w:r>
      <w:r>
        <w:rPr>
          <w:rFonts w:hint="default" w:ascii="Times New Roman" w:hAnsi="Times New Roman" w:eastAsia="宋体" w:cs="Times New Roman"/>
          <w:color w:val="auto"/>
          <w:sz w:val="24"/>
          <w:szCs w:val="24"/>
          <w:u w:val="single" w:color="auto"/>
        </w:rPr>
        <w:t>，废物代码</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900</w:t>
      </w:r>
      <w:r>
        <w:rPr>
          <w:rFonts w:hint="default" w:ascii="Times New Roman" w:hAnsi="Times New Roman" w:eastAsia="宋体" w:cs="Times New Roman"/>
          <w:color w:val="auto"/>
          <w:sz w:val="24"/>
          <w:szCs w:val="24"/>
          <w:u w:val="single" w:color="auto"/>
        </w:rPr>
        <w:t>-00</w:t>
      </w:r>
      <w:r>
        <w:rPr>
          <w:rFonts w:hint="default" w:ascii="Times New Roman" w:hAnsi="Times New Roman" w:eastAsia="宋体" w:cs="Times New Roman"/>
          <w:color w:val="auto"/>
          <w:sz w:val="24"/>
          <w:szCs w:val="24"/>
          <w:u w:val="single" w:color="auto"/>
          <w:lang w:val="en-US" w:eastAsia="zh-CN"/>
        </w:rPr>
        <w:t>1</w:t>
      </w:r>
      <w:r>
        <w:rPr>
          <w:rFonts w:hint="default" w:ascii="Times New Roman" w:hAnsi="Times New Roman" w:eastAsia="宋体" w:cs="Times New Roman"/>
          <w:color w:val="auto"/>
          <w:sz w:val="24"/>
          <w:szCs w:val="24"/>
          <w:u w:val="single" w:color="auto"/>
        </w:rPr>
        <w:t>-S</w:t>
      </w:r>
      <w:r>
        <w:rPr>
          <w:rFonts w:hint="default" w:ascii="Times New Roman" w:hAnsi="Times New Roman" w:eastAsia="宋体" w:cs="Times New Roman"/>
          <w:color w:val="auto"/>
          <w:sz w:val="24"/>
          <w:szCs w:val="24"/>
          <w:u w:val="single" w:color="auto"/>
          <w:lang w:val="en-US" w:eastAsia="zh-CN"/>
        </w:rPr>
        <w:t>17</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w:t>
      </w:r>
      <w:r>
        <w:rPr>
          <w:rFonts w:ascii="Times New Roman" w:hAnsi="Times New Roman" w:eastAsia="宋体" w:cs="Times New Roman"/>
          <w:color w:val="auto"/>
          <w:sz w:val="24"/>
          <w:szCs w:val="24"/>
          <w:u w:val="single" w:color="auto"/>
        </w:rPr>
        <w:t>集中收集在一般固废暂存间，定期外售。</w:t>
      </w:r>
    </w:p>
    <w:p w14:paraId="06FB9499">
      <w:pPr>
        <w:snapToGrid w:val="0"/>
        <w:spacing w:line="360" w:lineRule="auto"/>
        <w:ind w:left="63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③滤筒</w:t>
      </w:r>
      <w:r>
        <w:rPr>
          <w:rFonts w:ascii="Times New Roman" w:hAnsi="Times New Roman" w:eastAsia="宋体" w:cs="Times New Roman"/>
          <w:color w:val="auto"/>
          <w:sz w:val="24"/>
          <w:szCs w:val="24"/>
          <w:u w:val="single" w:color="auto"/>
        </w:rPr>
        <w:t>除尘灰</w:t>
      </w:r>
      <w:r>
        <w:rPr>
          <w:rFonts w:hint="eastAsia" w:ascii="Times New Roman" w:hAnsi="Times New Roman" w:eastAsia="宋体" w:cs="Times New Roman"/>
          <w:color w:val="auto"/>
          <w:sz w:val="24"/>
          <w:szCs w:val="24"/>
          <w:u w:val="single" w:color="auto"/>
        </w:rPr>
        <w:t>S3</w:t>
      </w:r>
    </w:p>
    <w:p w14:paraId="450EBE04">
      <w:pPr>
        <w:snapToGrid w:val="0"/>
        <w:spacing w:line="360" w:lineRule="auto"/>
        <w:ind w:firstLine="480" w:firstLineChars="200"/>
        <w:rPr>
          <w:color w:val="auto"/>
          <w:u w:val="single" w:color="auto"/>
        </w:rPr>
      </w:pPr>
      <w:r>
        <w:rPr>
          <w:rFonts w:ascii="Times New Roman" w:hAnsi="Times New Roman" w:eastAsia="宋体" w:cs="Times New Roman"/>
          <w:color w:val="auto"/>
          <w:sz w:val="24"/>
          <w:szCs w:val="24"/>
          <w:u w:val="single" w:color="auto"/>
        </w:rPr>
        <w:t>根据本项目</w:t>
      </w:r>
      <w:r>
        <w:rPr>
          <w:rFonts w:hint="eastAsia" w:ascii="Times New Roman" w:hAnsi="Times New Roman" w:eastAsia="宋体" w:cs="Times New Roman"/>
          <w:color w:val="auto"/>
          <w:sz w:val="24"/>
          <w:szCs w:val="24"/>
          <w:u w:val="single" w:color="auto"/>
        </w:rPr>
        <w:t>滤筒</w:t>
      </w:r>
      <w:r>
        <w:rPr>
          <w:rFonts w:ascii="Times New Roman" w:hAnsi="Times New Roman" w:eastAsia="宋体" w:cs="Times New Roman"/>
          <w:color w:val="auto"/>
          <w:sz w:val="24"/>
          <w:szCs w:val="24"/>
          <w:u w:val="single" w:color="auto"/>
        </w:rPr>
        <w:t>的净化效率，本项目</w:t>
      </w:r>
      <w:r>
        <w:rPr>
          <w:rFonts w:hint="eastAsia" w:ascii="Times New Roman" w:hAnsi="Times New Roman" w:eastAsia="宋体" w:cs="Times New Roman"/>
          <w:color w:val="auto"/>
          <w:sz w:val="24"/>
          <w:szCs w:val="24"/>
          <w:u w:val="single" w:color="auto"/>
        </w:rPr>
        <w:t>滤筒</w:t>
      </w:r>
      <w:r>
        <w:rPr>
          <w:rFonts w:ascii="Times New Roman" w:hAnsi="Times New Roman" w:eastAsia="宋体" w:cs="Times New Roman"/>
          <w:color w:val="auto"/>
          <w:sz w:val="24"/>
          <w:szCs w:val="24"/>
          <w:u w:val="single" w:color="auto"/>
        </w:rPr>
        <w:t>收集的除尘灰为</w:t>
      </w:r>
      <w:r>
        <w:rPr>
          <w:rFonts w:hint="eastAsia" w:ascii="Times New Roman" w:hAnsi="Times New Roman" w:eastAsia="宋体" w:cs="Times New Roman"/>
          <w:color w:val="auto"/>
          <w:sz w:val="24"/>
          <w:szCs w:val="24"/>
          <w:u w:val="single" w:color="auto"/>
          <w:lang w:val="en-US" w:eastAsia="zh-CN"/>
        </w:rPr>
        <w:t>224.064</w:t>
      </w:r>
      <w:r>
        <w:rPr>
          <w:rFonts w:ascii="Times New Roman" w:hAnsi="Times New Roman" w:eastAsia="宋体" w:cs="Times New Roman"/>
          <w:color w:val="auto"/>
          <w:sz w:val="24"/>
          <w:szCs w:val="24"/>
          <w:u w:val="single" w:color="auto"/>
        </w:rPr>
        <w:t>t/a，为铁粉，属于一般固废，</w:t>
      </w:r>
      <w:r>
        <w:rPr>
          <w:rFonts w:hint="default" w:ascii="Times New Roman" w:hAnsi="Times New Roman" w:eastAsia="宋体" w:cs="Times New Roman"/>
          <w:color w:val="auto"/>
          <w:sz w:val="24"/>
          <w:szCs w:val="24"/>
          <w:u w:val="single" w:color="auto"/>
        </w:rPr>
        <w:t>属于《固体废物分类与代码目录》（生态环境部2024年4号）中的“SW</w:t>
      </w:r>
      <w:r>
        <w:rPr>
          <w:rFonts w:hint="default" w:ascii="Times New Roman" w:hAnsi="Times New Roman" w:eastAsia="宋体" w:cs="Times New Roman"/>
          <w:color w:val="auto"/>
          <w:sz w:val="24"/>
          <w:szCs w:val="24"/>
          <w:u w:val="single" w:color="auto"/>
          <w:lang w:val="en-US" w:eastAsia="zh-CN"/>
        </w:rPr>
        <w:t>17可再生类废物</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非特定行业</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废钢铁</w:t>
      </w:r>
      <w:r>
        <w:rPr>
          <w:rFonts w:hint="default" w:ascii="Times New Roman" w:hAnsi="Times New Roman" w:eastAsia="宋体" w:cs="Times New Roman"/>
          <w:color w:val="auto"/>
          <w:sz w:val="24"/>
          <w:szCs w:val="24"/>
          <w:u w:val="single" w:color="auto"/>
        </w:rPr>
        <w:t>，废物代码</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900</w:t>
      </w:r>
      <w:r>
        <w:rPr>
          <w:rFonts w:hint="default" w:ascii="Times New Roman" w:hAnsi="Times New Roman" w:eastAsia="宋体" w:cs="Times New Roman"/>
          <w:color w:val="auto"/>
          <w:sz w:val="24"/>
          <w:szCs w:val="24"/>
          <w:u w:val="single" w:color="auto"/>
        </w:rPr>
        <w:t>-00</w:t>
      </w:r>
      <w:r>
        <w:rPr>
          <w:rFonts w:hint="default" w:ascii="Times New Roman" w:hAnsi="Times New Roman" w:eastAsia="宋体" w:cs="Times New Roman"/>
          <w:color w:val="auto"/>
          <w:sz w:val="24"/>
          <w:szCs w:val="24"/>
          <w:u w:val="single" w:color="auto"/>
          <w:lang w:val="en-US" w:eastAsia="zh-CN"/>
        </w:rPr>
        <w:t>1</w:t>
      </w:r>
      <w:r>
        <w:rPr>
          <w:rFonts w:hint="default" w:ascii="Times New Roman" w:hAnsi="Times New Roman" w:eastAsia="宋体" w:cs="Times New Roman"/>
          <w:color w:val="auto"/>
          <w:sz w:val="24"/>
          <w:szCs w:val="24"/>
          <w:u w:val="single" w:color="auto"/>
        </w:rPr>
        <w:t>-S</w:t>
      </w:r>
      <w:r>
        <w:rPr>
          <w:rFonts w:hint="default" w:ascii="Times New Roman" w:hAnsi="Times New Roman" w:eastAsia="宋体" w:cs="Times New Roman"/>
          <w:color w:val="auto"/>
          <w:sz w:val="24"/>
          <w:szCs w:val="24"/>
          <w:u w:val="single" w:color="auto"/>
          <w:lang w:val="en-US" w:eastAsia="zh-CN"/>
        </w:rPr>
        <w:t>17</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w:t>
      </w:r>
      <w:r>
        <w:rPr>
          <w:rFonts w:ascii="Times New Roman" w:hAnsi="Times New Roman" w:eastAsia="宋体" w:cs="Times New Roman"/>
          <w:color w:val="auto"/>
          <w:sz w:val="24"/>
          <w:szCs w:val="24"/>
          <w:u w:val="single" w:color="auto"/>
        </w:rPr>
        <w:t>集中收集在一般固废暂存间，定期外售。</w:t>
      </w:r>
    </w:p>
    <w:p w14:paraId="05FBCA13">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④</w:t>
      </w:r>
      <w:r>
        <w:rPr>
          <w:rFonts w:ascii="Times New Roman" w:hAnsi="Times New Roman" w:eastAsia="宋体" w:cs="Times New Roman"/>
          <w:color w:val="auto"/>
          <w:sz w:val="24"/>
          <w:szCs w:val="24"/>
          <w:u w:val="none" w:color="auto"/>
        </w:rPr>
        <w:t>废焊条焊渣</w:t>
      </w:r>
      <w:r>
        <w:rPr>
          <w:rFonts w:hint="eastAsia" w:ascii="Times New Roman" w:hAnsi="Times New Roman" w:eastAsia="宋体" w:cs="Times New Roman"/>
          <w:color w:val="auto"/>
          <w:sz w:val="24"/>
          <w:szCs w:val="24"/>
          <w:u w:val="none" w:color="auto"/>
        </w:rPr>
        <w:t>S4</w:t>
      </w:r>
    </w:p>
    <w:p w14:paraId="4AF78C2F">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根据《机加工行业环境影响评价中常见污染物源强估算及治理技术》（许海萍、刘琳、任婷婷、戴岩、李海波等人编制），废焊条焊渣产生量=焊条使用量×（1/11+4%），本项目焊条用量为2</w:t>
      </w:r>
      <w:r>
        <w:rPr>
          <w:rFonts w:hint="eastAsia" w:ascii="Times New Roman" w:hAnsi="Times New Roman" w:eastAsia="宋体" w:cs="Times New Roman"/>
          <w:color w:val="auto"/>
          <w:sz w:val="24"/>
          <w:szCs w:val="24"/>
          <w:u w:val="none" w:color="auto"/>
        </w:rPr>
        <w:t>7</w:t>
      </w:r>
      <w:r>
        <w:rPr>
          <w:rFonts w:ascii="Times New Roman" w:hAnsi="Times New Roman" w:eastAsia="宋体" w:cs="Times New Roman"/>
          <w:color w:val="auto"/>
          <w:sz w:val="24"/>
          <w:szCs w:val="24"/>
          <w:u w:val="none" w:color="auto"/>
        </w:rPr>
        <w:t>0t/a，则本项目废焊条焊渣产生量为</w:t>
      </w:r>
      <w:r>
        <w:rPr>
          <w:rFonts w:hint="eastAsia" w:ascii="Times New Roman" w:hAnsi="Times New Roman" w:eastAsia="宋体" w:cs="Times New Roman"/>
          <w:color w:val="auto"/>
          <w:sz w:val="24"/>
          <w:szCs w:val="24"/>
          <w:u w:val="none" w:color="auto"/>
        </w:rPr>
        <w:t>35.35</w:t>
      </w:r>
      <w:r>
        <w:rPr>
          <w:rFonts w:ascii="Times New Roman" w:hAnsi="Times New Roman" w:eastAsia="宋体" w:cs="Times New Roman"/>
          <w:color w:val="auto"/>
          <w:sz w:val="24"/>
          <w:szCs w:val="24"/>
          <w:u w:val="none" w:color="auto"/>
        </w:rPr>
        <w:t>t/a，属于一般固废，</w:t>
      </w:r>
      <w:r>
        <w:rPr>
          <w:rFonts w:hint="default" w:ascii="Times New Roman" w:hAnsi="Times New Roman" w:eastAsia="宋体" w:cs="Times New Roman"/>
          <w:color w:val="auto"/>
          <w:sz w:val="24"/>
          <w:szCs w:val="24"/>
          <w:u w:val="none" w:color="auto"/>
        </w:rPr>
        <w:t>属于《固体废物分类与代码目录》（生态环境部2024年4号）中的“SW</w:t>
      </w:r>
      <w:r>
        <w:rPr>
          <w:rFonts w:hint="default" w:ascii="Times New Roman" w:hAnsi="Times New Roman" w:eastAsia="宋体" w:cs="Times New Roman"/>
          <w:color w:val="auto"/>
          <w:sz w:val="24"/>
          <w:szCs w:val="24"/>
          <w:u w:val="none" w:color="auto"/>
          <w:lang w:val="en-US" w:eastAsia="zh-CN"/>
        </w:rPr>
        <w:t>17可再生类废物</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非特定行业</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其他可再生类废物</w:t>
      </w:r>
      <w:r>
        <w:rPr>
          <w:rFonts w:hint="default" w:ascii="Times New Roman" w:hAnsi="Times New Roman" w:eastAsia="宋体" w:cs="Times New Roman"/>
          <w:color w:val="auto"/>
          <w:sz w:val="24"/>
          <w:szCs w:val="24"/>
          <w:u w:val="none" w:color="auto"/>
        </w:rPr>
        <w:t>，废物代码</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900</w:t>
      </w:r>
      <w:r>
        <w:rPr>
          <w:rFonts w:hint="default" w:ascii="Times New Roman" w:hAnsi="Times New Roman" w:eastAsia="宋体" w:cs="Times New Roman"/>
          <w:color w:val="auto"/>
          <w:sz w:val="24"/>
          <w:szCs w:val="24"/>
          <w:u w:val="none" w:color="auto"/>
        </w:rPr>
        <w:t>-0</w:t>
      </w:r>
      <w:r>
        <w:rPr>
          <w:rFonts w:hint="eastAsia" w:ascii="Times New Roman" w:hAnsi="Times New Roman" w:eastAsia="宋体" w:cs="Times New Roman"/>
          <w:color w:val="auto"/>
          <w:sz w:val="24"/>
          <w:szCs w:val="24"/>
          <w:u w:val="none" w:color="auto"/>
          <w:lang w:val="en-US" w:eastAsia="zh-CN"/>
        </w:rPr>
        <w:t>99</w:t>
      </w:r>
      <w:r>
        <w:rPr>
          <w:rFonts w:hint="default" w:ascii="Times New Roman" w:hAnsi="Times New Roman" w:eastAsia="宋体" w:cs="Times New Roman"/>
          <w:color w:val="auto"/>
          <w:sz w:val="24"/>
          <w:szCs w:val="24"/>
          <w:u w:val="none" w:color="auto"/>
        </w:rPr>
        <w:t>-S</w:t>
      </w:r>
      <w:r>
        <w:rPr>
          <w:rFonts w:hint="default" w:ascii="Times New Roman" w:hAnsi="Times New Roman" w:eastAsia="宋体" w:cs="Times New Roman"/>
          <w:color w:val="auto"/>
          <w:sz w:val="24"/>
          <w:szCs w:val="24"/>
          <w:u w:val="none" w:color="auto"/>
          <w:lang w:val="en-US" w:eastAsia="zh-CN"/>
        </w:rPr>
        <w:t>17</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ascii="Times New Roman" w:hAnsi="Times New Roman" w:eastAsia="宋体" w:cs="Times New Roman"/>
          <w:color w:val="auto"/>
          <w:sz w:val="24"/>
          <w:szCs w:val="24"/>
          <w:u w:val="none" w:color="auto"/>
        </w:rPr>
        <w:t>集中收集在一般固废暂存间，定期外售。</w:t>
      </w:r>
    </w:p>
    <w:p w14:paraId="29F67EED">
      <w:pPr>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⑤</w:t>
      </w:r>
      <w:r>
        <w:rPr>
          <w:rFonts w:ascii="Times New Roman" w:hAnsi="Times New Roman" w:eastAsia="宋体" w:cs="Times New Roman"/>
          <w:color w:val="auto"/>
          <w:sz w:val="24"/>
          <w:szCs w:val="24"/>
          <w:u w:val="none" w:color="auto"/>
        </w:rPr>
        <w:t>废钢丸</w:t>
      </w:r>
      <w:r>
        <w:rPr>
          <w:rFonts w:hint="eastAsia" w:ascii="Times New Roman" w:hAnsi="Times New Roman" w:eastAsia="宋体" w:cs="Times New Roman"/>
          <w:color w:val="auto"/>
          <w:sz w:val="24"/>
          <w:szCs w:val="24"/>
          <w:u w:val="none" w:color="auto"/>
        </w:rPr>
        <w:t>S5</w:t>
      </w:r>
    </w:p>
    <w:p w14:paraId="496A4DB4">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本项目抛丸过程中钢丸粒径不断变小，粒径变为原来的一半时即不能再使用，从而变成废钢丸，则本项目废钢丸的产生量为</w:t>
      </w:r>
      <w:r>
        <w:rPr>
          <w:rFonts w:hint="eastAsia" w:ascii="Times New Roman" w:hAnsi="Times New Roman" w:eastAsia="宋体" w:cs="Times New Roman"/>
          <w:color w:val="auto"/>
          <w:sz w:val="24"/>
          <w:szCs w:val="24"/>
          <w:u w:val="none" w:color="auto"/>
        </w:rPr>
        <w:t>500</w:t>
      </w:r>
      <w:r>
        <w:rPr>
          <w:rFonts w:ascii="Times New Roman" w:hAnsi="Times New Roman" w:eastAsia="宋体" w:cs="Times New Roman"/>
          <w:color w:val="auto"/>
          <w:sz w:val="24"/>
          <w:szCs w:val="24"/>
          <w:u w:val="none" w:color="auto"/>
        </w:rPr>
        <w:t>t/a，属于一般固废，</w:t>
      </w:r>
      <w:r>
        <w:rPr>
          <w:rFonts w:hint="default" w:ascii="Times New Roman" w:hAnsi="Times New Roman" w:eastAsia="宋体" w:cs="Times New Roman"/>
          <w:color w:val="auto"/>
          <w:sz w:val="24"/>
          <w:szCs w:val="24"/>
          <w:u w:val="none" w:color="auto"/>
        </w:rPr>
        <w:t>属于《固体废物分类与代码目录》（生态环境部2024年4号）中的“SW</w:t>
      </w:r>
      <w:r>
        <w:rPr>
          <w:rFonts w:hint="default" w:ascii="Times New Roman" w:hAnsi="Times New Roman" w:eastAsia="宋体" w:cs="Times New Roman"/>
          <w:color w:val="auto"/>
          <w:sz w:val="24"/>
          <w:szCs w:val="24"/>
          <w:u w:val="none" w:color="auto"/>
          <w:lang w:val="en-US" w:eastAsia="zh-CN"/>
        </w:rPr>
        <w:t>17可再生类废物</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非特定行业</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废钢铁</w:t>
      </w:r>
      <w:r>
        <w:rPr>
          <w:rFonts w:hint="default" w:ascii="Times New Roman" w:hAnsi="Times New Roman" w:eastAsia="宋体" w:cs="Times New Roman"/>
          <w:color w:val="auto"/>
          <w:sz w:val="24"/>
          <w:szCs w:val="24"/>
          <w:u w:val="none" w:color="auto"/>
        </w:rPr>
        <w:t>，废物代码</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900</w:t>
      </w:r>
      <w:r>
        <w:rPr>
          <w:rFonts w:hint="default" w:ascii="Times New Roman" w:hAnsi="Times New Roman" w:eastAsia="宋体" w:cs="Times New Roman"/>
          <w:color w:val="auto"/>
          <w:sz w:val="24"/>
          <w:szCs w:val="24"/>
          <w:u w:val="none" w:color="auto"/>
        </w:rPr>
        <w:t>-00</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rPr>
        <w:t>-S</w:t>
      </w:r>
      <w:r>
        <w:rPr>
          <w:rFonts w:hint="default" w:ascii="Times New Roman" w:hAnsi="Times New Roman" w:eastAsia="宋体" w:cs="Times New Roman"/>
          <w:color w:val="auto"/>
          <w:sz w:val="24"/>
          <w:szCs w:val="24"/>
          <w:u w:val="none" w:color="auto"/>
          <w:lang w:val="en-US" w:eastAsia="zh-CN"/>
        </w:rPr>
        <w:t>17</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ascii="Times New Roman" w:hAnsi="Times New Roman" w:eastAsia="宋体" w:cs="Times New Roman"/>
          <w:color w:val="auto"/>
          <w:sz w:val="24"/>
          <w:szCs w:val="24"/>
          <w:u w:val="none" w:color="auto"/>
        </w:rPr>
        <w:t>集中收集在一般固废暂存间，定期外售。</w:t>
      </w:r>
    </w:p>
    <w:p w14:paraId="748DE323">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⑦沉降粉尘S</w:t>
      </w:r>
      <w:r>
        <w:rPr>
          <w:rFonts w:hint="eastAsia" w:ascii="Times New Roman" w:hAnsi="Times New Roman" w:eastAsia="宋体" w:cs="Times New Roman"/>
          <w:color w:val="auto"/>
          <w:sz w:val="24"/>
          <w:szCs w:val="24"/>
          <w:u w:val="single" w:color="auto"/>
          <w:lang w:val="en-US" w:eastAsia="zh-CN"/>
        </w:rPr>
        <w:t>6</w:t>
      </w:r>
    </w:p>
    <w:p w14:paraId="120FFEFD">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项目金属粉由于密度较大，会自然沉降，根据前面核算，沉降量为</w:t>
      </w:r>
      <w:r>
        <w:rPr>
          <w:rFonts w:hint="eastAsia" w:ascii="Times New Roman" w:hAnsi="Times New Roman" w:eastAsia="宋体" w:cs="Times New Roman"/>
          <w:color w:val="auto"/>
          <w:sz w:val="24"/>
          <w:szCs w:val="24"/>
          <w:u w:val="single" w:color="auto"/>
          <w:lang w:val="en-US" w:eastAsia="zh-CN"/>
        </w:rPr>
        <w:t>176.426</w:t>
      </w:r>
      <w:r>
        <w:rPr>
          <w:rFonts w:hint="eastAsia" w:ascii="Times New Roman" w:hAnsi="Times New Roman" w:eastAsia="宋体" w:cs="Times New Roman"/>
          <w:color w:val="auto"/>
          <w:sz w:val="24"/>
          <w:szCs w:val="24"/>
          <w:u w:val="single" w:color="auto"/>
        </w:rPr>
        <w:t>t/a，</w:t>
      </w:r>
      <w:r>
        <w:rPr>
          <w:rFonts w:hint="default" w:ascii="Times New Roman" w:hAnsi="Times New Roman" w:eastAsia="宋体" w:cs="Times New Roman"/>
          <w:color w:val="auto"/>
          <w:sz w:val="24"/>
          <w:szCs w:val="24"/>
          <w:u w:val="single" w:color="auto"/>
        </w:rPr>
        <w:t>属于《固体废物分类与代码目录》（生态环境部2024年4号）中的“SW</w:t>
      </w:r>
      <w:r>
        <w:rPr>
          <w:rFonts w:hint="default" w:ascii="Times New Roman" w:hAnsi="Times New Roman" w:eastAsia="宋体" w:cs="Times New Roman"/>
          <w:color w:val="auto"/>
          <w:sz w:val="24"/>
          <w:szCs w:val="24"/>
          <w:u w:val="single" w:color="auto"/>
          <w:lang w:val="en-US" w:eastAsia="zh-CN"/>
        </w:rPr>
        <w:t>17可再生类废物</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非特定行业</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color w:val="auto"/>
          <w:sz w:val="24"/>
          <w:szCs w:val="24"/>
          <w:u w:val="single" w:color="auto"/>
          <w:lang w:val="en-US" w:eastAsia="zh-CN"/>
        </w:rPr>
        <w:t>废钢铁</w:t>
      </w:r>
      <w:r>
        <w:rPr>
          <w:rFonts w:hint="default" w:ascii="Times New Roman" w:hAnsi="Times New Roman" w:eastAsia="宋体" w:cs="Times New Roman"/>
          <w:color w:val="auto"/>
          <w:sz w:val="24"/>
          <w:szCs w:val="24"/>
          <w:u w:val="single" w:color="auto"/>
        </w:rPr>
        <w:t>，废物代码</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900</w:t>
      </w:r>
      <w:r>
        <w:rPr>
          <w:rFonts w:hint="default" w:ascii="Times New Roman" w:hAnsi="Times New Roman" w:eastAsia="宋体" w:cs="Times New Roman"/>
          <w:color w:val="auto"/>
          <w:sz w:val="24"/>
          <w:szCs w:val="24"/>
          <w:u w:val="single" w:color="auto"/>
        </w:rPr>
        <w:t>-00</w:t>
      </w:r>
      <w:r>
        <w:rPr>
          <w:rFonts w:hint="default" w:ascii="Times New Roman" w:hAnsi="Times New Roman" w:eastAsia="宋体" w:cs="Times New Roman"/>
          <w:color w:val="auto"/>
          <w:sz w:val="24"/>
          <w:szCs w:val="24"/>
          <w:u w:val="single" w:color="auto"/>
          <w:lang w:val="en-US" w:eastAsia="zh-CN"/>
        </w:rPr>
        <w:t>1</w:t>
      </w:r>
      <w:r>
        <w:rPr>
          <w:rFonts w:hint="default" w:ascii="Times New Roman" w:hAnsi="Times New Roman" w:eastAsia="宋体" w:cs="Times New Roman"/>
          <w:color w:val="auto"/>
          <w:sz w:val="24"/>
          <w:szCs w:val="24"/>
          <w:u w:val="single" w:color="auto"/>
        </w:rPr>
        <w:t>-S</w:t>
      </w:r>
      <w:r>
        <w:rPr>
          <w:rFonts w:hint="default" w:ascii="Times New Roman" w:hAnsi="Times New Roman" w:eastAsia="宋体" w:cs="Times New Roman"/>
          <w:color w:val="auto"/>
          <w:sz w:val="24"/>
          <w:szCs w:val="24"/>
          <w:u w:val="single" w:color="auto"/>
          <w:lang w:val="en-US" w:eastAsia="zh-CN"/>
        </w:rPr>
        <w:t>17</w:t>
      </w:r>
      <w:r>
        <w:rPr>
          <w:rFonts w:hint="default"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lang w:val="en-US" w:eastAsia="zh-CN"/>
        </w:rPr>
        <w:t>，</w:t>
      </w:r>
      <w:r>
        <w:rPr>
          <w:rFonts w:hint="eastAsia" w:ascii="Times New Roman" w:hAnsi="Times New Roman" w:eastAsia="宋体" w:cs="Times New Roman"/>
          <w:color w:val="auto"/>
          <w:sz w:val="24"/>
          <w:szCs w:val="24"/>
          <w:u w:val="single" w:color="auto"/>
        </w:rPr>
        <w:t>集中收集到一般固废堆场后外售。</w:t>
      </w:r>
    </w:p>
    <w:p w14:paraId="1108493F">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2）</w:t>
      </w:r>
      <w:r>
        <w:rPr>
          <w:rFonts w:ascii="Times New Roman" w:hAnsi="Times New Roman" w:eastAsia="宋体" w:cs="Times New Roman"/>
          <w:color w:val="auto"/>
          <w:sz w:val="24"/>
          <w:szCs w:val="24"/>
          <w:u w:val="single" w:color="auto"/>
        </w:rPr>
        <w:t>危险</w:t>
      </w:r>
      <w:r>
        <w:rPr>
          <w:rFonts w:hint="eastAsia" w:ascii="Times New Roman" w:hAnsi="Times New Roman" w:eastAsia="宋体" w:cs="Times New Roman"/>
          <w:color w:val="auto"/>
          <w:sz w:val="24"/>
          <w:szCs w:val="24"/>
          <w:u w:val="single" w:color="auto"/>
        </w:rPr>
        <w:t>废物</w:t>
      </w:r>
    </w:p>
    <w:p w14:paraId="1E053B97">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①</w:t>
      </w:r>
      <w:r>
        <w:rPr>
          <w:rFonts w:ascii="Times New Roman" w:hAnsi="Times New Roman" w:eastAsia="宋体" w:cs="Times New Roman"/>
          <w:color w:val="auto"/>
          <w:sz w:val="24"/>
          <w:szCs w:val="24"/>
          <w:u w:val="single" w:color="auto"/>
        </w:rPr>
        <w:t>废过滤棉</w:t>
      </w:r>
      <w:r>
        <w:rPr>
          <w:rFonts w:hint="eastAsia" w:ascii="Times New Roman" w:hAnsi="Times New Roman" w:eastAsia="宋体" w:cs="Times New Roman"/>
          <w:color w:val="auto"/>
          <w:sz w:val="24"/>
          <w:szCs w:val="24"/>
          <w:u w:val="single" w:color="auto"/>
        </w:rPr>
        <w:t>S</w:t>
      </w:r>
      <w:r>
        <w:rPr>
          <w:rFonts w:hint="eastAsia" w:ascii="Times New Roman" w:hAnsi="Times New Roman" w:eastAsia="宋体" w:cs="Times New Roman"/>
          <w:color w:val="auto"/>
          <w:sz w:val="24"/>
          <w:szCs w:val="24"/>
          <w:u w:val="single" w:color="auto"/>
          <w:lang w:val="en-US" w:eastAsia="zh-CN"/>
        </w:rPr>
        <w:t>7</w:t>
      </w:r>
    </w:p>
    <w:p w14:paraId="2B6F464D">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根据《漆雾高效干式净化法的关键</w:t>
      </w:r>
      <w:r>
        <w:rPr>
          <w:rFonts w:hint="default"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过滤材料》文中同类型过滤棉数据，本项目过滤棉的容尘量取</w:t>
      </w:r>
      <w:r>
        <w:rPr>
          <w:rFonts w:hint="default" w:ascii="Times New Roman" w:hAnsi="Times New Roman" w:eastAsia="宋体" w:cs="Times New Roman"/>
          <w:color w:val="auto"/>
          <w:sz w:val="24"/>
          <w:szCs w:val="24"/>
          <w:u w:val="single" w:color="auto"/>
        </w:rPr>
        <w:t>4.5kg/m</w:t>
      </w:r>
      <w:r>
        <w:rPr>
          <w:rFonts w:hint="default" w:ascii="Times New Roman" w:hAnsi="Times New Roman" w:eastAsia="宋体" w:cs="Times New Roman"/>
          <w:color w:val="auto"/>
          <w:sz w:val="24"/>
          <w:szCs w:val="24"/>
          <w:u w:val="single" w:color="auto"/>
          <w:vertAlign w:val="superscript"/>
        </w:rPr>
        <w:t>2</w:t>
      </w:r>
      <w:r>
        <w:rPr>
          <w:rFonts w:hint="eastAsia" w:ascii="Times New Roman" w:hAnsi="Times New Roman" w:eastAsia="宋体" w:cs="Times New Roman"/>
          <w:color w:val="auto"/>
          <w:sz w:val="24"/>
          <w:szCs w:val="24"/>
          <w:u w:val="single" w:color="auto"/>
        </w:rPr>
        <w:t>，过滤棉重量计算取</w:t>
      </w:r>
      <w:r>
        <w:rPr>
          <w:rFonts w:hint="default" w:ascii="Times New Roman" w:hAnsi="Times New Roman" w:eastAsia="宋体" w:cs="Times New Roman"/>
          <w:color w:val="auto"/>
          <w:sz w:val="24"/>
          <w:szCs w:val="24"/>
          <w:u w:val="single" w:color="auto"/>
        </w:rPr>
        <w:t>500g/m</w:t>
      </w:r>
      <w:r>
        <w:rPr>
          <w:rFonts w:hint="default" w:ascii="Times New Roman" w:hAnsi="Times New Roman" w:eastAsia="宋体" w:cs="Times New Roman"/>
          <w:color w:val="auto"/>
          <w:sz w:val="24"/>
          <w:szCs w:val="24"/>
          <w:u w:val="single" w:color="auto"/>
          <w:vertAlign w:val="superscript"/>
        </w:rPr>
        <w:t>2</w:t>
      </w:r>
      <w:r>
        <w:rPr>
          <w:rFonts w:hint="eastAsia" w:ascii="Times New Roman" w:hAnsi="Times New Roman" w:eastAsia="宋体" w:cs="Times New Roman"/>
          <w:color w:val="auto"/>
          <w:sz w:val="24"/>
          <w:szCs w:val="24"/>
          <w:u w:val="single" w:color="auto"/>
        </w:rPr>
        <w:t>。项目喷涂车间漆雾吸附量为</w:t>
      </w:r>
      <w:r>
        <w:rPr>
          <w:rFonts w:hint="eastAsia" w:ascii="Times New Roman" w:hAnsi="Times New Roman" w:eastAsia="宋体" w:cs="Times New Roman"/>
          <w:color w:val="auto"/>
          <w:sz w:val="24"/>
          <w:szCs w:val="24"/>
          <w:u w:val="single" w:color="auto"/>
          <w:lang w:val="en-US" w:eastAsia="zh-CN"/>
        </w:rPr>
        <w:t>52.646</w:t>
      </w:r>
      <w:r>
        <w:rPr>
          <w:rFonts w:hint="default"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，则过滤棉的吸附面积为</w:t>
      </w:r>
      <w:r>
        <w:rPr>
          <w:rFonts w:hint="eastAsia" w:ascii="Times New Roman" w:hAnsi="Times New Roman" w:eastAsia="宋体" w:cs="Times New Roman"/>
          <w:color w:val="auto"/>
          <w:sz w:val="24"/>
          <w:szCs w:val="24"/>
          <w:u w:val="single" w:color="auto"/>
          <w:lang w:val="en-US" w:eastAsia="zh-CN"/>
        </w:rPr>
        <w:t>11699.111</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lang w:val="en-US" w:eastAsia="zh-CN"/>
        </w:rPr>
        <w:t>2</w:t>
      </w:r>
      <w:r>
        <w:rPr>
          <w:rFonts w:hint="eastAsia" w:ascii="Times New Roman" w:hAnsi="Times New Roman" w:eastAsia="宋体" w:cs="Times New Roman"/>
          <w:color w:val="auto"/>
          <w:sz w:val="24"/>
          <w:szCs w:val="24"/>
          <w:u w:val="single" w:color="auto"/>
        </w:rPr>
        <w:t>，因此，项目</w:t>
      </w:r>
      <w:r>
        <w:rPr>
          <w:rFonts w:hint="eastAsia" w:ascii="Times New Roman" w:hAnsi="Times New Roman" w:eastAsia="宋体" w:cs="Times New Roman"/>
          <w:color w:val="auto"/>
          <w:sz w:val="24"/>
          <w:szCs w:val="24"/>
          <w:u w:val="single" w:color="auto"/>
          <w:lang w:val="en-US" w:eastAsia="zh-CN"/>
        </w:rPr>
        <w:t>废</w:t>
      </w:r>
      <w:r>
        <w:rPr>
          <w:rFonts w:hint="eastAsia" w:ascii="Times New Roman" w:hAnsi="Times New Roman" w:eastAsia="宋体" w:cs="Times New Roman"/>
          <w:color w:val="auto"/>
          <w:sz w:val="24"/>
          <w:szCs w:val="24"/>
          <w:u w:val="single" w:color="auto"/>
        </w:rPr>
        <w:t>过滤棉的年</w:t>
      </w:r>
      <w:r>
        <w:rPr>
          <w:rFonts w:hint="eastAsia" w:ascii="Times New Roman" w:hAnsi="Times New Roman" w:eastAsia="宋体" w:cs="Times New Roman"/>
          <w:color w:val="auto"/>
          <w:sz w:val="24"/>
          <w:szCs w:val="24"/>
          <w:u w:val="single" w:color="auto"/>
          <w:lang w:val="en-US" w:eastAsia="zh-CN"/>
        </w:rPr>
        <w:t>产生</w:t>
      </w:r>
      <w:r>
        <w:rPr>
          <w:rFonts w:hint="eastAsia" w:ascii="Times New Roman" w:hAnsi="Times New Roman" w:eastAsia="宋体" w:cs="Times New Roman"/>
          <w:color w:val="auto"/>
          <w:sz w:val="24"/>
          <w:szCs w:val="24"/>
          <w:u w:val="single" w:color="auto"/>
        </w:rPr>
        <w:t>量约</w:t>
      </w:r>
      <w:r>
        <w:rPr>
          <w:rFonts w:hint="eastAsia" w:ascii="Times New Roman" w:hAnsi="Times New Roman" w:eastAsia="宋体" w:cs="Times New Roman"/>
          <w:color w:val="auto"/>
          <w:sz w:val="24"/>
          <w:szCs w:val="24"/>
          <w:u w:val="single" w:color="auto"/>
          <w:lang w:val="en-US" w:eastAsia="zh-CN"/>
        </w:rPr>
        <w:t>58.496</w:t>
      </w:r>
      <w:r>
        <w:rPr>
          <w:rFonts w:hint="default"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w:t>
      </w:r>
      <w:r>
        <w:rPr>
          <w:rFonts w:ascii="Times New Roman" w:hAnsi="Times New Roman" w:eastAsia="宋体" w:cs="Times New Roman"/>
          <w:color w:val="auto"/>
          <w:sz w:val="24"/>
          <w:szCs w:val="24"/>
          <w:u w:val="single" w:color="auto"/>
        </w:rPr>
        <w:t>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，废过滤棉属于危险废物，类别HW49，代码900-041-49。集中收集在危废暂存间专用容器中，定期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7BC7BD98">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②</w:t>
      </w:r>
      <w:r>
        <w:rPr>
          <w:rFonts w:ascii="Times New Roman" w:hAnsi="Times New Roman" w:eastAsia="宋体" w:cs="Times New Roman"/>
          <w:color w:val="auto"/>
          <w:sz w:val="24"/>
          <w:szCs w:val="24"/>
          <w:u w:val="single" w:color="auto"/>
        </w:rPr>
        <w:t>废活性炭</w:t>
      </w:r>
      <w:r>
        <w:rPr>
          <w:rFonts w:hint="eastAsia" w:ascii="Times New Roman" w:hAnsi="Times New Roman" w:eastAsia="宋体" w:cs="Times New Roman"/>
          <w:color w:val="auto"/>
          <w:sz w:val="24"/>
          <w:szCs w:val="24"/>
          <w:u w:val="single" w:color="auto"/>
        </w:rPr>
        <w:t>S</w:t>
      </w:r>
      <w:r>
        <w:rPr>
          <w:rFonts w:hint="eastAsia" w:ascii="Times New Roman" w:hAnsi="Times New Roman" w:eastAsia="宋体" w:cs="Times New Roman"/>
          <w:color w:val="auto"/>
          <w:sz w:val="24"/>
          <w:szCs w:val="24"/>
          <w:u w:val="single" w:color="auto"/>
          <w:lang w:val="en-US" w:eastAsia="zh-CN"/>
        </w:rPr>
        <w:t>8</w:t>
      </w:r>
    </w:p>
    <w:p w14:paraId="22BD7A53">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本项目采用活性炭吸附装置对VOCs进行处理</w:t>
      </w:r>
      <w:r>
        <w:rPr>
          <w:rFonts w:hint="eastAsia" w:ascii="Times New Roman" w:hAnsi="Times New Roman" w:eastAsia="宋体" w:cs="Times New Roman"/>
          <w:color w:val="auto"/>
          <w:sz w:val="24"/>
          <w:szCs w:val="24"/>
          <w:u w:val="single" w:color="auto"/>
        </w:rPr>
        <w:t>和在线脱附，每个活性炭吸附装置填充量为11.11m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，活性炭密度取500kg/m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，则每个活性炭吸附装置填充量为5.555t。项目活性炭装置更换频次为</w:t>
      </w:r>
      <w:r>
        <w:rPr>
          <w:rFonts w:hint="eastAsia" w:ascii="Times New Roman" w:hAnsi="Times New Roman" w:eastAsia="宋体" w:cs="Times New Roman"/>
          <w:color w:val="auto"/>
          <w:sz w:val="24"/>
          <w:szCs w:val="24"/>
          <w:u w:val="single" w:color="auto"/>
          <w:lang w:val="en-US" w:eastAsia="zh-CN"/>
        </w:rPr>
        <w:t>每两</w:t>
      </w:r>
      <w:r>
        <w:rPr>
          <w:rFonts w:hint="eastAsia" w:ascii="Times New Roman" w:hAnsi="Times New Roman" w:eastAsia="宋体" w:cs="Times New Roman"/>
          <w:color w:val="auto"/>
          <w:sz w:val="24"/>
          <w:szCs w:val="24"/>
          <w:u w:val="single" w:color="auto"/>
        </w:rPr>
        <w:t>年一次，每</w:t>
      </w:r>
      <w:r>
        <w:rPr>
          <w:rFonts w:hint="eastAsia" w:ascii="Times New Roman" w:hAnsi="Times New Roman" w:eastAsia="宋体" w:cs="Times New Roman"/>
          <w:color w:val="auto"/>
          <w:sz w:val="24"/>
          <w:szCs w:val="24"/>
          <w:u w:val="single" w:color="auto"/>
          <w:lang w:val="en-US" w:eastAsia="zh-CN"/>
        </w:rPr>
        <w:t>年</w:t>
      </w:r>
      <w:r>
        <w:rPr>
          <w:rFonts w:hint="eastAsia" w:ascii="Times New Roman" w:hAnsi="Times New Roman" w:eastAsia="宋体" w:cs="Times New Roman"/>
          <w:color w:val="auto"/>
          <w:sz w:val="24"/>
          <w:szCs w:val="24"/>
          <w:u w:val="single" w:color="auto"/>
        </w:rPr>
        <w:t>产生量约为</w:t>
      </w:r>
      <w:r>
        <w:rPr>
          <w:rFonts w:hint="eastAsia" w:ascii="Times New Roman" w:hAnsi="Times New Roman" w:eastAsia="宋体" w:cs="Times New Roman"/>
          <w:color w:val="auto"/>
          <w:sz w:val="24"/>
          <w:szCs w:val="24"/>
          <w:u w:val="single" w:color="auto"/>
          <w:lang w:val="en-US" w:eastAsia="zh-CN"/>
        </w:rPr>
        <w:t>2.778</w:t>
      </w:r>
      <w:r>
        <w:rPr>
          <w:rFonts w:hint="eastAsia" w:ascii="Times New Roman" w:hAnsi="Times New Roman" w:eastAsia="宋体" w:cs="Times New Roman"/>
          <w:color w:val="auto"/>
          <w:sz w:val="24"/>
          <w:szCs w:val="24"/>
          <w:u w:val="single" w:color="auto"/>
        </w:rPr>
        <w:t>t</w:t>
      </w:r>
      <w:r>
        <w:rPr>
          <w:rFonts w:ascii="Times New Roman" w:hAnsi="Times New Roman" w:eastAsia="宋体" w:cs="Times New Roman"/>
          <w:color w:val="auto"/>
          <w:sz w:val="24"/>
          <w:szCs w:val="24"/>
          <w:u w:val="single" w:color="auto"/>
        </w:rPr>
        <w:t>。根据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，废活性炭属于危险废物，类别HW49，代码900-041-49。集中收集在危废暂存间专用容器中，定期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5D95EF57">
      <w:pPr>
        <w:pStyle w:val="35"/>
        <w:spacing w:after="0"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③废催化剂S</w:t>
      </w:r>
      <w:r>
        <w:rPr>
          <w:rFonts w:hint="eastAsia" w:ascii="Times New Roman" w:hAnsi="Times New Roman" w:eastAsia="宋体" w:cs="Times New Roman"/>
          <w:color w:val="auto"/>
          <w:sz w:val="24"/>
          <w:szCs w:val="24"/>
          <w:u w:val="single" w:color="auto"/>
          <w:lang w:val="en-US" w:eastAsia="zh-CN"/>
        </w:rPr>
        <w:t>9</w:t>
      </w:r>
    </w:p>
    <w:p w14:paraId="34111478">
      <w:pPr>
        <w:pStyle w:val="35"/>
        <w:spacing w:after="0"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项目喷漆工序</w:t>
      </w:r>
      <w:r>
        <w:rPr>
          <w:rFonts w:hint="eastAsia" w:ascii="Times New Roman" w:hAnsi="Times New Roman" w:eastAsia="宋体" w:cs="Times New Roman"/>
          <w:color w:val="auto"/>
          <w:sz w:val="24"/>
          <w:szCs w:val="24"/>
          <w:u w:val="single" w:color="auto"/>
          <w:lang w:eastAsia="zh-CN"/>
        </w:rPr>
        <w:t>废气</w:t>
      </w:r>
      <w:r>
        <w:rPr>
          <w:rFonts w:hint="eastAsia" w:ascii="Times New Roman" w:hAnsi="Times New Roman" w:eastAsia="宋体" w:cs="Times New Roman"/>
          <w:color w:val="auto"/>
          <w:sz w:val="24"/>
          <w:szCs w:val="24"/>
          <w:u w:val="single" w:color="auto"/>
        </w:rPr>
        <w:t>处理设施催化燃烧装置，催化剂定期更换，更换频次为一年一次，更换的废催化剂产生量约为0.1t/a。</w:t>
      </w:r>
      <w:r>
        <w:rPr>
          <w:rFonts w:ascii="Times New Roman" w:hAnsi="Times New Roman" w:eastAsia="宋体" w:cs="Times New Roman"/>
          <w:color w:val="auto"/>
          <w:sz w:val="24"/>
          <w:szCs w:val="24"/>
          <w:u w:val="single" w:color="auto"/>
        </w:rPr>
        <w:t>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催化剂</w:t>
      </w:r>
      <w:r>
        <w:rPr>
          <w:rFonts w:ascii="Times New Roman" w:hAnsi="Times New Roman" w:eastAsia="宋体" w:cs="Times New Roman"/>
          <w:color w:val="auto"/>
          <w:sz w:val="24"/>
          <w:szCs w:val="24"/>
          <w:u w:val="single" w:color="auto"/>
        </w:rPr>
        <w:t>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79A67A75">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④</w:t>
      </w:r>
      <w:r>
        <w:rPr>
          <w:rFonts w:ascii="Times New Roman" w:hAnsi="Times New Roman" w:eastAsia="宋体" w:cs="Times New Roman"/>
          <w:color w:val="auto"/>
          <w:sz w:val="24"/>
          <w:szCs w:val="24"/>
          <w:u w:val="single" w:color="auto"/>
        </w:rPr>
        <w:t>废油漆桶</w:t>
      </w:r>
      <w:r>
        <w:rPr>
          <w:rFonts w:hint="eastAsia" w:ascii="Times New Roman" w:hAnsi="Times New Roman" w:eastAsia="宋体" w:cs="Times New Roman"/>
          <w:color w:val="auto"/>
          <w:sz w:val="24"/>
          <w:szCs w:val="24"/>
          <w:u w:val="single" w:color="auto"/>
        </w:rPr>
        <w:t>S1</w:t>
      </w:r>
      <w:r>
        <w:rPr>
          <w:rFonts w:hint="eastAsia" w:ascii="Times New Roman" w:hAnsi="Times New Roman" w:eastAsia="宋体" w:cs="Times New Roman"/>
          <w:color w:val="auto"/>
          <w:sz w:val="24"/>
          <w:szCs w:val="24"/>
          <w:u w:val="single" w:color="auto"/>
          <w:lang w:val="en-US" w:eastAsia="zh-CN"/>
        </w:rPr>
        <w:t>0</w:t>
      </w:r>
    </w:p>
    <w:p w14:paraId="766F770C">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本项目使用油漆会产生废</w:t>
      </w:r>
      <w:r>
        <w:rPr>
          <w:rFonts w:hint="eastAsia" w:ascii="Times New Roman" w:hAnsi="Times New Roman" w:eastAsia="宋体" w:cs="Times New Roman"/>
          <w:color w:val="auto"/>
          <w:sz w:val="24"/>
          <w:szCs w:val="24"/>
          <w:u w:val="single" w:color="auto"/>
        </w:rPr>
        <w:t>包装</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rPr>
        <w:t>根据工程分析，油漆使用量为</w:t>
      </w:r>
      <w:r>
        <w:rPr>
          <w:rFonts w:hint="eastAsia" w:ascii="Times New Roman" w:hAnsi="Times New Roman" w:eastAsia="宋体" w:cs="Times New Roman"/>
          <w:color w:val="auto"/>
          <w:sz w:val="24"/>
          <w:szCs w:val="24"/>
          <w:u w:val="single" w:color="auto"/>
          <w:lang w:val="en-US" w:eastAsia="zh-CN"/>
        </w:rPr>
        <w:t>205.585</w:t>
      </w:r>
      <w:r>
        <w:rPr>
          <w:rFonts w:hint="eastAsia" w:ascii="Times New Roman" w:hAnsi="Times New Roman" w:eastAsia="宋体" w:cs="Times New Roman"/>
          <w:color w:val="auto"/>
          <w:sz w:val="24"/>
          <w:szCs w:val="24"/>
          <w:u w:val="single" w:color="auto"/>
        </w:rPr>
        <w:t>t/a，</w:t>
      </w:r>
      <w:r>
        <w:rPr>
          <w:rFonts w:ascii="Times New Roman" w:hAnsi="Times New Roman" w:eastAsia="宋体" w:cs="Times New Roman"/>
          <w:color w:val="auto"/>
          <w:sz w:val="24"/>
          <w:szCs w:val="24"/>
          <w:u w:val="single" w:color="auto"/>
        </w:rPr>
        <w:t>油漆</w:t>
      </w:r>
      <w:r>
        <w:rPr>
          <w:rFonts w:hint="eastAsia" w:ascii="Times New Roman" w:hAnsi="Times New Roman" w:eastAsia="宋体" w:cs="Times New Roman"/>
          <w:color w:val="auto"/>
          <w:sz w:val="24"/>
          <w:szCs w:val="24"/>
          <w:u w:val="single" w:color="auto"/>
        </w:rPr>
        <w:t>包装桶的规格为20kg/桶，则全年产生</w:t>
      </w:r>
      <w:r>
        <w:rPr>
          <w:rFonts w:hint="eastAsia" w:ascii="Times New Roman" w:hAnsi="Times New Roman" w:eastAsia="宋体" w:cs="Times New Roman"/>
          <w:color w:val="auto"/>
          <w:sz w:val="24"/>
          <w:szCs w:val="24"/>
          <w:u w:val="single" w:color="auto"/>
          <w:lang w:val="en-US" w:eastAsia="zh-CN"/>
        </w:rPr>
        <w:t>10280</w:t>
      </w:r>
      <w:r>
        <w:rPr>
          <w:rFonts w:hint="eastAsia" w:ascii="Times New Roman" w:hAnsi="Times New Roman" w:eastAsia="宋体" w:cs="Times New Roman"/>
          <w:color w:val="auto"/>
          <w:sz w:val="24"/>
          <w:szCs w:val="24"/>
          <w:u w:val="single" w:color="auto"/>
        </w:rPr>
        <w:t>个废包装桶，每个包装桶按1kg计，则</w:t>
      </w:r>
      <w:r>
        <w:rPr>
          <w:rFonts w:ascii="Times New Roman" w:hAnsi="Times New Roman" w:eastAsia="宋体" w:cs="Times New Roman"/>
          <w:color w:val="auto"/>
          <w:sz w:val="24"/>
          <w:szCs w:val="24"/>
          <w:u w:val="single" w:color="auto"/>
        </w:rPr>
        <w:t>产生的废</w:t>
      </w:r>
      <w:r>
        <w:rPr>
          <w:rFonts w:hint="eastAsia" w:ascii="Times New Roman" w:hAnsi="Times New Roman" w:eastAsia="宋体" w:cs="Times New Roman"/>
          <w:color w:val="auto"/>
          <w:sz w:val="24"/>
          <w:szCs w:val="24"/>
          <w:u w:val="single" w:color="auto"/>
        </w:rPr>
        <w:t>油</w:t>
      </w:r>
      <w:r>
        <w:rPr>
          <w:rFonts w:ascii="Times New Roman" w:hAnsi="Times New Roman" w:eastAsia="宋体" w:cs="Times New Roman"/>
          <w:color w:val="auto"/>
          <w:sz w:val="24"/>
          <w:szCs w:val="24"/>
          <w:u w:val="single" w:color="auto"/>
        </w:rPr>
        <w:t>漆桶</w:t>
      </w:r>
      <w:r>
        <w:rPr>
          <w:rFonts w:hint="eastAsia" w:ascii="Times New Roman" w:hAnsi="Times New Roman" w:eastAsia="宋体" w:cs="Times New Roman"/>
          <w:color w:val="auto"/>
          <w:sz w:val="24"/>
          <w:szCs w:val="24"/>
          <w:u w:val="single" w:color="auto"/>
          <w:lang w:val="en-US" w:eastAsia="zh-CN"/>
        </w:rPr>
        <w:t>10.28</w:t>
      </w:r>
      <w:r>
        <w:rPr>
          <w:rFonts w:ascii="Times New Roman" w:hAnsi="Times New Roman" w:eastAsia="宋体" w:cs="Times New Roman"/>
          <w:color w:val="auto"/>
          <w:sz w:val="24"/>
          <w:szCs w:val="24"/>
          <w:u w:val="single" w:color="auto"/>
        </w:rPr>
        <w:t>t/a。根据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，废油漆桶属于危险废物，类别HW49，代码900-041-49。集中收集在危废暂存间专用容器中，定期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2EC3D042">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⑤</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固化剂</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rPr>
        <w:t>S1</w:t>
      </w:r>
      <w:r>
        <w:rPr>
          <w:rFonts w:hint="eastAsia" w:ascii="Times New Roman" w:hAnsi="Times New Roman" w:eastAsia="宋体" w:cs="Times New Roman"/>
          <w:color w:val="auto"/>
          <w:sz w:val="24"/>
          <w:szCs w:val="24"/>
          <w:u w:val="single" w:color="auto"/>
          <w:lang w:val="en-US" w:eastAsia="zh-CN"/>
        </w:rPr>
        <w:t>1</w:t>
      </w:r>
    </w:p>
    <w:p w14:paraId="37C9A0FC">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本项目使用</w:t>
      </w:r>
      <w:r>
        <w:rPr>
          <w:rFonts w:hint="eastAsia" w:ascii="Times New Roman" w:hAnsi="Times New Roman" w:eastAsia="宋体" w:cs="Times New Roman"/>
          <w:color w:val="auto"/>
          <w:sz w:val="24"/>
          <w:szCs w:val="24"/>
          <w:u w:val="single" w:color="auto"/>
        </w:rPr>
        <w:t>固化剂</w:t>
      </w:r>
      <w:r>
        <w:rPr>
          <w:rFonts w:ascii="Times New Roman" w:hAnsi="Times New Roman" w:eastAsia="宋体" w:cs="Times New Roman"/>
          <w:color w:val="auto"/>
          <w:sz w:val="24"/>
          <w:szCs w:val="24"/>
          <w:u w:val="single" w:color="auto"/>
        </w:rPr>
        <w:t>会产生废</w:t>
      </w:r>
      <w:r>
        <w:rPr>
          <w:rFonts w:hint="eastAsia" w:ascii="Times New Roman" w:hAnsi="Times New Roman" w:eastAsia="宋体" w:cs="Times New Roman"/>
          <w:color w:val="auto"/>
          <w:sz w:val="24"/>
          <w:szCs w:val="24"/>
          <w:u w:val="single" w:color="auto"/>
        </w:rPr>
        <w:t>包装</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rPr>
        <w:t>根据工程分析，固化剂使用量为</w:t>
      </w:r>
      <w:r>
        <w:rPr>
          <w:rFonts w:hint="eastAsia" w:ascii="Times New Roman" w:hAnsi="Times New Roman" w:eastAsia="宋体" w:cs="Times New Roman"/>
          <w:color w:val="auto"/>
          <w:sz w:val="24"/>
          <w:szCs w:val="24"/>
          <w:u w:val="single" w:color="auto"/>
          <w:lang w:val="en-US" w:eastAsia="zh-CN"/>
        </w:rPr>
        <w:t>16.383</w:t>
      </w:r>
      <w:r>
        <w:rPr>
          <w:rFonts w:hint="eastAsia" w:ascii="Times New Roman" w:hAnsi="Times New Roman" w:eastAsia="宋体" w:cs="Times New Roman"/>
          <w:color w:val="auto"/>
          <w:sz w:val="24"/>
          <w:szCs w:val="24"/>
          <w:u w:val="single" w:color="auto"/>
        </w:rPr>
        <w:t>t/a，固化剂包装桶的规格为20kg/桶，则全年产生</w:t>
      </w:r>
      <w:r>
        <w:rPr>
          <w:rFonts w:hint="eastAsia" w:ascii="Times New Roman" w:hAnsi="Times New Roman" w:eastAsia="宋体" w:cs="Times New Roman"/>
          <w:color w:val="auto"/>
          <w:sz w:val="24"/>
          <w:szCs w:val="24"/>
          <w:u w:val="single" w:color="auto"/>
          <w:lang w:val="en-US" w:eastAsia="zh-CN"/>
        </w:rPr>
        <w:t>820</w:t>
      </w:r>
      <w:r>
        <w:rPr>
          <w:rFonts w:hint="eastAsia" w:ascii="Times New Roman" w:hAnsi="Times New Roman" w:eastAsia="宋体" w:cs="Times New Roman"/>
          <w:color w:val="auto"/>
          <w:sz w:val="24"/>
          <w:szCs w:val="24"/>
          <w:u w:val="single" w:color="auto"/>
        </w:rPr>
        <w:t>个废包装桶，每个包装桶按1kg计，则</w:t>
      </w:r>
      <w:r>
        <w:rPr>
          <w:rFonts w:ascii="Times New Roman" w:hAnsi="Times New Roman" w:eastAsia="宋体" w:cs="Times New Roman"/>
          <w:color w:val="auto"/>
          <w:sz w:val="24"/>
          <w:szCs w:val="24"/>
          <w:u w:val="single" w:color="auto"/>
        </w:rPr>
        <w:t>产生的废漆桶</w:t>
      </w:r>
      <w:r>
        <w:rPr>
          <w:rFonts w:hint="eastAsia" w:ascii="Times New Roman" w:hAnsi="Times New Roman" w:eastAsia="宋体" w:cs="Times New Roman"/>
          <w:color w:val="auto"/>
          <w:sz w:val="24"/>
          <w:szCs w:val="24"/>
          <w:u w:val="single" w:color="auto"/>
          <w:lang w:val="en-US" w:eastAsia="zh-CN"/>
        </w:rPr>
        <w:t>0.82</w:t>
      </w:r>
      <w:r>
        <w:rPr>
          <w:rFonts w:ascii="Times New Roman" w:hAnsi="Times New Roman" w:eastAsia="宋体" w:cs="Times New Roman"/>
          <w:color w:val="auto"/>
          <w:sz w:val="24"/>
          <w:szCs w:val="24"/>
          <w:u w:val="single" w:color="auto"/>
        </w:rPr>
        <w:t>t/a。根据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固化剂</w:t>
      </w:r>
      <w:r>
        <w:rPr>
          <w:rFonts w:ascii="Times New Roman" w:hAnsi="Times New Roman" w:eastAsia="宋体" w:cs="Times New Roman"/>
          <w:color w:val="auto"/>
          <w:sz w:val="24"/>
          <w:szCs w:val="24"/>
          <w:u w:val="single" w:color="auto"/>
        </w:rPr>
        <w:t>桶属于危险废物，类别HW49，代码900-041-49。集中收集在危废暂存间专用容器中，定期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2430A928">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⑥</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稀释剂桶S1</w:t>
      </w:r>
      <w:r>
        <w:rPr>
          <w:rFonts w:hint="eastAsia" w:ascii="Times New Roman" w:hAnsi="Times New Roman" w:eastAsia="宋体" w:cs="Times New Roman"/>
          <w:color w:val="auto"/>
          <w:sz w:val="24"/>
          <w:szCs w:val="24"/>
          <w:u w:val="single" w:color="auto"/>
          <w:lang w:val="en-US" w:eastAsia="zh-CN"/>
        </w:rPr>
        <w:t>2</w:t>
      </w:r>
    </w:p>
    <w:p w14:paraId="311726D6">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本项目使用</w:t>
      </w:r>
      <w:r>
        <w:rPr>
          <w:rFonts w:hint="eastAsia" w:ascii="Times New Roman" w:hAnsi="Times New Roman" w:eastAsia="宋体" w:cs="Times New Roman"/>
          <w:color w:val="auto"/>
          <w:sz w:val="24"/>
          <w:szCs w:val="24"/>
          <w:u w:val="single" w:color="auto"/>
        </w:rPr>
        <w:t>稀释剂</w:t>
      </w:r>
      <w:r>
        <w:rPr>
          <w:rFonts w:ascii="Times New Roman" w:hAnsi="Times New Roman" w:eastAsia="宋体" w:cs="Times New Roman"/>
          <w:color w:val="auto"/>
          <w:sz w:val="24"/>
          <w:szCs w:val="24"/>
          <w:u w:val="single" w:color="auto"/>
        </w:rPr>
        <w:t>会产生废</w:t>
      </w:r>
      <w:r>
        <w:rPr>
          <w:rFonts w:hint="eastAsia" w:ascii="Times New Roman" w:hAnsi="Times New Roman" w:eastAsia="宋体" w:cs="Times New Roman"/>
          <w:color w:val="auto"/>
          <w:sz w:val="24"/>
          <w:szCs w:val="24"/>
          <w:u w:val="single" w:color="auto"/>
        </w:rPr>
        <w:t>包装</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rPr>
        <w:t>根据工程分析，稀释剂使用量为</w:t>
      </w:r>
      <w:r>
        <w:rPr>
          <w:rFonts w:hint="eastAsia" w:ascii="Times New Roman" w:hAnsi="Times New Roman" w:eastAsia="宋体" w:cs="Times New Roman"/>
          <w:color w:val="auto"/>
          <w:sz w:val="24"/>
          <w:szCs w:val="24"/>
          <w:u w:val="single" w:color="auto"/>
          <w:lang w:val="en-US" w:eastAsia="zh-CN"/>
        </w:rPr>
        <w:t>16.468</w:t>
      </w:r>
      <w:r>
        <w:rPr>
          <w:rFonts w:hint="eastAsia" w:ascii="Times New Roman" w:hAnsi="Times New Roman" w:eastAsia="宋体" w:cs="Times New Roman"/>
          <w:color w:val="auto"/>
          <w:sz w:val="24"/>
          <w:szCs w:val="24"/>
          <w:u w:val="single" w:color="auto"/>
        </w:rPr>
        <w:t>t/a，稀释剂包装桶的规格均为20kg/桶，则全年产生</w:t>
      </w:r>
      <w:r>
        <w:rPr>
          <w:rFonts w:hint="eastAsia" w:ascii="Times New Roman" w:hAnsi="Times New Roman" w:eastAsia="宋体" w:cs="Times New Roman"/>
          <w:color w:val="auto"/>
          <w:sz w:val="24"/>
          <w:szCs w:val="24"/>
          <w:u w:val="single" w:color="auto"/>
          <w:lang w:val="en-US" w:eastAsia="zh-CN"/>
        </w:rPr>
        <w:t>824</w:t>
      </w:r>
      <w:r>
        <w:rPr>
          <w:rFonts w:hint="eastAsia" w:ascii="Times New Roman" w:hAnsi="Times New Roman" w:eastAsia="宋体" w:cs="Times New Roman"/>
          <w:color w:val="auto"/>
          <w:sz w:val="24"/>
          <w:szCs w:val="24"/>
          <w:u w:val="single" w:color="auto"/>
        </w:rPr>
        <w:t>个废包装桶，每个包装桶按1kg计，则</w:t>
      </w:r>
      <w:r>
        <w:rPr>
          <w:rFonts w:ascii="Times New Roman" w:hAnsi="Times New Roman" w:eastAsia="宋体" w:cs="Times New Roman"/>
          <w:color w:val="auto"/>
          <w:sz w:val="24"/>
          <w:szCs w:val="24"/>
          <w:u w:val="single" w:color="auto"/>
        </w:rPr>
        <w:t>产生的废漆桶</w:t>
      </w:r>
      <w:r>
        <w:rPr>
          <w:rFonts w:hint="eastAsia" w:ascii="Times New Roman" w:hAnsi="Times New Roman" w:eastAsia="宋体" w:cs="Times New Roman"/>
          <w:color w:val="auto"/>
          <w:sz w:val="24"/>
          <w:szCs w:val="24"/>
          <w:u w:val="single" w:color="auto"/>
          <w:lang w:val="en-US" w:eastAsia="zh-CN"/>
        </w:rPr>
        <w:t>0.824</w:t>
      </w:r>
      <w:r>
        <w:rPr>
          <w:rFonts w:ascii="Times New Roman" w:hAnsi="Times New Roman" w:eastAsia="宋体" w:cs="Times New Roman"/>
          <w:color w:val="auto"/>
          <w:sz w:val="24"/>
          <w:szCs w:val="24"/>
          <w:u w:val="single" w:color="auto"/>
        </w:rPr>
        <w:t>t/a。根据</w:t>
      </w:r>
      <w:r>
        <w:rPr>
          <w:rFonts w:hint="eastAsia" w:ascii="Times New Roman" w:hAnsi="Times New Roman" w:eastAsia="宋体" w:cs="Times New Roman"/>
          <w:color w:val="auto"/>
          <w:sz w:val="24"/>
          <w:szCs w:val="24"/>
          <w:u w:val="single" w:color="auto"/>
        </w:rPr>
        <w:t>《国家危险废物名录》（202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稀释剂</w:t>
      </w:r>
      <w:r>
        <w:rPr>
          <w:rFonts w:ascii="Times New Roman" w:hAnsi="Times New Roman" w:eastAsia="宋体" w:cs="Times New Roman"/>
          <w:color w:val="auto"/>
          <w:sz w:val="24"/>
          <w:szCs w:val="24"/>
          <w:u w:val="single" w:color="auto"/>
        </w:rPr>
        <w:t>桶属于危险废物，类别HW49，代码900-041-49。集中收集在危废暂存间专用容器中，定期</w:t>
      </w:r>
      <w:r>
        <w:rPr>
          <w:rFonts w:hint="eastAsia" w:ascii="Times New Roman" w:hAnsi="Times New Roman" w:eastAsia="宋体" w:cs="Times New Roman"/>
          <w:color w:val="auto"/>
          <w:sz w:val="24"/>
          <w:szCs w:val="24"/>
          <w:u w:val="single" w:color="auto"/>
        </w:rPr>
        <w:t>交</w:t>
      </w:r>
      <w:r>
        <w:rPr>
          <w:rFonts w:ascii="Times New Roman" w:hAnsi="Times New Roman" w:eastAsia="宋体" w:cs="Times New Roman"/>
          <w:color w:val="auto"/>
          <w:sz w:val="24"/>
          <w:szCs w:val="24"/>
          <w:u w:val="single" w:color="auto"/>
        </w:rPr>
        <w:t>有资质</w:t>
      </w:r>
      <w:r>
        <w:rPr>
          <w:rFonts w:hint="eastAsia" w:ascii="Times New Roman" w:hAnsi="Times New Roman" w:eastAsia="宋体" w:cs="Times New Roman"/>
          <w:color w:val="auto"/>
          <w:sz w:val="24"/>
          <w:szCs w:val="24"/>
          <w:u w:val="single" w:color="auto"/>
        </w:rPr>
        <w:t>单位处置</w:t>
      </w:r>
      <w:r>
        <w:rPr>
          <w:rFonts w:ascii="Times New Roman" w:hAnsi="Times New Roman" w:eastAsia="宋体" w:cs="Times New Roman"/>
          <w:color w:val="auto"/>
          <w:sz w:val="24"/>
          <w:szCs w:val="24"/>
          <w:u w:val="single" w:color="auto"/>
        </w:rPr>
        <w:t>。</w:t>
      </w:r>
    </w:p>
    <w:p w14:paraId="0FD9978D">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rPr>
        <w:t>⑦</w:t>
      </w:r>
      <w:r>
        <w:rPr>
          <w:rFonts w:ascii="Times New Roman" w:hAnsi="Times New Roman" w:eastAsia="宋体" w:cs="Times New Roman"/>
          <w:color w:val="auto"/>
          <w:sz w:val="24"/>
          <w:szCs w:val="24"/>
          <w:u w:val="none" w:color="auto"/>
        </w:rPr>
        <w:t>废</w:t>
      </w:r>
      <w:r>
        <w:rPr>
          <w:rFonts w:hint="eastAsia" w:ascii="Times New Roman" w:hAnsi="Times New Roman" w:eastAsia="宋体" w:cs="Times New Roman"/>
          <w:color w:val="auto"/>
          <w:sz w:val="24"/>
          <w:szCs w:val="24"/>
          <w:u w:val="none" w:color="auto"/>
        </w:rPr>
        <w:t>润滑油</w:t>
      </w:r>
      <w:r>
        <w:rPr>
          <w:rFonts w:ascii="Times New Roman" w:hAnsi="Times New Roman" w:eastAsia="宋体" w:cs="Times New Roman"/>
          <w:color w:val="auto"/>
          <w:sz w:val="24"/>
          <w:szCs w:val="24"/>
          <w:u w:val="none" w:color="auto"/>
        </w:rPr>
        <w:t>桶</w:t>
      </w:r>
      <w:r>
        <w:rPr>
          <w:rFonts w:hint="eastAsia" w:ascii="Times New Roman" w:hAnsi="Times New Roman" w:eastAsia="宋体" w:cs="Times New Roman"/>
          <w:color w:val="auto"/>
          <w:sz w:val="24"/>
          <w:szCs w:val="24"/>
          <w:u w:val="none" w:color="auto"/>
        </w:rPr>
        <w:t>S1</w:t>
      </w:r>
      <w:r>
        <w:rPr>
          <w:rFonts w:hint="eastAsia" w:ascii="Times New Roman" w:hAnsi="Times New Roman" w:eastAsia="宋体" w:cs="Times New Roman"/>
          <w:color w:val="auto"/>
          <w:sz w:val="24"/>
          <w:szCs w:val="24"/>
          <w:u w:val="none" w:color="auto"/>
          <w:lang w:val="en-US" w:eastAsia="zh-CN"/>
        </w:rPr>
        <w:t>3</w:t>
      </w:r>
    </w:p>
    <w:p w14:paraId="3CC5D4AB">
      <w:pPr>
        <w:snapToGrid w:val="0"/>
        <w:spacing w:line="360" w:lineRule="auto"/>
        <w:ind w:firstLine="480" w:firstLineChars="200"/>
        <w:rPr>
          <w:color w:val="auto"/>
          <w:u w:val="none" w:color="auto"/>
        </w:rPr>
      </w:pPr>
      <w:r>
        <w:rPr>
          <w:rFonts w:ascii="Times New Roman" w:hAnsi="Times New Roman" w:eastAsia="宋体" w:cs="Times New Roman"/>
          <w:color w:val="auto"/>
          <w:sz w:val="24"/>
          <w:szCs w:val="24"/>
          <w:u w:val="none" w:color="auto"/>
        </w:rPr>
        <w:t>本项目使用</w:t>
      </w:r>
      <w:r>
        <w:rPr>
          <w:rFonts w:hint="eastAsia" w:ascii="Times New Roman" w:hAnsi="Times New Roman" w:eastAsia="宋体" w:cs="Times New Roman"/>
          <w:color w:val="auto"/>
          <w:sz w:val="24"/>
          <w:szCs w:val="24"/>
          <w:u w:val="none" w:color="auto"/>
        </w:rPr>
        <w:t>润滑油</w:t>
      </w:r>
      <w:r>
        <w:rPr>
          <w:rFonts w:ascii="Times New Roman" w:hAnsi="Times New Roman" w:eastAsia="宋体" w:cs="Times New Roman"/>
          <w:color w:val="auto"/>
          <w:sz w:val="24"/>
          <w:szCs w:val="24"/>
          <w:u w:val="none" w:color="auto"/>
        </w:rPr>
        <w:t>会产生废</w:t>
      </w:r>
      <w:r>
        <w:rPr>
          <w:rFonts w:hint="eastAsia" w:ascii="Times New Roman" w:hAnsi="Times New Roman" w:eastAsia="宋体" w:cs="Times New Roman"/>
          <w:color w:val="auto"/>
          <w:sz w:val="24"/>
          <w:szCs w:val="24"/>
          <w:u w:val="none" w:color="auto"/>
        </w:rPr>
        <w:t>包装</w:t>
      </w:r>
      <w:r>
        <w:rPr>
          <w:rFonts w:ascii="Times New Roman" w:hAnsi="Times New Roman" w:eastAsia="宋体" w:cs="Times New Roman"/>
          <w:color w:val="auto"/>
          <w:sz w:val="24"/>
          <w:szCs w:val="24"/>
          <w:u w:val="none" w:color="auto"/>
        </w:rPr>
        <w:t>桶，</w:t>
      </w:r>
      <w:r>
        <w:rPr>
          <w:rFonts w:hint="eastAsia" w:ascii="Times New Roman" w:hAnsi="Times New Roman" w:eastAsia="宋体" w:cs="Times New Roman"/>
          <w:color w:val="auto"/>
          <w:sz w:val="24"/>
          <w:szCs w:val="24"/>
          <w:u w:val="none" w:color="auto"/>
        </w:rPr>
        <w:t>根据工程分析，润滑油使用量为2t/a，润滑油包装桶的规格均为20kg/桶，则全年产生100个废包装桶，每个包装桶按1kg计，则</w:t>
      </w:r>
      <w:r>
        <w:rPr>
          <w:rFonts w:ascii="Times New Roman" w:hAnsi="Times New Roman" w:eastAsia="宋体" w:cs="Times New Roman"/>
          <w:color w:val="auto"/>
          <w:sz w:val="24"/>
          <w:szCs w:val="24"/>
          <w:u w:val="none" w:color="auto"/>
        </w:rPr>
        <w:t>产生的废漆桶</w:t>
      </w:r>
      <w:r>
        <w:rPr>
          <w:rFonts w:hint="eastAsia" w:ascii="Times New Roman" w:hAnsi="Times New Roman" w:eastAsia="宋体" w:cs="Times New Roman"/>
          <w:color w:val="auto"/>
          <w:sz w:val="24"/>
          <w:szCs w:val="24"/>
          <w:u w:val="none" w:color="auto"/>
        </w:rPr>
        <w:t>0.1</w:t>
      </w:r>
      <w:r>
        <w:rPr>
          <w:rFonts w:ascii="Times New Roman" w:hAnsi="Times New Roman" w:eastAsia="宋体" w:cs="Times New Roman"/>
          <w:color w:val="auto"/>
          <w:sz w:val="24"/>
          <w:szCs w:val="24"/>
          <w:u w:val="none" w:color="auto"/>
        </w:rPr>
        <w:t>t/a。根据</w:t>
      </w:r>
      <w:r>
        <w:rPr>
          <w:rFonts w:hint="eastAsia" w:ascii="Times New Roman" w:hAnsi="Times New Roman" w:eastAsia="宋体" w:cs="Times New Roman"/>
          <w:color w:val="auto"/>
          <w:sz w:val="24"/>
          <w:szCs w:val="24"/>
          <w:u w:val="none" w:color="auto"/>
        </w:rPr>
        <w:t>《国家危险废物名录》（202</w:t>
      </w:r>
      <w:r>
        <w:rPr>
          <w:rFonts w:hint="eastAsia" w:ascii="Times New Roman" w:hAnsi="Times New Roman" w:eastAsia="宋体" w:cs="Times New Roman"/>
          <w:color w:val="auto"/>
          <w:sz w:val="24"/>
          <w:szCs w:val="24"/>
          <w:u w:val="none" w:color="auto"/>
          <w:lang w:val="en-US" w:eastAsia="zh-CN"/>
        </w:rPr>
        <w:t>5</w:t>
      </w:r>
      <w:r>
        <w:rPr>
          <w:rFonts w:hint="eastAsia" w:ascii="Times New Roman" w:hAnsi="Times New Roman" w:eastAsia="宋体" w:cs="Times New Roman"/>
          <w:color w:val="auto"/>
          <w:sz w:val="24"/>
          <w:szCs w:val="24"/>
          <w:u w:val="none" w:color="auto"/>
        </w:rPr>
        <w:t>年版）</w:t>
      </w:r>
      <w:r>
        <w:rPr>
          <w:rFonts w:ascii="Times New Roman" w:hAnsi="Times New Roman" w:eastAsia="宋体" w:cs="Times New Roman"/>
          <w:color w:val="auto"/>
          <w:sz w:val="24"/>
          <w:szCs w:val="24"/>
          <w:u w:val="none" w:color="auto"/>
        </w:rPr>
        <w:t>，废油</w:t>
      </w:r>
      <w:r>
        <w:rPr>
          <w:rFonts w:hint="eastAsia" w:ascii="Times New Roman" w:hAnsi="Times New Roman" w:eastAsia="宋体" w:cs="Times New Roman"/>
          <w:color w:val="auto"/>
          <w:sz w:val="24"/>
          <w:szCs w:val="24"/>
          <w:u w:val="none" w:color="auto"/>
        </w:rPr>
        <w:t>润滑油</w:t>
      </w:r>
      <w:r>
        <w:rPr>
          <w:rFonts w:ascii="Times New Roman" w:hAnsi="Times New Roman" w:eastAsia="宋体" w:cs="Times New Roman"/>
          <w:color w:val="auto"/>
          <w:sz w:val="24"/>
          <w:szCs w:val="24"/>
          <w:u w:val="none" w:color="auto"/>
        </w:rPr>
        <w:t>桶属于危险废物，类别HW49，代码900-041-49。集中收集在危废暂存间专用容器中，定期</w:t>
      </w:r>
      <w:r>
        <w:rPr>
          <w:rFonts w:hint="eastAsia" w:ascii="Times New Roman" w:hAnsi="Times New Roman" w:eastAsia="宋体" w:cs="Times New Roman"/>
          <w:color w:val="auto"/>
          <w:sz w:val="24"/>
          <w:szCs w:val="24"/>
          <w:u w:val="none" w:color="auto"/>
        </w:rPr>
        <w:t>交</w:t>
      </w:r>
      <w:r>
        <w:rPr>
          <w:rFonts w:ascii="Times New Roman" w:hAnsi="Times New Roman" w:eastAsia="宋体" w:cs="Times New Roman"/>
          <w:color w:val="auto"/>
          <w:sz w:val="24"/>
          <w:szCs w:val="24"/>
          <w:u w:val="none" w:color="auto"/>
        </w:rPr>
        <w:t>有资质</w:t>
      </w:r>
      <w:r>
        <w:rPr>
          <w:rFonts w:hint="eastAsia" w:ascii="Times New Roman" w:hAnsi="Times New Roman" w:eastAsia="宋体" w:cs="Times New Roman"/>
          <w:color w:val="auto"/>
          <w:sz w:val="24"/>
          <w:szCs w:val="24"/>
          <w:u w:val="none" w:color="auto"/>
        </w:rPr>
        <w:t>单位处置</w:t>
      </w:r>
      <w:r>
        <w:rPr>
          <w:rFonts w:ascii="Times New Roman" w:hAnsi="Times New Roman" w:eastAsia="宋体" w:cs="Times New Roman"/>
          <w:color w:val="auto"/>
          <w:sz w:val="24"/>
          <w:szCs w:val="24"/>
          <w:u w:val="none" w:color="auto"/>
        </w:rPr>
        <w:t>。</w:t>
      </w:r>
    </w:p>
    <w:p w14:paraId="63CBB5E7">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rPr>
        <w:t>⑨</w:t>
      </w:r>
      <w:r>
        <w:rPr>
          <w:rFonts w:ascii="Times New Roman" w:hAnsi="Times New Roman" w:eastAsia="宋体" w:cs="Times New Roman"/>
          <w:color w:val="auto"/>
          <w:sz w:val="24"/>
          <w:szCs w:val="24"/>
          <w:u w:val="none" w:color="auto"/>
        </w:rPr>
        <w:t>废润滑油</w:t>
      </w:r>
      <w:r>
        <w:rPr>
          <w:rFonts w:hint="eastAsia" w:ascii="Times New Roman" w:hAnsi="Times New Roman" w:eastAsia="宋体" w:cs="Times New Roman"/>
          <w:color w:val="auto"/>
          <w:sz w:val="24"/>
          <w:szCs w:val="24"/>
          <w:u w:val="none" w:color="auto"/>
        </w:rPr>
        <w:t>S1</w:t>
      </w:r>
      <w:r>
        <w:rPr>
          <w:rFonts w:hint="eastAsia" w:ascii="Times New Roman" w:hAnsi="Times New Roman" w:eastAsia="宋体" w:cs="Times New Roman"/>
          <w:color w:val="auto"/>
          <w:sz w:val="24"/>
          <w:szCs w:val="24"/>
          <w:u w:val="none" w:color="auto"/>
          <w:lang w:val="en-US" w:eastAsia="zh-CN"/>
        </w:rPr>
        <w:t>4</w:t>
      </w:r>
    </w:p>
    <w:p w14:paraId="5AD848B3">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本项目设备维修及加工过程会使用少量润滑油，废润滑油产生量为0.04t/a，根据</w:t>
      </w:r>
      <w:r>
        <w:rPr>
          <w:rFonts w:hint="eastAsia" w:ascii="Times New Roman" w:hAnsi="Times New Roman" w:eastAsia="宋体" w:cs="Times New Roman"/>
          <w:color w:val="auto"/>
          <w:sz w:val="24"/>
          <w:szCs w:val="24"/>
          <w:u w:val="none" w:color="auto"/>
        </w:rPr>
        <w:t>《国家危险废物名录》（202</w:t>
      </w:r>
      <w:r>
        <w:rPr>
          <w:rFonts w:hint="eastAsia" w:ascii="Times New Roman" w:hAnsi="Times New Roman" w:eastAsia="宋体" w:cs="Times New Roman"/>
          <w:color w:val="auto"/>
          <w:sz w:val="24"/>
          <w:szCs w:val="24"/>
          <w:u w:val="none" w:color="auto"/>
          <w:lang w:val="en-US" w:eastAsia="zh-CN"/>
        </w:rPr>
        <w:t>5</w:t>
      </w:r>
      <w:r>
        <w:rPr>
          <w:rFonts w:hint="eastAsia" w:ascii="Times New Roman" w:hAnsi="Times New Roman" w:eastAsia="宋体" w:cs="Times New Roman"/>
          <w:color w:val="auto"/>
          <w:sz w:val="24"/>
          <w:szCs w:val="24"/>
          <w:u w:val="none" w:color="auto"/>
        </w:rPr>
        <w:t>年版）</w:t>
      </w:r>
      <w:r>
        <w:rPr>
          <w:rFonts w:ascii="Times New Roman" w:hAnsi="Times New Roman" w:eastAsia="宋体" w:cs="Times New Roman"/>
          <w:color w:val="auto"/>
          <w:sz w:val="24"/>
          <w:szCs w:val="24"/>
          <w:u w:val="none" w:color="auto"/>
        </w:rPr>
        <w:t>，废机油属于危险废物，类别HW08，代码900-214-08。集中收集在危废暂存间专用容器中，定期</w:t>
      </w:r>
      <w:r>
        <w:rPr>
          <w:rFonts w:hint="eastAsia" w:ascii="Times New Roman" w:hAnsi="Times New Roman" w:eastAsia="宋体" w:cs="Times New Roman"/>
          <w:color w:val="auto"/>
          <w:sz w:val="24"/>
          <w:szCs w:val="24"/>
          <w:u w:val="none" w:color="auto"/>
        </w:rPr>
        <w:t>交</w:t>
      </w:r>
      <w:r>
        <w:rPr>
          <w:rFonts w:ascii="Times New Roman" w:hAnsi="Times New Roman" w:eastAsia="宋体" w:cs="Times New Roman"/>
          <w:color w:val="auto"/>
          <w:sz w:val="24"/>
          <w:szCs w:val="24"/>
          <w:u w:val="none" w:color="auto"/>
        </w:rPr>
        <w:t>有资质</w:t>
      </w:r>
      <w:r>
        <w:rPr>
          <w:rFonts w:hint="eastAsia" w:ascii="Times New Roman" w:hAnsi="Times New Roman" w:eastAsia="宋体" w:cs="Times New Roman"/>
          <w:color w:val="auto"/>
          <w:sz w:val="24"/>
          <w:szCs w:val="24"/>
          <w:u w:val="none" w:color="auto"/>
        </w:rPr>
        <w:t>单位处置</w:t>
      </w:r>
      <w:r>
        <w:rPr>
          <w:rFonts w:ascii="Times New Roman" w:hAnsi="Times New Roman" w:eastAsia="宋体" w:cs="Times New Roman"/>
          <w:color w:val="auto"/>
          <w:sz w:val="24"/>
          <w:szCs w:val="24"/>
          <w:u w:val="none" w:color="auto"/>
        </w:rPr>
        <w:t>。</w:t>
      </w:r>
    </w:p>
    <w:p w14:paraId="37416541">
      <w:pPr>
        <w:snapToGrid w:val="0"/>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rPr>
        <w:t>⑩漆渣S1</w:t>
      </w:r>
      <w:r>
        <w:rPr>
          <w:rFonts w:hint="eastAsia" w:ascii="Times New Roman" w:hAnsi="Times New Roman" w:eastAsia="宋体" w:cs="Times New Roman"/>
          <w:color w:val="auto"/>
          <w:sz w:val="24"/>
          <w:szCs w:val="24"/>
          <w:u w:val="single" w:color="auto"/>
          <w:lang w:val="en-US" w:eastAsia="zh-CN"/>
        </w:rPr>
        <w:t>5</w:t>
      </w:r>
    </w:p>
    <w:p w14:paraId="3AFA804A">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项目喷漆过程中，未收集的漆雾约有</w:t>
      </w:r>
      <w:r>
        <w:rPr>
          <w:rFonts w:hint="eastAsia" w:ascii="Times New Roman" w:hAnsi="Times New Roman" w:eastAsia="宋体" w:cs="Times New Roman"/>
          <w:color w:val="auto"/>
          <w:sz w:val="24"/>
          <w:szCs w:val="24"/>
          <w:u w:val="single" w:color="auto"/>
          <w:lang w:val="en-US" w:eastAsia="zh-CN"/>
        </w:rPr>
        <w:t>75</w:t>
      </w:r>
      <w:r>
        <w:rPr>
          <w:rFonts w:hint="eastAsia" w:ascii="Times New Roman" w:hAnsi="Times New Roman" w:eastAsia="宋体" w:cs="Times New Roman"/>
          <w:color w:val="auto"/>
          <w:sz w:val="24"/>
          <w:szCs w:val="24"/>
          <w:u w:val="single" w:color="auto"/>
        </w:rPr>
        <w:t>%自然沉降在车间形成漆渣，则漆渣产生量为</w:t>
      </w:r>
      <w:r>
        <w:rPr>
          <w:rFonts w:hint="eastAsia" w:ascii="Times New Roman" w:hAnsi="Times New Roman" w:eastAsia="宋体" w:cs="Times New Roman"/>
          <w:color w:val="auto"/>
          <w:sz w:val="24"/>
          <w:szCs w:val="24"/>
          <w:u w:val="single" w:color="auto"/>
          <w:lang w:val="en-US" w:eastAsia="zh-CN"/>
        </w:rPr>
        <w:t>5.484</w:t>
      </w:r>
      <w:r>
        <w:rPr>
          <w:rFonts w:hint="eastAsia" w:ascii="Times New Roman" w:hAnsi="Times New Roman" w:eastAsia="宋体" w:cs="Times New Roman"/>
          <w:color w:val="auto"/>
          <w:sz w:val="24"/>
          <w:szCs w:val="24"/>
          <w:u w:val="single" w:color="auto"/>
        </w:rPr>
        <w:t>t/a，根据《国家危险废物名录》（202</w:t>
      </w:r>
      <w:r>
        <w:rPr>
          <w:rFonts w:hint="eastAsia" w:ascii="Times New Roman" w:hAnsi="Times New Roman" w:eastAsia="宋体" w:cs="Times New Roman"/>
          <w:color w:val="auto"/>
          <w:sz w:val="24"/>
          <w:szCs w:val="24"/>
          <w:u w:val="single" w:color="auto"/>
          <w:lang w:val="en-US" w:eastAsia="zh-CN"/>
        </w:rPr>
        <w:t>5</w:t>
      </w:r>
      <w:r>
        <w:rPr>
          <w:rFonts w:hint="eastAsia" w:ascii="Times New Roman" w:hAnsi="Times New Roman" w:eastAsia="宋体" w:cs="Times New Roman"/>
          <w:color w:val="auto"/>
          <w:sz w:val="24"/>
          <w:szCs w:val="24"/>
          <w:u w:val="single" w:color="auto"/>
        </w:rPr>
        <w:t>年版），漆渣属于危险废物，类别HW12，代码900-252-12。集中收集在危废暂存间专用容器中，定期交有资质单位处置。</w:t>
      </w:r>
    </w:p>
    <w:p w14:paraId="29AC3527">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rPr>
        <w:t>⑪</w:t>
      </w:r>
      <w:r>
        <w:rPr>
          <w:rFonts w:ascii="Times New Roman" w:hAnsi="Times New Roman" w:eastAsia="宋体" w:cs="Times New Roman"/>
          <w:color w:val="auto"/>
          <w:sz w:val="24"/>
          <w:szCs w:val="24"/>
          <w:u w:val="none" w:color="auto"/>
        </w:rPr>
        <w:t>废含油抹布</w:t>
      </w:r>
      <w:r>
        <w:rPr>
          <w:rFonts w:hint="eastAsia" w:ascii="Times New Roman" w:hAnsi="Times New Roman" w:eastAsia="宋体" w:cs="Times New Roman"/>
          <w:color w:val="auto"/>
          <w:sz w:val="24"/>
          <w:szCs w:val="24"/>
          <w:u w:val="none" w:color="auto"/>
        </w:rPr>
        <w:t>S1</w:t>
      </w:r>
      <w:r>
        <w:rPr>
          <w:rFonts w:hint="eastAsia" w:ascii="Times New Roman" w:hAnsi="Times New Roman" w:eastAsia="宋体" w:cs="Times New Roman"/>
          <w:color w:val="auto"/>
          <w:sz w:val="24"/>
          <w:szCs w:val="24"/>
          <w:u w:val="none" w:color="auto"/>
          <w:lang w:val="en-US" w:eastAsia="zh-CN"/>
        </w:rPr>
        <w:t>6</w:t>
      </w:r>
    </w:p>
    <w:p w14:paraId="03EF32FC">
      <w:pPr>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本项目生产及检修过程中会产生含油抹布，</w:t>
      </w:r>
      <w:r>
        <w:rPr>
          <w:rFonts w:ascii="Times New Roman" w:hAnsi="Times New Roman" w:eastAsia="宋体" w:cs="Times New Roman"/>
          <w:color w:val="auto"/>
          <w:sz w:val="24"/>
          <w:szCs w:val="24"/>
          <w:u w:val="single" w:color="auto"/>
        </w:rPr>
        <w:t>本项目含油抹布产生量为</w:t>
      </w:r>
      <w:r>
        <w:rPr>
          <w:rFonts w:hint="eastAsia" w:ascii="Times New Roman" w:hAnsi="Times New Roman" w:eastAsia="宋体" w:cs="Times New Roman"/>
          <w:color w:val="auto"/>
          <w:sz w:val="24"/>
          <w:szCs w:val="24"/>
          <w:u w:val="single" w:color="auto"/>
          <w:lang w:val="en-US" w:eastAsia="zh-CN"/>
        </w:rPr>
        <w:t>0.5</w:t>
      </w:r>
      <w:r>
        <w:rPr>
          <w:rFonts w:ascii="Times New Roman" w:hAnsi="Times New Roman" w:eastAsia="宋体" w:cs="Times New Roman"/>
          <w:color w:val="auto"/>
          <w:sz w:val="24"/>
          <w:szCs w:val="24"/>
          <w:u w:val="single" w:color="auto"/>
        </w:rPr>
        <w:t>t/a，</w:t>
      </w:r>
      <w:r>
        <w:rPr>
          <w:rFonts w:ascii="Times New Roman" w:hAnsi="Times New Roman" w:eastAsia="宋体" w:cs="Times New Roman"/>
          <w:color w:val="auto"/>
          <w:sz w:val="24"/>
          <w:szCs w:val="24"/>
          <w:u w:val="none" w:color="auto"/>
        </w:rPr>
        <w:t>根据</w:t>
      </w:r>
      <w:r>
        <w:rPr>
          <w:rFonts w:hint="eastAsia" w:ascii="Times New Roman" w:hAnsi="Times New Roman" w:eastAsia="宋体" w:cs="Times New Roman"/>
          <w:color w:val="auto"/>
          <w:sz w:val="24"/>
          <w:szCs w:val="24"/>
          <w:u w:val="none" w:color="auto"/>
        </w:rPr>
        <w:t>《国家危险废物名录》（202</w:t>
      </w:r>
      <w:r>
        <w:rPr>
          <w:rFonts w:hint="eastAsia" w:ascii="Times New Roman" w:hAnsi="Times New Roman" w:eastAsia="宋体" w:cs="Times New Roman"/>
          <w:color w:val="auto"/>
          <w:sz w:val="24"/>
          <w:szCs w:val="24"/>
          <w:u w:val="none" w:color="auto"/>
          <w:lang w:val="en-US" w:eastAsia="zh-CN"/>
        </w:rPr>
        <w:t>5</w:t>
      </w:r>
      <w:r>
        <w:rPr>
          <w:rFonts w:hint="eastAsia" w:ascii="Times New Roman" w:hAnsi="Times New Roman" w:eastAsia="宋体" w:cs="Times New Roman"/>
          <w:color w:val="auto"/>
          <w:sz w:val="24"/>
          <w:szCs w:val="24"/>
          <w:u w:val="none" w:color="auto"/>
        </w:rPr>
        <w:t>年版），</w:t>
      </w:r>
      <w:r>
        <w:rPr>
          <w:rFonts w:ascii="Times New Roman" w:hAnsi="Times New Roman" w:eastAsia="宋体" w:cs="Times New Roman"/>
          <w:color w:val="auto"/>
          <w:sz w:val="24"/>
          <w:szCs w:val="24"/>
          <w:u w:val="none" w:color="auto"/>
        </w:rPr>
        <w:t>废含油抹布属于危险废物，类别HW49，代码900-041-49。集中收集在危废暂存间专用容器中，定期</w:t>
      </w:r>
      <w:r>
        <w:rPr>
          <w:rFonts w:hint="eastAsia" w:ascii="Times New Roman" w:hAnsi="Times New Roman" w:eastAsia="宋体" w:cs="Times New Roman"/>
          <w:color w:val="auto"/>
          <w:sz w:val="24"/>
          <w:szCs w:val="24"/>
          <w:u w:val="none" w:color="auto"/>
        </w:rPr>
        <w:t>交</w:t>
      </w:r>
      <w:r>
        <w:rPr>
          <w:rFonts w:ascii="Times New Roman" w:hAnsi="Times New Roman" w:eastAsia="宋体" w:cs="Times New Roman"/>
          <w:color w:val="auto"/>
          <w:sz w:val="24"/>
          <w:szCs w:val="24"/>
          <w:u w:val="none" w:color="auto"/>
        </w:rPr>
        <w:t>有资质</w:t>
      </w:r>
      <w:r>
        <w:rPr>
          <w:rFonts w:hint="eastAsia" w:ascii="Times New Roman" w:hAnsi="Times New Roman" w:eastAsia="宋体" w:cs="Times New Roman"/>
          <w:color w:val="auto"/>
          <w:sz w:val="24"/>
          <w:szCs w:val="24"/>
          <w:u w:val="none" w:color="auto"/>
        </w:rPr>
        <w:t>单位处置</w:t>
      </w:r>
      <w:r>
        <w:rPr>
          <w:rFonts w:ascii="Times New Roman" w:hAnsi="Times New Roman" w:eastAsia="宋体" w:cs="Times New Roman"/>
          <w:color w:val="auto"/>
          <w:sz w:val="24"/>
          <w:szCs w:val="24"/>
          <w:u w:val="none" w:color="auto"/>
        </w:rPr>
        <w:t>。</w:t>
      </w:r>
    </w:p>
    <w:p w14:paraId="63C702A1">
      <w:pPr>
        <w:snapToGrid w:val="0"/>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rPr>
        <w:t>3）</w:t>
      </w:r>
      <w:r>
        <w:rPr>
          <w:rFonts w:ascii="Times New Roman" w:hAnsi="Times New Roman" w:eastAsia="宋体" w:cs="Times New Roman"/>
          <w:color w:val="auto"/>
          <w:sz w:val="24"/>
          <w:szCs w:val="24"/>
          <w:u w:val="none" w:color="auto"/>
        </w:rPr>
        <w:t>生活垃圾</w:t>
      </w:r>
      <w:r>
        <w:rPr>
          <w:rFonts w:hint="eastAsia" w:ascii="Times New Roman" w:hAnsi="Times New Roman" w:eastAsia="宋体" w:cs="Times New Roman"/>
          <w:color w:val="auto"/>
          <w:sz w:val="24"/>
          <w:szCs w:val="24"/>
          <w:u w:val="none" w:color="auto"/>
        </w:rPr>
        <w:t>S1</w:t>
      </w:r>
      <w:r>
        <w:rPr>
          <w:rFonts w:hint="eastAsia" w:ascii="Times New Roman" w:hAnsi="Times New Roman" w:eastAsia="宋体" w:cs="Times New Roman"/>
          <w:color w:val="auto"/>
          <w:sz w:val="24"/>
          <w:szCs w:val="24"/>
          <w:u w:val="none" w:color="auto"/>
          <w:lang w:val="en-US" w:eastAsia="zh-CN"/>
        </w:rPr>
        <w:t>7</w:t>
      </w:r>
    </w:p>
    <w:p w14:paraId="0A6DBA2B">
      <w:pPr>
        <w:snapToGrid w:val="0"/>
        <w:spacing w:line="360" w:lineRule="auto"/>
        <w:ind w:firstLine="480" w:firstLineChars="200"/>
        <w:rPr>
          <w:rFonts w:ascii="Times New Roman" w:hAnsi="Times New Roman" w:eastAsia="宋体" w:cs="Times New Roman"/>
          <w:color w:val="auto"/>
          <w:sz w:val="24"/>
          <w:szCs w:val="24"/>
          <w:u w:val="none" w:color="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9" w:charSpace="0"/>
        </w:sectPr>
      </w:pPr>
      <w:r>
        <w:rPr>
          <w:rFonts w:ascii="Times New Roman" w:hAnsi="Times New Roman" w:eastAsia="宋体" w:cs="Times New Roman"/>
          <w:color w:val="auto"/>
          <w:sz w:val="24"/>
          <w:szCs w:val="24"/>
          <w:u w:val="none" w:color="auto"/>
        </w:rPr>
        <w:t>本项目劳动定员</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50人，生活垃圾按每人</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kg/d计，则每天产生生活垃圾量为</w:t>
      </w:r>
      <w:r>
        <w:rPr>
          <w:rFonts w:hint="eastAsia" w:ascii="Times New Roman" w:hAnsi="Times New Roman" w:eastAsia="宋体" w:cs="Times New Roman"/>
          <w:color w:val="auto"/>
          <w:sz w:val="24"/>
          <w:szCs w:val="24"/>
          <w:u w:val="none" w:color="auto"/>
        </w:rPr>
        <w:t>150</w:t>
      </w:r>
      <w:r>
        <w:rPr>
          <w:rFonts w:ascii="Times New Roman" w:hAnsi="Times New Roman" w:eastAsia="宋体" w:cs="Times New Roman"/>
          <w:color w:val="auto"/>
          <w:sz w:val="24"/>
          <w:szCs w:val="24"/>
          <w:u w:val="none" w:color="auto"/>
        </w:rPr>
        <w:t>kg/d，年工作日</w:t>
      </w:r>
      <w:r>
        <w:rPr>
          <w:rFonts w:hint="eastAsia" w:ascii="Times New Roman" w:hAnsi="Times New Roman" w:eastAsia="宋体" w:cs="Times New Roman"/>
          <w:color w:val="auto"/>
          <w:sz w:val="24"/>
          <w:szCs w:val="24"/>
          <w:u w:val="none" w:color="auto"/>
        </w:rPr>
        <w:t>33</w:t>
      </w:r>
      <w:r>
        <w:rPr>
          <w:rFonts w:ascii="Times New Roman" w:hAnsi="Times New Roman" w:eastAsia="宋体" w:cs="Times New Roman"/>
          <w:color w:val="auto"/>
          <w:sz w:val="24"/>
          <w:szCs w:val="24"/>
          <w:u w:val="none" w:color="auto"/>
        </w:rPr>
        <w:t>0天，生活垃圾年产生量</w:t>
      </w:r>
      <w:r>
        <w:rPr>
          <w:rFonts w:hint="eastAsia" w:ascii="Times New Roman" w:hAnsi="Times New Roman" w:eastAsia="宋体" w:cs="Times New Roman"/>
          <w:color w:val="auto"/>
          <w:sz w:val="24"/>
          <w:szCs w:val="24"/>
          <w:u w:val="none" w:color="auto"/>
        </w:rPr>
        <w:t>49.5</w:t>
      </w:r>
      <w:r>
        <w:rPr>
          <w:rFonts w:ascii="Times New Roman" w:hAnsi="Times New Roman" w:eastAsia="宋体" w:cs="Times New Roman"/>
          <w:color w:val="auto"/>
          <w:sz w:val="24"/>
          <w:szCs w:val="24"/>
          <w:u w:val="none" w:color="auto"/>
        </w:rPr>
        <w:t>t/a。</w:t>
      </w:r>
      <w:r>
        <w:rPr>
          <w:rFonts w:hint="default" w:ascii="Times New Roman" w:hAnsi="Times New Roman" w:eastAsia="宋体" w:cs="Times New Roman"/>
          <w:color w:val="auto"/>
          <w:sz w:val="24"/>
          <w:szCs w:val="24"/>
          <w:u w:val="none" w:color="auto"/>
        </w:rPr>
        <w:t>属于《固体废物分类与代码目录》（生态环境部2024年4号）中的“SW</w:t>
      </w:r>
      <w:r>
        <w:rPr>
          <w:rFonts w:hint="eastAsia" w:ascii="Times New Roman" w:hAnsi="Times New Roman" w:eastAsia="宋体" w:cs="Times New Roman"/>
          <w:color w:val="auto"/>
          <w:sz w:val="24"/>
          <w:szCs w:val="24"/>
          <w:u w:val="none" w:color="auto"/>
          <w:lang w:val="en-US" w:eastAsia="zh-CN"/>
        </w:rPr>
        <w:t>64其他垃圾</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非特定行业</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以上之外的生活垃圾</w:t>
      </w:r>
      <w:r>
        <w:rPr>
          <w:rFonts w:hint="default" w:ascii="Times New Roman" w:hAnsi="Times New Roman" w:eastAsia="宋体" w:cs="Times New Roman"/>
          <w:color w:val="auto"/>
          <w:sz w:val="24"/>
          <w:szCs w:val="24"/>
          <w:u w:val="none" w:color="auto"/>
        </w:rPr>
        <w:t>，废物代码</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900</w:t>
      </w:r>
      <w:r>
        <w:rPr>
          <w:rFonts w:hint="default" w:ascii="Times New Roman" w:hAnsi="Times New Roman" w:eastAsia="宋体" w:cs="Times New Roman"/>
          <w:color w:val="auto"/>
          <w:sz w:val="24"/>
          <w:szCs w:val="24"/>
          <w:u w:val="none" w:color="auto"/>
        </w:rPr>
        <w:t>-0</w:t>
      </w:r>
      <w:r>
        <w:rPr>
          <w:rFonts w:hint="eastAsia" w:ascii="Times New Roman" w:hAnsi="Times New Roman" w:eastAsia="宋体" w:cs="Times New Roman"/>
          <w:color w:val="auto"/>
          <w:sz w:val="24"/>
          <w:szCs w:val="24"/>
          <w:u w:val="none" w:color="auto"/>
          <w:lang w:val="en-US" w:eastAsia="zh-CN"/>
        </w:rPr>
        <w:t>99</w:t>
      </w:r>
      <w:r>
        <w:rPr>
          <w:rFonts w:hint="default" w:ascii="Times New Roman" w:hAnsi="Times New Roman" w:eastAsia="宋体" w:cs="Times New Roman"/>
          <w:color w:val="auto"/>
          <w:sz w:val="24"/>
          <w:szCs w:val="24"/>
          <w:u w:val="none" w:color="auto"/>
        </w:rPr>
        <w:t>-S</w:t>
      </w:r>
      <w:r>
        <w:rPr>
          <w:rFonts w:hint="eastAsia" w:ascii="Times New Roman" w:hAnsi="Times New Roman" w:eastAsia="宋体" w:cs="Times New Roman"/>
          <w:color w:val="auto"/>
          <w:sz w:val="24"/>
          <w:szCs w:val="24"/>
          <w:u w:val="none" w:color="auto"/>
          <w:lang w:val="en-US" w:eastAsia="zh-CN"/>
        </w:rPr>
        <w:t>64</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ascii="Times New Roman" w:hAnsi="Times New Roman" w:eastAsia="宋体" w:cs="Times New Roman"/>
          <w:color w:val="auto"/>
          <w:sz w:val="24"/>
          <w:szCs w:val="24"/>
          <w:u w:val="none" w:color="auto"/>
        </w:rPr>
        <w:t>生活垃圾设置垃圾桶集中收集，由环卫部门</w:t>
      </w:r>
      <w:r>
        <w:rPr>
          <w:rFonts w:hint="eastAsia" w:ascii="Times New Roman" w:hAnsi="Times New Roman" w:eastAsia="宋体" w:cs="Times New Roman"/>
          <w:color w:val="auto"/>
          <w:sz w:val="24"/>
          <w:szCs w:val="24"/>
          <w:u w:val="none" w:color="auto"/>
        </w:rPr>
        <w:t>清运</w:t>
      </w:r>
      <w:r>
        <w:rPr>
          <w:rFonts w:ascii="Times New Roman" w:hAnsi="Times New Roman" w:eastAsia="宋体" w:cs="Times New Roman"/>
          <w:color w:val="auto"/>
          <w:sz w:val="24"/>
          <w:szCs w:val="24"/>
          <w:u w:val="none" w:color="auto"/>
        </w:rPr>
        <w:t>处理。</w:t>
      </w:r>
    </w:p>
    <w:p w14:paraId="0E5E2834">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本项目营运期固体废物分析结果汇总表见表</w:t>
      </w:r>
      <w:r>
        <w:rPr>
          <w:rFonts w:hint="eastAsia" w:ascii="Times New Roman" w:hAnsi="Times New Roman" w:eastAsia="宋体" w:cs="Times New Roman"/>
          <w:color w:val="auto"/>
          <w:sz w:val="24"/>
          <w:szCs w:val="24"/>
          <w:u w:val="none" w:color="auto"/>
        </w:rPr>
        <w:t>2.3-1</w:t>
      </w:r>
      <w:r>
        <w:rPr>
          <w:rFonts w:hint="eastAsia" w:ascii="Times New Roman" w:hAnsi="Times New Roman" w:eastAsia="宋体" w:cs="Times New Roman"/>
          <w:color w:val="auto"/>
          <w:sz w:val="24"/>
          <w:szCs w:val="24"/>
          <w:u w:val="none" w:color="auto"/>
          <w:lang w:val="en-US" w:eastAsia="zh-CN"/>
        </w:rPr>
        <w:t>8</w:t>
      </w:r>
      <w:r>
        <w:rPr>
          <w:rFonts w:hint="eastAsia" w:ascii="Times New Roman" w:hAnsi="Times New Roman" w:eastAsia="宋体" w:cs="Times New Roman"/>
          <w:color w:val="auto"/>
          <w:sz w:val="24"/>
          <w:szCs w:val="24"/>
          <w:u w:val="none" w:color="auto"/>
        </w:rPr>
        <w:t>、表2.3-</w:t>
      </w:r>
      <w:r>
        <w:rPr>
          <w:rFonts w:hint="eastAsia" w:ascii="Times New Roman" w:hAnsi="Times New Roman" w:eastAsia="宋体" w:cs="Times New Roman"/>
          <w:color w:val="auto"/>
          <w:sz w:val="24"/>
          <w:szCs w:val="24"/>
          <w:u w:val="none" w:color="auto"/>
          <w:lang w:val="en-US" w:eastAsia="zh-CN"/>
        </w:rPr>
        <w:t>19</w:t>
      </w:r>
      <w:r>
        <w:rPr>
          <w:rFonts w:ascii="Times New Roman" w:hAnsi="Times New Roman" w:eastAsia="宋体" w:cs="Times New Roman"/>
          <w:color w:val="auto"/>
          <w:sz w:val="24"/>
          <w:szCs w:val="24"/>
          <w:u w:val="none" w:color="auto"/>
        </w:rPr>
        <w:t>。</w:t>
      </w:r>
    </w:p>
    <w:p w14:paraId="7E0283FB">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表2.3-1</w:t>
      </w:r>
      <w:r>
        <w:rPr>
          <w:rFonts w:hint="eastAsia" w:ascii="Times New Roman" w:hAnsi="Times New Roman" w:eastAsia="宋体" w:cs="Times New Roman"/>
          <w:b/>
          <w:color w:val="auto"/>
          <w:sz w:val="24"/>
          <w:szCs w:val="24"/>
          <w:u w:val="none" w:color="auto"/>
          <w:lang w:val="en-US" w:eastAsia="zh-CN"/>
        </w:rPr>
        <w:t>8</w:t>
      </w:r>
      <w:r>
        <w:rPr>
          <w:rFonts w:hint="eastAsia" w:ascii="Times New Roman" w:hAnsi="Times New Roman" w:eastAsia="宋体" w:cs="Times New Roman"/>
          <w:b/>
          <w:color w:val="auto"/>
          <w:sz w:val="24"/>
          <w:szCs w:val="24"/>
          <w:u w:val="none" w:color="auto"/>
        </w:rPr>
        <w:t xml:space="preserve"> 本项目固体废物属性鉴定表</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022"/>
        <w:gridCol w:w="717"/>
        <w:gridCol w:w="1934"/>
        <w:gridCol w:w="556"/>
        <w:gridCol w:w="1832"/>
        <w:gridCol w:w="768"/>
        <w:gridCol w:w="1097"/>
        <w:gridCol w:w="1364"/>
        <w:gridCol w:w="1199"/>
        <w:gridCol w:w="1954"/>
      </w:tblGrid>
      <w:tr w14:paraId="0B767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395823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713" w:type="pct"/>
            <w:vAlign w:val="center"/>
          </w:tcPr>
          <w:p w14:paraId="4F73C04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固体废物名称</w:t>
            </w:r>
          </w:p>
        </w:tc>
        <w:tc>
          <w:tcPr>
            <w:tcW w:w="253" w:type="pct"/>
            <w:vAlign w:val="center"/>
          </w:tcPr>
          <w:p w14:paraId="28839DA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属性</w:t>
            </w:r>
          </w:p>
        </w:tc>
        <w:tc>
          <w:tcPr>
            <w:tcW w:w="682" w:type="pct"/>
            <w:vAlign w:val="center"/>
          </w:tcPr>
          <w:p w14:paraId="49EA334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产生工序</w:t>
            </w:r>
          </w:p>
        </w:tc>
        <w:tc>
          <w:tcPr>
            <w:tcW w:w="196" w:type="pct"/>
            <w:vAlign w:val="center"/>
          </w:tcPr>
          <w:p w14:paraId="3C42EB6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形态</w:t>
            </w:r>
          </w:p>
        </w:tc>
        <w:tc>
          <w:tcPr>
            <w:tcW w:w="646" w:type="pct"/>
            <w:vAlign w:val="center"/>
          </w:tcPr>
          <w:p w14:paraId="1E8E5A8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主要成分</w:t>
            </w:r>
          </w:p>
        </w:tc>
        <w:tc>
          <w:tcPr>
            <w:tcW w:w="271" w:type="pct"/>
            <w:vAlign w:val="center"/>
          </w:tcPr>
          <w:p w14:paraId="7656177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危险特性</w:t>
            </w:r>
          </w:p>
        </w:tc>
        <w:tc>
          <w:tcPr>
            <w:tcW w:w="387" w:type="pct"/>
            <w:vAlign w:val="center"/>
          </w:tcPr>
          <w:p w14:paraId="3B614F9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废物类别</w:t>
            </w:r>
          </w:p>
        </w:tc>
        <w:tc>
          <w:tcPr>
            <w:tcW w:w="481" w:type="pct"/>
            <w:vAlign w:val="center"/>
          </w:tcPr>
          <w:p w14:paraId="74AB837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废物代码</w:t>
            </w:r>
          </w:p>
        </w:tc>
        <w:tc>
          <w:tcPr>
            <w:tcW w:w="423" w:type="pct"/>
            <w:vAlign w:val="center"/>
          </w:tcPr>
          <w:p w14:paraId="3558EB1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产生量t/a</w:t>
            </w:r>
          </w:p>
        </w:tc>
        <w:tc>
          <w:tcPr>
            <w:tcW w:w="689" w:type="pct"/>
            <w:vAlign w:val="center"/>
          </w:tcPr>
          <w:p w14:paraId="68DCC65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废物去向</w:t>
            </w:r>
          </w:p>
        </w:tc>
      </w:tr>
      <w:tr w14:paraId="476FA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5145C65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713" w:type="pct"/>
            <w:vAlign w:val="center"/>
          </w:tcPr>
          <w:p w14:paraId="186F879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切割下脚料S1</w:t>
            </w:r>
          </w:p>
        </w:tc>
        <w:tc>
          <w:tcPr>
            <w:tcW w:w="253" w:type="pct"/>
            <w:vMerge w:val="restart"/>
            <w:vAlign w:val="center"/>
          </w:tcPr>
          <w:p w14:paraId="036C7A8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一般固废</w:t>
            </w:r>
          </w:p>
        </w:tc>
        <w:tc>
          <w:tcPr>
            <w:tcW w:w="682" w:type="pct"/>
            <w:vAlign w:val="center"/>
          </w:tcPr>
          <w:p w14:paraId="7161A80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切割及机加工</w:t>
            </w:r>
          </w:p>
        </w:tc>
        <w:tc>
          <w:tcPr>
            <w:tcW w:w="196" w:type="pct"/>
            <w:vAlign w:val="center"/>
          </w:tcPr>
          <w:p w14:paraId="3EA7877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7693491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钢材</w:t>
            </w:r>
          </w:p>
        </w:tc>
        <w:tc>
          <w:tcPr>
            <w:tcW w:w="271" w:type="pct"/>
            <w:vAlign w:val="center"/>
          </w:tcPr>
          <w:p w14:paraId="6274905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637536A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37D82F4F">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900-001-S17</w:t>
            </w:r>
          </w:p>
        </w:tc>
        <w:tc>
          <w:tcPr>
            <w:tcW w:w="423" w:type="pct"/>
            <w:vAlign w:val="center"/>
          </w:tcPr>
          <w:p w14:paraId="27BE8E85">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1300</w:t>
            </w:r>
          </w:p>
        </w:tc>
        <w:tc>
          <w:tcPr>
            <w:tcW w:w="689" w:type="pct"/>
            <w:vMerge w:val="restart"/>
            <w:vAlign w:val="center"/>
          </w:tcPr>
          <w:p w14:paraId="5EECC39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集中收集在一般固废暂存间，定期外售</w:t>
            </w:r>
          </w:p>
        </w:tc>
      </w:tr>
      <w:tr w14:paraId="59DCA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03D0B62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w:t>
            </w:r>
          </w:p>
        </w:tc>
        <w:tc>
          <w:tcPr>
            <w:tcW w:w="713" w:type="pct"/>
            <w:vAlign w:val="center"/>
          </w:tcPr>
          <w:p w14:paraId="0F6A0C2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净化器除尘灰S2</w:t>
            </w:r>
          </w:p>
        </w:tc>
        <w:tc>
          <w:tcPr>
            <w:tcW w:w="253" w:type="pct"/>
            <w:vMerge w:val="continue"/>
            <w:vAlign w:val="center"/>
          </w:tcPr>
          <w:p w14:paraId="02D2421D">
            <w:pPr>
              <w:jc w:val="center"/>
              <w:rPr>
                <w:rFonts w:ascii="Times New Roman" w:hAnsi="Times New Roman" w:eastAsia="宋体" w:cs="Times New Roman"/>
                <w:color w:val="auto"/>
                <w:szCs w:val="21"/>
                <w:u w:val="single" w:color="auto"/>
              </w:rPr>
            </w:pPr>
          </w:p>
        </w:tc>
        <w:tc>
          <w:tcPr>
            <w:tcW w:w="682" w:type="pct"/>
            <w:vAlign w:val="center"/>
          </w:tcPr>
          <w:p w14:paraId="2D60389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净化器除尘</w:t>
            </w:r>
          </w:p>
        </w:tc>
        <w:tc>
          <w:tcPr>
            <w:tcW w:w="196" w:type="pct"/>
            <w:vAlign w:val="center"/>
          </w:tcPr>
          <w:p w14:paraId="32FC94E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70F21F2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铁粉</w:t>
            </w:r>
          </w:p>
        </w:tc>
        <w:tc>
          <w:tcPr>
            <w:tcW w:w="271" w:type="pct"/>
            <w:vAlign w:val="center"/>
          </w:tcPr>
          <w:p w14:paraId="6B3A23F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6413DD9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7A990A68">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900-001-S17</w:t>
            </w:r>
          </w:p>
        </w:tc>
        <w:tc>
          <w:tcPr>
            <w:tcW w:w="423" w:type="pct"/>
            <w:vAlign w:val="center"/>
          </w:tcPr>
          <w:p w14:paraId="11BA5F7A">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70.402</w:t>
            </w:r>
          </w:p>
        </w:tc>
        <w:tc>
          <w:tcPr>
            <w:tcW w:w="689" w:type="pct"/>
            <w:vMerge w:val="continue"/>
            <w:vAlign w:val="center"/>
          </w:tcPr>
          <w:p w14:paraId="0F42747D">
            <w:pPr>
              <w:jc w:val="center"/>
              <w:rPr>
                <w:rFonts w:ascii="Times New Roman" w:hAnsi="Times New Roman" w:eastAsia="宋体" w:cs="Times New Roman"/>
                <w:color w:val="auto"/>
                <w:szCs w:val="21"/>
                <w:u w:val="single" w:color="auto"/>
              </w:rPr>
            </w:pPr>
          </w:p>
        </w:tc>
      </w:tr>
      <w:tr w14:paraId="38127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61BB91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713" w:type="pct"/>
            <w:vAlign w:val="center"/>
          </w:tcPr>
          <w:p w14:paraId="6416771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滤筒除尘灰S3</w:t>
            </w:r>
          </w:p>
        </w:tc>
        <w:tc>
          <w:tcPr>
            <w:tcW w:w="253" w:type="pct"/>
            <w:vMerge w:val="continue"/>
            <w:vAlign w:val="center"/>
          </w:tcPr>
          <w:p w14:paraId="66C29736">
            <w:pPr>
              <w:jc w:val="center"/>
              <w:rPr>
                <w:rFonts w:ascii="Times New Roman" w:hAnsi="Times New Roman" w:eastAsia="宋体" w:cs="Times New Roman"/>
                <w:color w:val="auto"/>
                <w:szCs w:val="21"/>
                <w:u w:val="single" w:color="auto"/>
              </w:rPr>
            </w:pPr>
          </w:p>
        </w:tc>
        <w:tc>
          <w:tcPr>
            <w:tcW w:w="682" w:type="pct"/>
            <w:vAlign w:val="center"/>
          </w:tcPr>
          <w:p w14:paraId="66C0F908">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滤筒除尘</w:t>
            </w:r>
          </w:p>
        </w:tc>
        <w:tc>
          <w:tcPr>
            <w:tcW w:w="196" w:type="pct"/>
            <w:vAlign w:val="center"/>
          </w:tcPr>
          <w:p w14:paraId="2AD5CE5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3EDB5DE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铁粉</w:t>
            </w:r>
          </w:p>
        </w:tc>
        <w:tc>
          <w:tcPr>
            <w:tcW w:w="271" w:type="pct"/>
            <w:vAlign w:val="center"/>
          </w:tcPr>
          <w:p w14:paraId="019D9F2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5C919A7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0B44A0B5">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900-001-S17</w:t>
            </w:r>
          </w:p>
        </w:tc>
        <w:tc>
          <w:tcPr>
            <w:tcW w:w="423" w:type="pct"/>
            <w:vAlign w:val="center"/>
          </w:tcPr>
          <w:p w14:paraId="7B98DBD0">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224.064</w:t>
            </w:r>
          </w:p>
        </w:tc>
        <w:tc>
          <w:tcPr>
            <w:tcW w:w="689" w:type="pct"/>
            <w:vMerge w:val="continue"/>
            <w:vAlign w:val="center"/>
          </w:tcPr>
          <w:p w14:paraId="43F8DC51">
            <w:pPr>
              <w:jc w:val="center"/>
              <w:rPr>
                <w:rFonts w:ascii="Times New Roman" w:hAnsi="Times New Roman" w:eastAsia="宋体" w:cs="Times New Roman"/>
                <w:color w:val="auto"/>
                <w:szCs w:val="21"/>
                <w:u w:val="single" w:color="auto"/>
              </w:rPr>
            </w:pPr>
          </w:p>
        </w:tc>
      </w:tr>
      <w:tr w14:paraId="1AF66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554BD0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w:t>
            </w:r>
          </w:p>
        </w:tc>
        <w:tc>
          <w:tcPr>
            <w:tcW w:w="713" w:type="pct"/>
            <w:vAlign w:val="center"/>
          </w:tcPr>
          <w:p w14:paraId="152009A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废焊条焊渣S4</w:t>
            </w:r>
          </w:p>
        </w:tc>
        <w:tc>
          <w:tcPr>
            <w:tcW w:w="253" w:type="pct"/>
            <w:vMerge w:val="continue"/>
            <w:vAlign w:val="center"/>
          </w:tcPr>
          <w:p w14:paraId="006D9505">
            <w:pPr>
              <w:jc w:val="center"/>
              <w:rPr>
                <w:rFonts w:ascii="Times New Roman" w:hAnsi="Times New Roman" w:eastAsia="宋体" w:cs="Times New Roman"/>
                <w:color w:val="auto"/>
                <w:szCs w:val="21"/>
                <w:u w:val="single" w:color="auto"/>
              </w:rPr>
            </w:pPr>
          </w:p>
        </w:tc>
        <w:tc>
          <w:tcPr>
            <w:tcW w:w="682" w:type="pct"/>
            <w:vAlign w:val="center"/>
          </w:tcPr>
          <w:p w14:paraId="7C0C56F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焊接</w:t>
            </w:r>
          </w:p>
        </w:tc>
        <w:tc>
          <w:tcPr>
            <w:tcW w:w="196" w:type="pct"/>
            <w:vAlign w:val="center"/>
          </w:tcPr>
          <w:p w14:paraId="29D5DDE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31965EA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焊条焊渣</w:t>
            </w:r>
          </w:p>
        </w:tc>
        <w:tc>
          <w:tcPr>
            <w:tcW w:w="271" w:type="pct"/>
            <w:vAlign w:val="center"/>
          </w:tcPr>
          <w:p w14:paraId="625EB1E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118197E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4839736C">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900-099-S17</w:t>
            </w:r>
          </w:p>
        </w:tc>
        <w:tc>
          <w:tcPr>
            <w:tcW w:w="423" w:type="pct"/>
            <w:vAlign w:val="center"/>
          </w:tcPr>
          <w:p w14:paraId="146295AF">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35.35</w:t>
            </w:r>
          </w:p>
        </w:tc>
        <w:tc>
          <w:tcPr>
            <w:tcW w:w="689" w:type="pct"/>
            <w:vMerge w:val="continue"/>
            <w:vAlign w:val="center"/>
          </w:tcPr>
          <w:p w14:paraId="42949BD1">
            <w:pPr>
              <w:jc w:val="center"/>
              <w:rPr>
                <w:rFonts w:ascii="Times New Roman" w:hAnsi="Times New Roman" w:eastAsia="宋体" w:cs="Times New Roman"/>
                <w:color w:val="auto"/>
                <w:szCs w:val="21"/>
                <w:u w:val="single" w:color="auto"/>
              </w:rPr>
            </w:pPr>
          </w:p>
        </w:tc>
      </w:tr>
      <w:tr w14:paraId="59DC5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664CB1F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5</w:t>
            </w:r>
          </w:p>
        </w:tc>
        <w:tc>
          <w:tcPr>
            <w:tcW w:w="713" w:type="pct"/>
            <w:vAlign w:val="center"/>
          </w:tcPr>
          <w:p w14:paraId="57A6971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废钢丸S5</w:t>
            </w:r>
          </w:p>
        </w:tc>
        <w:tc>
          <w:tcPr>
            <w:tcW w:w="253" w:type="pct"/>
            <w:vMerge w:val="continue"/>
            <w:vAlign w:val="center"/>
          </w:tcPr>
          <w:p w14:paraId="4212341A">
            <w:pPr>
              <w:jc w:val="center"/>
              <w:rPr>
                <w:rFonts w:ascii="Times New Roman" w:hAnsi="Times New Roman" w:eastAsia="宋体" w:cs="Times New Roman"/>
                <w:color w:val="auto"/>
                <w:szCs w:val="21"/>
                <w:u w:val="single" w:color="auto"/>
              </w:rPr>
            </w:pPr>
          </w:p>
        </w:tc>
        <w:tc>
          <w:tcPr>
            <w:tcW w:w="682" w:type="pct"/>
            <w:vAlign w:val="center"/>
          </w:tcPr>
          <w:p w14:paraId="54D5BBD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抛丸</w:t>
            </w:r>
          </w:p>
        </w:tc>
        <w:tc>
          <w:tcPr>
            <w:tcW w:w="196" w:type="pct"/>
            <w:vAlign w:val="center"/>
          </w:tcPr>
          <w:p w14:paraId="4D9C936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6337BD4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钢材</w:t>
            </w:r>
          </w:p>
        </w:tc>
        <w:tc>
          <w:tcPr>
            <w:tcW w:w="271" w:type="pct"/>
            <w:vAlign w:val="center"/>
          </w:tcPr>
          <w:p w14:paraId="7C5BE81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427B6A4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0DD9D47B">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900-001-S17</w:t>
            </w:r>
          </w:p>
        </w:tc>
        <w:tc>
          <w:tcPr>
            <w:tcW w:w="423" w:type="pct"/>
            <w:vAlign w:val="center"/>
          </w:tcPr>
          <w:p w14:paraId="16B6636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500</w:t>
            </w:r>
          </w:p>
        </w:tc>
        <w:tc>
          <w:tcPr>
            <w:tcW w:w="689" w:type="pct"/>
            <w:vMerge w:val="continue"/>
            <w:vAlign w:val="center"/>
          </w:tcPr>
          <w:p w14:paraId="64A0913D">
            <w:pPr>
              <w:jc w:val="center"/>
              <w:rPr>
                <w:rFonts w:ascii="Times New Roman" w:hAnsi="Times New Roman" w:eastAsia="宋体" w:cs="Times New Roman"/>
                <w:color w:val="auto"/>
                <w:szCs w:val="21"/>
                <w:u w:val="single" w:color="auto"/>
              </w:rPr>
            </w:pPr>
          </w:p>
        </w:tc>
      </w:tr>
      <w:tr w14:paraId="3D847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959E65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7</w:t>
            </w:r>
          </w:p>
        </w:tc>
        <w:tc>
          <w:tcPr>
            <w:tcW w:w="713" w:type="pct"/>
            <w:vAlign w:val="center"/>
          </w:tcPr>
          <w:p w14:paraId="59D92E0F">
            <w:pPr>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rPr>
              <w:t>沉降粉尘</w:t>
            </w:r>
            <w:r>
              <w:rPr>
                <w:rFonts w:ascii="Times New Roman" w:hAnsi="Times New Roman" w:eastAsia="宋体" w:cs="Times New Roman"/>
                <w:color w:val="auto"/>
                <w:szCs w:val="21"/>
                <w:u w:val="single" w:color="auto"/>
              </w:rPr>
              <w:t>S</w:t>
            </w:r>
            <w:r>
              <w:rPr>
                <w:rFonts w:hint="eastAsia" w:ascii="Times New Roman" w:hAnsi="Times New Roman" w:eastAsia="宋体" w:cs="Times New Roman"/>
                <w:color w:val="auto"/>
                <w:szCs w:val="21"/>
                <w:u w:val="single" w:color="auto"/>
                <w:lang w:val="en-US" w:eastAsia="zh-CN"/>
              </w:rPr>
              <w:t>6</w:t>
            </w:r>
          </w:p>
        </w:tc>
        <w:tc>
          <w:tcPr>
            <w:tcW w:w="253" w:type="pct"/>
            <w:vMerge w:val="continue"/>
            <w:vAlign w:val="center"/>
          </w:tcPr>
          <w:p w14:paraId="3DC65CCD">
            <w:pPr>
              <w:jc w:val="center"/>
              <w:rPr>
                <w:rFonts w:ascii="Times New Roman" w:hAnsi="Times New Roman" w:eastAsia="宋体" w:cs="Times New Roman"/>
                <w:color w:val="auto"/>
                <w:szCs w:val="21"/>
                <w:u w:val="single" w:color="auto"/>
              </w:rPr>
            </w:pPr>
          </w:p>
        </w:tc>
        <w:tc>
          <w:tcPr>
            <w:tcW w:w="682" w:type="pct"/>
            <w:vAlign w:val="center"/>
          </w:tcPr>
          <w:p w14:paraId="3D97C2A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w:t>
            </w:r>
            <w:r>
              <w:rPr>
                <w:rFonts w:hint="eastAsia" w:ascii="Times New Roman" w:hAnsi="Times New Roman" w:eastAsia="宋体" w:cs="Times New Roman"/>
                <w:color w:val="auto"/>
                <w:szCs w:val="21"/>
                <w:u w:val="single" w:color="auto"/>
              </w:rPr>
              <w:t>处理</w:t>
            </w:r>
          </w:p>
        </w:tc>
        <w:tc>
          <w:tcPr>
            <w:tcW w:w="196" w:type="pct"/>
            <w:vAlign w:val="center"/>
          </w:tcPr>
          <w:p w14:paraId="6FFA7C2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119BBFA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编织物</w:t>
            </w:r>
          </w:p>
        </w:tc>
        <w:tc>
          <w:tcPr>
            <w:tcW w:w="271" w:type="pct"/>
            <w:vAlign w:val="center"/>
          </w:tcPr>
          <w:p w14:paraId="58A8E2A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387" w:type="pct"/>
            <w:vAlign w:val="center"/>
          </w:tcPr>
          <w:p w14:paraId="5FE692F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w:t>
            </w:r>
          </w:p>
        </w:tc>
        <w:tc>
          <w:tcPr>
            <w:tcW w:w="481" w:type="pct"/>
            <w:vAlign w:val="center"/>
          </w:tcPr>
          <w:p w14:paraId="210F7633">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900-001-S17</w:t>
            </w:r>
          </w:p>
        </w:tc>
        <w:tc>
          <w:tcPr>
            <w:tcW w:w="423" w:type="pct"/>
            <w:vAlign w:val="center"/>
          </w:tcPr>
          <w:p w14:paraId="13697EBE">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176.426</w:t>
            </w:r>
          </w:p>
        </w:tc>
        <w:tc>
          <w:tcPr>
            <w:tcW w:w="689" w:type="pct"/>
            <w:vMerge w:val="continue"/>
            <w:vAlign w:val="center"/>
          </w:tcPr>
          <w:p w14:paraId="56863D85">
            <w:pPr>
              <w:jc w:val="center"/>
              <w:rPr>
                <w:rFonts w:ascii="Times New Roman" w:hAnsi="Times New Roman" w:eastAsia="宋体" w:cs="Times New Roman"/>
                <w:color w:val="auto"/>
                <w:szCs w:val="21"/>
                <w:u w:val="single" w:color="auto"/>
              </w:rPr>
            </w:pPr>
          </w:p>
        </w:tc>
      </w:tr>
      <w:tr w14:paraId="7C17B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6488B98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8</w:t>
            </w:r>
          </w:p>
        </w:tc>
        <w:tc>
          <w:tcPr>
            <w:tcW w:w="713" w:type="pct"/>
            <w:vAlign w:val="center"/>
          </w:tcPr>
          <w:p w14:paraId="6E38ADA3">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废过滤棉S</w:t>
            </w:r>
            <w:r>
              <w:rPr>
                <w:rFonts w:hint="eastAsia" w:ascii="Times New Roman" w:hAnsi="Times New Roman" w:eastAsia="宋体" w:cs="Times New Roman"/>
                <w:color w:val="auto"/>
                <w:szCs w:val="21"/>
                <w:u w:val="single" w:color="auto"/>
                <w:lang w:val="en-US" w:eastAsia="zh-CN"/>
              </w:rPr>
              <w:t>7</w:t>
            </w:r>
          </w:p>
        </w:tc>
        <w:tc>
          <w:tcPr>
            <w:tcW w:w="253" w:type="pct"/>
            <w:vMerge w:val="restart"/>
            <w:vAlign w:val="center"/>
          </w:tcPr>
          <w:p w14:paraId="5355AF00">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682" w:type="pct"/>
            <w:vAlign w:val="center"/>
          </w:tcPr>
          <w:p w14:paraId="161528A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干式漆雾过滤器</w:t>
            </w:r>
          </w:p>
        </w:tc>
        <w:tc>
          <w:tcPr>
            <w:tcW w:w="196" w:type="pct"/>
            <w:vAlign w:val="center"/>
          </w:tcPr>
          <w:p w14:paraId="5E4F201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0648ECE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漆渣及过滤棉</w:t>
            </w:r>
          </w:p>
        </w:tc>
        <w:tc>
          <w:tcPr>
            <w:tcW w:w="271" w:type="pct"/>
            <w:vAlign w:val="center"/>
          </w:tcPr>
          <w:p w14:paraId="3D6ABD6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2307217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2BCB3ED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30373C32">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58.496</w:t>
            </w:r>
          </w:p>
        </w:tc>
        <w:tc>
          <w:tcPr>
            <w:tcW w:w="689" w:type="pct"/>
            <w:vMerge w:val="restart"/>
            <w:vAlign w:val="center"/>
          </w:tcPr>
          <w:p w14:paraId="5892EA2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集中收集在危废暂存间专用容器中，定期</w:t>
            </w:r>
            <w:r>
              <w:rPr>
                <w:rFonts w:hint="eastAsia" w:ascii="Times New Roman" w:hAnsi="Times New Roman" w:eastAsia="宋体" w:cs="Times New Roman"/>
                <w:color w:val="auto"/>
                <w:szCs w:val="21"/>
                <w:u w:val="single" w:color="auto"/>
              </w:rPr>
              <w:t>交</w:t>
            </w:r>
            <w:r>
              <w:rPr>
                <w:rFonts w:ascii="Times New Roman" w:hAnsi="Times New Roman" w:eastAsia="宋体" w:cs="Times New Roman"/>
                <w:color w:val="auto"/>
                <w:szCs w:val="21"/>
                <w:u w:val="single" w:color="auto"/>
              </w:rPr>
              <w:t>有资质单位</w:t>
            </w:r>
            <w:r>
              <w:rPr>
                <w:rFonts w:hint="eastAsia" w:ascii="Times New Roman" w:hAnsi="Times New Roman" w:eastAsia="宋体" w:cs="Times New Roman"/>
                <w:color w:val="auto"/>
                <w:szCs w:val="21"/>
                <w:u w:val="single" w:color="auto"/>
              </w:rPr>
              <w:t>处理</w:t>
            </w:r>
          </w:p>
        </w:tc>
      </w:tr>
      <w:tr w14:paraId="42FD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512FC0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w:t>
            </w:r>
          </w:p>
        </w:tc>
        <w:tc>
          <w:tcPr>
            <w:tcW w:w="713" w:type="pct"/>
            <w:vAlign w:val="center"/>
          </w:tcPr>
          <w:p w14:paraId="2F621EDA">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废活性炭S</w:t>
            </w:r>
            <w:r>
              <w:rPr>
                <w:rFonts w:hint="eastAsia" w:ascii="Times New Roman" w:hAnsi="Times New Roman" w:eastAsia="宋体" w:cs="Times New Roman"/>
                <w:color w:val="auto"/>
                <w:szCs w:val="21"/>
                <w:u w:val="single" w:color="auto"/>
                <w:lang w:val="en-US" w:eastAsia="zh-CN"/>
              </w:rPr>
              <w:t>8</w:t>
            </w:r>
          </w:p>
        </w:tc>
        <w:tc>
          <w:tcPr>
            <w:tcW w:w="253" w:type="pct"/>
            <w:vMerge w:val="continue"/>
            <w:vAlign w:val="center"/>
          </w:tcPr>
          <w:p w14:paraId="49DD3CAA">
            <w:pPr>
              <w:jc w:val="center"/>
              <w:rPr>
                <w:rFonts w:ascii="Times New Roman" w:hAnsi="Times New Roman" w:eastAsia="宋体" w:cs="Times New Roman"/>
                <w:color w:val="auto"/>
                <w:szCs w:val="21"/>
                <w:u w:val="single" w:color="auto"/>
              </w:rPr>
            </w:pPr>
          </w:p>
        </w:tc>
        <w:tc>
          <w:tcPr>
            <w:tcW w:w="682" w:type="pct"/>
            <w:vAlign w:val="center"/>
          </w:tcPr>
          <w:p w14:paraId="5BC3246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活性炭吸附</w:t>
            </w:r>
          </w:p>
        </w:tc>
        <w:tc>
          <w:tcPr>
            <w:tcW w:w="196" w:type="pct"/>
            <w:vAlign w:val="center"/>
          </w:tcPr>
          <w:p w14:paraId="0122FE5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0F9A897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活性炭</w:t>
            </w:r>
          </w:p>
        </w:tc>
        <w:tc>
          <w:tcPr>
            <w:tcW w:w="271" w:type="pct"/>
            <w:vAlign w:val="center"/>
          </w:tcPr>
          <w:p w14:paraId="77917EB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78FF797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31CB87A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251561EC">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2.778</w:t>
            </w:r>
          </w:p>
        </w:tc>
        <w:tc>
          <w:tcPr>
            <w:tcW w:w="689" w:type="pct"/>
            <w:vMerge w:val="continue"/>
            <w:vAlign w:val="center"/>
          </w:tcPr>
          <w:p w14:paraId="003C1B71">
            <w:pPr>
              <w:jc w:val="center"/>
              <w:rPr>
                <w:rFonts w:ascii="Times New Roman" w:hAnsi="Times New Roman" w:eastAsia="宋体" w:cs="Times New Roman"/>
                <w:color w:val="auto"/>
                <w:szCs w:val="21"/>
                <w:u w:val="single" w:color="auto"/>
              </w:rPr>
            </w:pPr>
          </w:p>
        </w:tc>
      </w:tr>
      <w:tr w14:paraId="33DB4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34C0204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10</w:t>
            </w:r>
          </w:p>
        </w:tc>
        <w:tc>
          <w:tcPr>
            <w:tcW w:w="713" w:type="pct"/>
            <w:vAlign w:val="center"/>
          </w:tcPr>
          <w:p w14:paraId="03BD06A6">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废催化剂S</w:t>
            </w:r>
            <w:r>
              <w:rPr>
                <w:rFonts w:hint="eastAsia" w:ascii="Times New Roman" w:hAnsi="Times New Roman" w:eastAsia="宋体" w:cs="Times New Roman"/>
                <w:color w:val="auto"/>
                <w:szCs w:val="21"/>
                <w:u w:val="single" w:color="auto"/>
                <w:lang w:val="en-US" w:eastAsia="zh-CN"/>
              </w:rPr>
              <w:t>9</w:t>
            </w:r>
          </w:p>
        </w:tc>
        <w:tc>
          <w:tcPr>
            <w:tcW w:w="253" w:type="pct"/>
            <w:vMerge w:val="continue"/>
            <w:vAlign w:val="center"/>
          </w:tcPr>
          <w:p w14:paraId="345A32C1">
            <w:pPr>
              <w:jc w:val="center"/>
              <w:rPr>
                <w:rFonts w:ascii="Times New Roman" w:hAnsi="Times New Roman" w:eastAsia="宋体" w:cs="Times New Roman"/>
                <w:color w:val="auto"/>
                <w:szCs w:val="21"/>
                <w:u w:val="single" w:color="auto"/>
              </w:rPr>
            </w:pPr>
          </w:p>
        </w:tc>
        <w:tc>
          <w:tcPr>
            <w:tcW w:w="682" w:type="pct"/>
            <w:vAlign w:val="center"/>
          </w:tcPr>
          <w:p w14:paraId="428082B6">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有机</w:t>
            </w:r>
            <w:r>
              <w:rPr>
                <w:rFonts w:ascii="Times New Roman" w:hAnsi="Times New Roman" w:eastAsia="宋体" w:cs="Times New Roman"/>
                <w:color w:val="auto"/>
                <w:szCs w:val="21"/>
                <w:u w:val="single" w:color="auto"/>
              </w:rPr>
              <w:t>废气处理</w:t>
            </w:r>
          </w:p>
        </w:tc>
        <w:tc>
          <w:tcPr>
            <w:tcW w:w="196" w:type="pct"/>
            <w:vAlign w:val="center"/>
          </w:tcPr>
          <w:p w14:paraId="5523040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76F9EEA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废催化剂</w:t>
            </w:r>
          </w:p>
        </w:tc>
        <w:tc>
          <w:tcPr>
            <w:tcW w:w="271" w:type="pct"/>
            <w:vAlign w:val="center"/>
          </w:tcPr>
          <w:p w14:paraId="26EB9F7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0C657C6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6F05212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5CBFBA8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0.1</w:t>
            </w:r>
          </w:p>
        </w:tc>
        <w:tc>
          <w:tcPr>
            <w:tcW w:w="689" w:type="pct"/>
            <w:vMerge w:val="continue"/>
            <w:vAlign w:val="center"/>
          </w:tcPr>
          <w:p w14:paraId="2738D3B9">
            <w:pPr>
              <w:jc w:val="center"/>
              <w:rPr>
                <w:rFonts w:ascii="Times New Roman" w:hAnsi="Times New Roman" w:eastAsia="宋体" w:cs="Times New Roman"/>
                <w:color w:val="auto"/>
                <w:szCs w:val="21"/>
                <w:u w:val="single" w:color="auto"/>
              </w:rPr>
            </w:pPr>
          </w:p>
        </w:tc>
      </w:tr>
      <w:tr w14:paraId="33D9F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254" w:type="pct"/>
            <w:vAlign w:val="center"/>
          </w:tcPr>
          <w:p w14:paraId="35F77D3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11</w:t>
            </w:r>
          </w:p>
        </w:tc>
        <w:tc>
          <w:tcPr>
            <w:tcW w:w="713" w:type="pct"/>
            <w:vAlign w:val="center"/>
          </w:tcPr>
          <w:p w14:paraId="1349BFFB">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废油漆桶S1</w:t>
            </w:r>
            <w:r>
              <w:rPr>
                <w:rFonts w:hint="eastAsia" w:ascii="Times New Roman" w:hAnsi="Times New Roman" w:eastAsia="宋体" w:cs="Times New Roman"/>
                <w:color w:val="auto"/>
                <w:szCs w:val="21"/>
                <w:u w:val="single" w:color="auto"/>
                <w:lang w:val="en-US" w:eastAsia="zh-CN"/>
              </w:rPr>
              <w:t>0</w:t>
            </w:r>
          </w:p>
        </w:tc>
        <w:tc>
          <w:tcPr>
            <w:tcW w:w="253" w:type="pct"/>
            <w:vMerge w:val="continue"/>
            <w:vAlign w:val="center"/>
          </w:tcPr>
          <w:p w14:paraId="21975255">
            <w:pPr>
              <w:jc w:val="center"/>
              <w:rPr>
                <w:rFonts w:ascii="Times New Roman" w:hAnsi="Times New Roman" w:eastAsia="宋体" w:cs="Times New Roman"/>
                <w:color w:val="auto"/>
                <w:szCs w:val="21"/>
                <w:u w:val="single" w:color="auto"/>
              </w:rPr>
            </w:pPr>
          </w:p>
        </w:tc>
        <w:tc>
          <w:tcPr>
            <w:tcW w:w="682" w:type="pct"/>
            <w:vAlign w:val="center"/>
          </w:tcPr>
          <w:p w14:paraId="78C685E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196" w:type="pct"/>
            <w:vAlign w:val="center"/>
          </w:tcPr>
          <w:p w14:paraId="4CC4C5E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4D1AE1A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油漆及金属</w:t>
            </w:r>
          </w:p>
        </w:tc>
        <w:tc>
          <w:tcPr>
            <w:tcW w:w="271" w:type="pct"/>
            <w:vAlign w:val="center"/>
          </w:tcPr>
          <w:p w14:paraId="64A2DBD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1E5F7D2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53AEF0B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7B99C9FE">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10.28</w:t>
            </w:r>
          </w:p>
        </w:tc>
        <w:tc>
          <w:tcPr>
            <w:tcW w:w="689" w:type="pct"/>
            <w:vMerge w:val="continue"/>
            <w:vAlign w:val="center"/>
          </w:tcPr>
          <w:p w14:paraId="0F761C55">
            <w:pPr>
              <w:jc w:val="center"/>
              <w:rPr>
                <w:rFonts w:ascii="Times New Roman" w:hAnsi="Times New Roman" w:eastAsia="宋体" w:cs="Times New Roman"/>
                <w:color w:val="auto"/>
                <w:szCs w:val="21"/>
                <w:u w:val="single" w:color="auto"/>
              </w:rPr>
            </w:pPr>
          </w:p>
        </w:tc>
      </w:tr>
      <w:tr w14:paraId="2E458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254" w:type="pct"/>
            <w:vAlign w:val="center"/>
          </w:tcPr>
          <w:p w14:paraId="070773AD">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12</w:t>
            </w:r>
          </w:p>
        </w:tc>
        <w:tc>
          <w:tcPr>
            <w:tcW w:w="713" w:type="pct"/>
            <w:vAlign w:val="center"/>
          </w:tcPr>
          <w:p w14:paraId="38E0EF08">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固化剂</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1</w:t>
            </w:r>
          </w:p>
        </w:tc>
        <w:tc>
          <w:tcPr>
            <w:tcW w:w="253" w:type="pct"/>
            <w:vMerge w:val="continue"/>
            <w:vAlign w:val="center"/>
          </w:tcPr>
          <w:p w14:paraId="3A8AF884">
            <w:pPr>
              <w:jc w:val="center"/>
              <w:rPr>
                <w:rFonts w:ascii="Times New Roman" w:hAnsi="Times New Roman" w:eastAsia="宋体" w:cs="Times New Roman"/>
                <w:color w:val="auto"/>
                <w:szCs w:val="21"/>
                <w:u w:val="single" w:color="auto"/>
              </w:rPr>
            </w:pPr>
          </w:p>
        </w:tc>
        <w:tc>
          <w:tcPr>
            <w:tcW w:w="682" w:type="pct"/>
            <w:vAlign w:val="center"/>
          </w:tcPr>
          <w:p w14:paraId="4BD5BAC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196" w:type="pct"/>
            <w:vAlign w:val="center"/>
          </w:tcPr>
          <w:p w14:paraId="18E88F5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0ABF4000">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固化剂</w:t>
            </w:r>
            <w:r>
              <w:rPr>
                <w:rFonts w:ascii="Times New Roman" w:hAnsi="Times New Roman" w:eastAsia="宋体" w:cs="Times New Roman"/>
                <w:color w:val="auto"/>
                <w:szCs w:val="21"/>
                <w:u w:val="single" w:color="auto"/>
              </w:rPr>
              <w:t>及金属</w:t>
            </w:r>
          </w:p>
        </w:tc>
        <w:tc>
          <w:tcPr>
            <w:tcW w:w="271" w:type="pct"/>
            <w:vAlign w:val="center"/>
          </w:tcPr>
          <w:p w14:paraId="59D254E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4B3DCD5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00C296B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3C1216A1">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0.82</w:t>
            </w:r>
          </w:p>
        </w:tc>
        <w:tc>
          <w:tcPr>
            <w:tcW w:w="689" w:type="pct"/>
            <w:vMerge w:val="continue"/>
            <w:vAlign w:val="center"/>
          </w:tcPr>
          <w:p w14:paraId="23E1463A">
            <w:pPr>
              <w:jc w:val="center"/>
              <w:rPr>
                <w:rFonts w:ascii="Times New Roman" w:hAnsi="Times New Roman" w:eastAsia="宋体" w:cs="Times New Roman"/>
                <w:color w:val="auto"/>
                <w:szCs w:val="21"/>
                <w:u w:val="single" w:color="auto"/>
              </w:rPr>
            </w:pPr>
          </w:p>
        </w:tc>
      </w:tr>
      <w:tr w14:paraId="2E9B5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254" w:type="pct"/>
            <w:vAlign w:val="center"/>
          </w:tcPr>
          <w:p w14:paraId="321FE424">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w:t>
            </w:r>
          </w:p>
        </w:tc>
        <w:tc>
          <w:tcPr>
            <w:tcW w:w="713" w:type="pct"/>
            <w:vAlign w:val="center"/>
          </w:tcPr>
          <w:p w14:paraId="13EA13FD">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稀释剂</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2</w:t>
            </w:r>
          </w:p>
        </w:tc>
        <w:tc>
          <w:tcPr>
            <w:tcW w:w="253" w:type="pct"/>
            <w:vMerge w:val="continue"/>
            <w:vAlign w:val="center"/>
          </w:tcPr>
          <w:p w14:paraId="52DFFF0B">
            <w:pPr>
              <w:jc w:val="center"/>
              <w:rPr>
                <w:rFonts w:ascii="Times New Roman" w:hAnsi="Times New Roman" w:eastAsia="宋体" w:cs="Times New Roman"/>
                <w:color w:val="auto"/>
                <w:szCs w:val="21"/>
                <w:u w:val="single" w:color="auto"/>
              </w:rPr>
            </w:pPr>
          </w:p>
        </w:tc>
        <w:tc>
          <w:tcPr>
            <w:tcW w:w="682" w:type="pct"/>
            <w:vAlign w:val="center"/>
          </w:tcPr>
          <w:p w14:paraId="2CF40CF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196" w:type="pct"/>
            <w:vAlign w:val="center"/>
          </w:tcPr>
          <w:p w14:paraId="3E796E8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4C6FFC7E">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稀释剂</w:t>
            </w:r>
            <w:r>
              <w:rPr>
                <w:rFonts w:ascii="Times New Roman" w:hAnsi="Times New Roman" w:eastAsia="宋体" w:cs="Times New Roman"/>
                <w:color w:val="auto"/>
                <w:szCs w:val="21"/>
                <w:u w:val="single" w:color="auto"/>
              </w:rPr>
              <w:t>及金属</w:t>
            </w:r>
          </w:p>
        </w:tc>
        <w:tc>
          <w:tcPr>
            <w:tcW w:w="271" w:type="pct"/>
            <w:vAlign w:val="center"/>
          </w:tcPr>
          <w:p w14:paraId="1C761CE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5E128AB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1150F47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663F5375">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0.824</w:t>
            </w:r>
          </w:p>
        </w:tc>
        <w:tc>
          <w:tcPr>
            <w:tcW w:w="689" w:type="pct"/>
            <w:vMerge w:val="continue"/>
            <w:vAlign w:val="center"/>
          </w:tcPr>
          <w:p w14:paraId="3DA71775">
            <w:pPr>
              <w:jc w:val="center"/>
              <w:rPr>
                <w:rFonts w:ascii="Times New Roman" w:hAnsi="Times New Roman" w:eastAsia="宋体" w:cs="Times New Roman"/>
                <w:color w:val="auto"/>
                <w:szCs w:val="21"/>
                <w:u w:val="single" w:color="auto"/>
              </w:rPr>
            </w:pPr>
          </w:p>
        </w:tc>
      </w:tr>
      <w:tr w14:paraId="56D58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254" w:type="pct"/>
            <w:vAlign w:val="center"/>
          </w:tcPr>
          <w:p w14:paraId="7D745A26">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14</w:t>
            </w:r>
          </w:p>
        </w:tc>
        <w:tc>
          <w:tcPr>
            <w:tcW w:w="713" w:type="pct"/>
            <w:vAlign w:val="center"/>
          </w:tcPr>
          <w:p w14:paraId="6140A28A">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润滑油</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3</w:t>
            </w:r>
          </w:p>
        </w:tc>
        <w:tc>
          <w:tcPr>
            <w:tcW w:w="253" w:type="pct"/>
            <w:vMerge w:val="continue"/>
            <w:vAlign w:val="center"/>
          </w:tcPr>
          <w:p w14:paraId="52E2FD79">
            <w:pPr>
              <w:jc w:val="center"/>
              <w:rPr>
                <w:rFonts w:ascii="Times New Roman" w:hAnsi="Times New Roman" w:eastAsia="宋体" w:cs="Times New Roman"/>
                <w:color w:val="auto"/>
                <w:szCs w:val="21"/>
                <w:u w:val="single" w:color="auto"/>
              </w:rPr>
            </w:pPr>
          </w:p>
        </w:tc>
        <w:tc>
          <w:tcPr>
            <w:tcW w:w="682" w:type="pct"/>
            <w:vAlign w:val="center"/>
          </w:tcPr>
          <w:p w14:paraId="5FC2E55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196" w:type="pct"/>
            <w:vAlign w:val="center"/>
          </w:tcPr>
          <w:p w14:paraId="1C56847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1D3C451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矿物质油及金属</w:t>
            </w:r>
          </w:p>
        </w:tc>
        <w:tc>
          <w:tcPr>
            <w:tcW w:w="271" w:type="pct"/>
            <w:vAlign w:val="center"/>
          </w:tcPr>
          <w:p w14:paraId="148ABB7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387" w:type="pct"/>
            <w:vAlign w:val="center"/>
          </w:tcPr>
          <w:p w14:paraId="7EE4893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1F05A7F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2C7F9AF6">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0.1</w:t>
            </w:r>
          </w:p>
        </w:tc>
        <w:tc>
          <w:tcPr>
            <w:tcW w:w="689" w:type="pct"/>
            <w:vMerge w:val="continue"/>
            <w:vAlign w:val="center"/>
          </w:tcPr>
          <w:p w14:paraId="7AA310DE">
            <w:pPr>
              <w:jc w:val="center"/>
              <w:rPr>
                <w:rFonts w:ascii="Times New Roman" w:hAnsi="Times New Roman" w:eastAsia="宋体" w:cs="Times New Roman"/>
                <w:color w:val="auto"/>
                <w:szCs w:val="21"/>
                <w:u w:val="single" w:color="auto"/>
              </w:rPr>
            </w:pPr>
          </w:p>
        </w:tc>
      </w:tr>
      <w:tr w14:paraId="68665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5B64F6F8">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1</w:t>
            </w:r>
            <w:r>
              <w:rPr>
                <w:rFonts w:hint="eastAsia" w:ascii="Times New Roman" w:hAnsi="Times New Roman" w:eastAsia="宋体" w:cs="Times New Roman"/>
                <w:color w:val="auto"/>
                <w:szCs w:val="21"/>
                <w:u w:val="single" w:color="auto"/>
                <w:lang w:val="en-US" w:eastAsia="zh-CN"/>
              </w:rPr>
              <w:t>5</w:t>
            </w:r>
          </w:p>
        </w:tc>
        <w:tc>
          <w:tcPr>
            <w:tcW w:w="713" w:type="pct"/>
            <w:vAlign w:val="center"/>
          </w:tcPr>
          <w:p w14:paraId="5E34048B">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废润滑油S1</w:t>
            </w:r>
            <w:r>
              <w:rPr>
                <w:rFonts w:hint="eastAsia" w:ascii="Times New Roman" w:hAnsi="Times New Roman" w:eastAsia="宋体" w:cs="Times New Roman"/>
                <w:color w:val="auto"/>
                <w:szCs w:val="21"/>
                <w:u w:val="single" w:color="auto"/>
                <w:lang w:val="en-US" w:eastAsia="zh-CN"/>
              </w:rPr>
              <w:t>4</w:t>
            </w:r>
          </w:p>
        </w:tc>
        <w:tc>
          <w:tcPr>
            <w:tcW w:w="253" w:type="pct"/>
            <w:vMerge w:val="continue"/>
            <w:vAlign w:val="center"/>
          </w:tcPr>
          <w:p w14:paraId="50895826">
            <w:pPr>
              <w:jc w:val="center"/>
              <w:rPr>
                <w:rFonts w:ascii="Times New Roman" w:hAnsi="Times New Roman" w:eastAsia="宋体" w:cs="Times New Roman"/>
                <w:color w:val="auto"/>
                <w:szCs w:val="21"/>
                <w:u w:val="single" w:color="auto"/>
              </w:rPr>
            </w:pPr>
          </w:p>
        </w:tc>
        <w:tc>
          <w:tcPr>
            <w:tcW w:w="682" w:type="pct"/>
            <w:vAlign w:val="center"/>
          </w:tcPr>
          <w:p w14:paraId="3BA0F7B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维修保养</w:t>
            </w:r>
          </w:p>
        </w:tc>
        <w:tc>
          <w:tcPr>
            <w:tcW w:w="196" w:type="pct"/>
            <w:vAlign w:val="center"/>
          </w:tcPr>
          <w:p w14:paraId="282497A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液</w:t>
            </w:r>
          </w:p>
        </w:tc>
        <w:tc>
          <w:tcPr>
            <w:tcW w:w="646" w:type="pct"/>
            <w:vAlign w:val="center"/>
          </w:tcPr>
          <w:p w14:paraId="2DAB27C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矿物质油</w:t>
            </w:r>
          </w:p>
        </w:tc>
        <w:tc>
          <w:tcPr>
            <w:tcW w:w="271" w:type="pct"/>
            <w:vAlign w:val="center"/>
          </w:tcPr>
          <w:p w14:paraId="09419BA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387" w:type="pct"/>
            <w:vAlign w:val="center"/>
          </w:tcPr>
          <w:p w14:paraId="1693BD1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HW08</w:t>
            </w:r>
          </w:p>
        </w:tc>
        <w:tc>
          <w:tcPr>
            <w:tcW w:w="481" w:type="pct"/>
            <w:vAlign w:val="center"/>
          </w:tcPr>
          <w:p w14:paraId="03330F7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900-214-08</w:t>
            </w:r>
          </w:p>
        </w:tc>
        <w:tc>
          <w:tcPr>
            <w:tcW w:w="423" w:type="pct"/>
            <w:vAlign w:val="center"/>
          </w:tcPr>
          <w:p w14:paraId="5C9C2CD3">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0.04</w:t>
            </w:r>
          </w:p>
        </w:tc>
        <w:tc>
          <w:tcPr>
            <w:tcW w:w="689" w:type="pct"/>
            <w:vMerge w:val="continue"/>
            <w:vAlign w:val="center"/>
          </w:tcPr>
          <w:p w14:paraId="4C52F736">
            <w:pPr>
              <w:jc w:val="center"/>
              <w:rPr>
                <w:rFonts w:ascii="Times New Roman" w:hAnsi="Times New Roman" w:eastAsia="宋体" w:cs="Times New Roman"/>
                <w:color w:val="auto"/>
                <w:szCs w:val="21"/>
                <w:u w:val="single" w:color="auto"/>
              </w:rPr>
            </w:pPr>
          </w:p>
        </w:tc>
      </w:tr>
      <w:tr w14:paraId="5EA9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471F179E">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1</w:t>
            </w:r>
            <w:r>
              <w:rPr>
                <w:rFonts w:hint="eastAsia" w:ascii="Times New Roman" w:hAnsi="Times New Roman" w:eastAsia="宋体" w:cs="Times New Roman"/>
                <w:color w:val="auto"/>
                <w:szCs w:val="21"/>
                <w:u w:val="single" w:color="auto"/>
                <w:lang w:val="en-US" w:eastAsia="zh-CN"/>
              </w:rPr>
              <w:t>6</w:t>
            </w:r>
          </w:p>
        </w:tc>
        <w:tc>
          <w:tcPr>
            <w:tcW w:w="713" w:type="pct"/>
            <w:vAlign w:val="center"/>
          </w:tcPr>
          <w:p w14:paraId="3A86F111">
            <w:pPr>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rPr>
              <w:t>漆渣S1</w:t>
            </w:r>
            <w:r>
              <w:rPr>
                <w:rFonts w:hint="eastAsia" w:ascii="Times New Roman" w:hAnsi="Times New Roman" w:eastAsia="宋体" w:cs="Times New Roman"/>
                <w:color w:val="auto"/>
                <w:szCs w:val="21"/>
                <w:u w:val="single" w:color="auto"/>
                <w:lang w:val="en-US" w:eastAsia="zh-CN"/>
              </w:rPr>
              <w:t>5</w:t>
            </w:r>
          </w:p>
        </w:tc>
        <w:tc>
          <w:tcPr>
            <w:tcW w:w="253" w:type="pct"/>
            <w:vMerge w:val="continue"/>
            <w:vAlign w:val="center"/>
          </w:tcPr>
          <w:p w14:paraId="3B01E2B0">
            <w:pPr>
              <w:jc w:val="center"/>
              <w:rPr>
                <w:rFonts w:ascii="Times New Roman" w:hAnsi="Times New Roman" w:eastAsia="宋体" w:cs="Times New Roman"/>
                <w:color w:val="auto"/>
                <w:szCs w:val="21"/>
                <w:u w:val="single" w:color="auto"/>
              </w:rPr>
            </w:pPr>
          </w:p>
        </w:tc>
        <w:tc>
          <w:tcPr>
            <w:tcW w:w="682" w:type="pct"/>
            <w:vAlign w:val="center"/>
          </w:tcPr>
          <w:p w14:paraId="4FF42E85">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喷漆</w:t>
            </w:r>
          </w:p>
        </w:tc>
        <w:tc>
          <w:tcPr>
            <w:tcW w:w="196" w:type="pct"/>
            <w:vAlign w:val="center"/>
          </w:tcPr>
          <w:p w14:paraId="0F169A49">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w:t>
            </w:r>
          </w:p>
        </w:tc>
        <w:tc>
          <w:tcPr>
            <w:tcW w:w="646" w:type="pct"/>
            <w:vAlign w:val="center"/>
          </w:tcPr>
          <w:p w14:paraId="3EA5CAC3">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油漆</w:t>
            </w:r>
          </w:p>
        </w:tc>
        <w:tc>
          <w:tcPr>
            <w:tcW w:w="271" w:type="pct"/>
            <w:vAlign w:val="center"/>
          </w:tcPr>
          <w:p w14:paraId="4821265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387" w:type="pct"/>
            <w:vAlign w:val="center"/>
          </w:tcPr>
          <w:p w14:paraId="0D235B1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w:t>
            </w:r>
            <w:r>
              <w:rPr>
                <w:rFonts w:hint="eastAsia" w:ascii="Times New Roman" w:hAnsi="Times New Roman" w:eastAsia="宋体" w:cs="Times New Roman"/>
                <w:color w:val="auto"/>
                <w:szCs w:val="21"/>
                <w:u w:val="single" w:color="auto"/>
              </w:rPr>
              <w:t>12</w:t>
            </w:r>
          </w:p>
        </w:tc>
        <w:tc>
          <w:tcPr>
            <w:tcW w:w="481" w:type="pct"/>
            <w:vAlign w:val="center"/>
          </w:tcPr>
          <w:p w14:paraId="04A8F23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w:t>
            </w:r>
            <w:r>
              <w:rPr>
                <w:rFonts w:hint="eastAsia" w:ascii="Times New Roman" w:hAnsi="Times New Roman" w:eastAsia="宋体" w:cs="Times New Roman"/>
                <w:color w:val="auto"/>
                <w:szCs w:val="21"/>
                <w:u w:val="single" w:color="auto"/>
              </w:rPr>
              <w:t>252</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rPr>
              <w:t>12</w:t>
            </w:r>
          </w:p>
        </w:tc>
        <w:tc>
          <w:tcPr>
            <w:tcW w:w="423" w:type="pct"/>
            <w:vAlign w:val="center"/>
          </w:tcPr>
          <w:p w14:paraId="0F009B45">
            <w:pPr>
              <w:widowControl/>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5.484</w:t>
            </w:r>
          </w:p>
        </w:tc>
        <w:tc>
          <w:tcPr>
            <w:tcW w:w="689" w:type="pct"/>
            <w:vMerge w:val="continue"/>
            <w:vAlign w:val="center"/>
          </w:tcPr>
          <w:p w14:paraId="39E6BB35">
            <w:pPr>
              <w:jc w:val="center"/>
              <w:rPr>
                <w:rFonts w:ascii="Times New Roman" w:hAnsi="Times New Roman" w:eastAsia="宋体" w:cs="Times New Roman"/>
                <w:color w:val="auto"/>
                <w:szCs w:val="21"/>
                <w:u w:val="single" w:color="auto"/>
              </w:rPr>
            </w:pPr>
          </w:p>
        </w:tc>
      </w:tr>
      <w:tr w14:paraId="5BD98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650344BC">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1</w:t>
            </w:r>
            <w:r>
              <w:rPr>
                <w:rFonts w:hint="eastAsia" w:ascii="Times New Roman" w:hAnsi="Times New Roman" w:eastAsia="宋体" w:cs="Times New Roman"/>
                <w:color w:val="auto"/>
                <w:szCs w:val="21"/>
                <w:u w:val="single" w:color="auto"/>
                <w:lang w:val="en-US" w:eastAsia="zh-CN"/>
              </w:rPr>
              <w:t>7</w:t>
            </w:r>
          </w:p>
        </w:tc>
        <w:tc>
          <w:tcPr>
            <w:tcW w:w="713" w:type="pct"/>
            <w:vAlign w:val="center"/>
          </w:tcPr>
          <w:p w14:paraId="78E0E03E">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废含油抹布S1</w:t>
            </w:r>
            <w:r>
              <w:rPr>
                <w:rFonts w:hint="eastAsia" w:ascii="Times New Roman" w:hAnsi="Times New Roman" w:eastAsia="宋体" w:cs="Times New Roman"/>
                <w:color w:val="auto"/>
                <w:szCs w:val="21"/>
                <w:u w:val="single" w:color="auto"/>
                <w:lang w:val="en-US" w:eastAsia="zh-CN"/>
              </w:rPr>
              <w:t>6</w:t>
            </w:r>
          </w:p>
        </w:tc>
        <w:tc>
          <w:tcPr>
            <w:tcW w:w="253" w:type="pct"/>
            <w:vMerge w:val="continue"/>
            <w:vAlign w:val="center"/>
          </w:tcPr>
          <w:p w14:paraId="40872E1E">
            <w:pPr>
              <w:jc w:val="center"/>
              <w:rPr>
                <w:rFonts w:ascii="Times New Roman" w:hAnsi="Times New Roman" w:eastAsia="宋体" w:cs="Times New Roman"/>
                <w:color w:val="auto"/>
                <w:szCs w:val="21"/>
                <w:u w:val="single" w:color="auto"/>
              </w:rPr>
            </w:pPr>
          </w:p>
        </w:tc>
        <w:tc>
          <w:tcPr>
            <w:tcW w:w="682" w:type="pct"/>
            <w:vAlign w:val="center"/>
          </w:tcPr>
          <w:p w14:paraId="63625A7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维修保养</w:t>
            </w:r>
          </w:p>
        </w:tc>
        <w:tc>
          <w:tcPr>
            <w:tcW w:w="196" w:type="pct"/>
            <w:vAlign w:val="center"/>
          </w:tcPr>
          <w:p w14:paraId="18653B27">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w:t>
            </w:r>
          </w:p>
        </w:tc>
        <w:tc>
          <w:tcPr>
            <w:tcW w:w="646" w:type="pct"/>
            <w:vAlign w:val="center"/>
          </w:tcPr>
          <w:p w14:paraId="7A12C81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矿物质油及废布</w:t>
            </w:r>
          </w:p>
        </w:tc>
        <w:tc>
          <w:tcPr>
            <w:tcW w:w="271" w:type="pct"/>
            <w:vAlign w:val="center"/>
          </w:tcPr>
          <w:p w14:paraId="33D02BB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387" w:type="pct"/>
            <w:vAlign w:val="center"/>
          </w:tcPr>
          <w:p w14:paraId="3AEB57A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481" w:type="pct"/>
            <w:vAlign w:val="center"/>
          </w:tcPr>
          <w:p w14:paraId="3AA3427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423" w:type="pct"/>
            <w:vAlign w:val="center"/>
          </w:tcPr>
          <w:p w14:paraId="729BA8CC">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0.5</w:t>
            </w:r>
          </w:p>
        </w:tc>
        <w:tc>
          <w:tcPr>
            <w:tcW w:w="689" w:type="pct"/>
            <w:vMerge w:val="continue"/>
            <w:vAlign w:val="center"/>
          </w:tcPr>
          <w:p w14:paraId="15096114">
            <w:pPr>
              <w:jc w:val="center"/>
              <w:rPr>
                <w:rFonts w:ascii="Times New Roman" w:hAnsi="Times New Roman" w:eastAsia="宋体" w:cs="Times New Roman"/>
                <w:color w:val="auto"/>
                <w:szCs w:val="21"/>
                <w:u w:val="single" w:color="auto"/>
              </w:rPr>
            </w:pPr>
          </w:p>
        </w:tc>
      </w:tr>
      <w:tr w14:paraId="6CAE8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54" w:type="pct"/>
            <w:vAlign w:val="center"/>
          </w:tcPr>
          <w:p w14:paraId="19E9DE92">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1</w:t>
            </w:r>
            <w:r>
              <w:rPr>
                <w:rFonts w:hint="eastAsia" w:ascii="Times New Roman" w:hAnsi="Times New Roman" w:eastAsia="宋体" w:cs="Times New Roman"/>
                <w:color w:val="auto"/>
                <w:szCs w:val="21"/>
                <w:u w:val="single" w:color="auto"/>
                <w:lang w:val="en-US" w:eastAsia="zh-CN"/>
              </w:rPr>
              <w:t>8</w:t>
            </w:r>
          </w:p>
        </w:tc>
        <w:tc>
          <w:tcPr>
            <w:tcW w:w="713" w:type="pct"/>
            <w:vAlign w:val="center"/>
          </w:tcPr>
          <w:p w14:paraId="32E61F61">
            <w:pPr>
              <w:jc w:val="center"/>
              <w:rPr>
                <w:rFonts w:hint="eastAsia" w:ascii="Times New Roman" w:hAnsi="Times New Roman" w:eastAsia="宋体" w:cs="Times New Roman"/>
                <w:color w:val="auto"/>
                <w:szCs w:val="21"/>
                <w:u w:val="single" w:color="auto"/>
                <w:lang w:eastAsia="zh-CN"/>
              </w:rPr>
            </w:pPr>
            <w:r>
              <w:rPr>
                <w:rFonts w:ascii="Times New Roman" w:hAnsi="Times New Roman" w:eastAsia="宋体" w:cs="Times New Roman"/>
                <w:color w:val="auto"/>
                <w:szCs w:val="21"/>
                <w:u w:val="single" w:color="auto"/>
              </w:rPr>
              <w:t>生活垃圾S</w:t>
            </w:r>
            <w:r>
              <w:rPr>
                <w:rFonts w:hint="eastAsia" w:ascii="Times New Roman" w:hAnsi="Times New Roman" w:eastAsia="宋体" w:cs="Times New Roman"/>
                <w:color w:val="auto"/>
                <w:szCs w:val="21"/>
                <w:u w:val="single" w:color="auto"/>
                <w:lang w:val="en-US" w:eastAsia="zh-CN"/>
              </w:rPr>
              <w:t>17</w:t>
            </w:r>
          </w:p>
        </w:tc>
        <w:tc>
          <w:tcPr>
            <w:tcW w:w="253" w:type="pct"/>
            <w:vAlign w:val="center"/>
          </w:tcPr>
          <w:p w14:paraId="777C9A6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生活垃圾</w:t>
            </w:r>
          </w:p>
        </w:tc>
        <w:tc>
          <w:tcPr>
            <w:tcW w:w="682" w:type="pct"/>
            <w:vAlign w:val="center"/>
          </w:tcPr>
          <w:p w14:paraId="7E3F71D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生活办公</w:t>
            </w:r>
          </w:p>
        </w:tc>
        <w:tc>
          <w:tcPr>
            <w:tcW w:w="196" w:type="pct"/>
            <w:vAlign w:val="center"/>
          </w:tcPr>
          <w:p w14:paraId="765D073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646" w:type="pct"/>
            <w:vAlign w:val="center"/>
          </w:tcPr>
          <w:p w14:paraId="05F7679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纸张、果皮等</w:t>
            </w:r>
          </w:p>
        </w:tc>
        <w:tc>
          <w:tcPr>
            <w:tcW w:w="271" w:type="pct"/>
            <w:vAlign w:val="center"/>
          </w:tcPr>
          <w:p w14:paraId="02C5FFB7">
            <w:pPr>
              <w:jc w:val="center"/>
              <w:rPr>
                <w:rFonts w:ascii="Times New Roman" w:hAnsi="Times New Roman" w:eastAsia="宋体" w:cs="Times New Roman"/>
                <w:color w:val="auto"/>
                <w:sz w:val="21"/>
                <w:szCs w:val="21"/>
                <w:u w:val="single" w:color="auto"/>
              </w:rPr>
            </w:pPr>
            <w:r>
              <w:rPr>
                <w:rFonts w:ascii="Times New Roman" w:hAnsi="Times New Roman" w:eastAsia="宋体" w:cs="Times New Roman"/>
                <w:color w:val="auto"/>
                <w:sz w:val="21"/>
                <w:szCs w:val="21"/>
                <w:u w:val="single" w:color="auto"/>
              </w:rPr>
              <w:t>一</w:t>
            </w:r>
          </w:p>
        </w:tc>
        <w:tc>
          <w:tcPr>
            <w:tcW w:w="387" w:type="pct"/>
            <w:vAlign w:val="center"/>
          </w:tcPr>
          <w:p w14:paraId="50F30C83">
            <w:pPr>
              <w:jc w:val="center"/>
              <w:rPr>
                <w:rFonts w:ascii="Times New Roman" w:hAnsi="Times New Roman" w:eastAsia="宋体" w:cs="Times New Roman"/>
                <w:color w:val="auto"/>
                <w:sz w:val="21"/>
                <w:szCs w:val="21"/>
                <w:u w:val="single" w:color="auto"/>
              </w:rPr>
            </w:pPr>
            <w:r>
              <w:rPr>
                <w:rFonts w:ascii="Times New Roman" w:hAnsi="Times New Roman" w:eastAsia="宋体" w:cs="Times New Roman"/>
                <w:color w:val="auto"/>
                <w:sz w:val="21"/>
                <w:szCs w:val="21"/>
                <w:u w:val="single" w:color="auto"/>
              </w:rPr>
              <w:t>一</w:t>
            </w:r>
          </w:p>
        </w:tc>
        <w:tc>
          <w:tcPr>
            <w:tcW w:w="481" w:type="pct"/>
            <w:vAlign w:val="center"/>
          </w:tcPr>
          <w:p w14:paraId="1B84B124">
            <w:pPr>
              <w:jc w:val="center"/>
              <w:rPr>
                <w:rFonts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900</w:t>
            </w:r>
            <w:r>
              <w:rPr>
                <w:rFonts w:hint="default" w:ascii="Times New Roman" w:hAnsi="Times New Roman" w:eastAsia="宋体" w:cs="Times New Roman"/>
                <w:color w:val="auto"/>
                <w:sz w:val="21"/>
                <w:szCs w:val="21"/>
                <w:u w:val="single" w:color="auto"/>
              </w:rPr>
              <w:t>-0</w:t>
            </w:r>
            <w:r>
              <w:rPr>
                <w:rFonts w:hint="eastAsia" w:ascii="Times New Roman" w:hAnsi="Times New Roman" w:eastAsia="宋体" w:cs="Times New Roman"/>
                <w:color w:val="auto"/>
                <w:sz w:val="21"/>
                <w:szCs w:val="21"/>
                <w:u w:val="single" w:color="auto"/>
                <w:lang w:val="en-US" w:eastAsia="zh-CN"/>
              </w:rPr>
              <w:t>99</w:t>
            </w:r>
            <w:r>
              <w:rPr>
                <w:rFonts w:hint="default" w:ascii="Times New Roman" w:hAnsi="Times New Roman" w:eastAsia="宋体" w:cs="Times New Roman"/>
                <w:color w:val="auto"/>
                <w:sz w:val="21"/>
                <w:szCs w:val="21"/>
                <w:u w:val="single" w:color="auto"/>
              </w:rPr>
              <w:t>-S</w:t>
            </w:r>
            <w:r>
              <w:rPr>
                <w:rFonts w:hint="eastAsia" w:ascii="Times New Roman" w:hAnsi="Times New Roman" w:eastAsia="宋体" w:cs="Times New Roman"/>
                <w:color w:val="auto"/>
                <w:sz w:val="21"/>
                <w:szCs w:val="21"/>
                <w:u w:val="single" w:color="auto"/>
                <w:lang w:val="en-US" w:eastAsia="zh-CN"/>
              </w:rPr>
              <w:t>64</w:t>
            </w:r>
          </w:p>
        </w:tc>
        <w:tc>
          <w:tcPr>
            <w:tcW w:w="423" w:type="pct"/>
            <w:vAlign w:val="center"/>
          </w:tcPr>
          <w:p w14:paraId="3AC40CFA">
            <w:pPr>
              <w:widowControl/>
              <w:jc w:val="center"/>
              <w:textAlignment w:val="center"/>
              <w:rPr>
                <w:rFonts w:ascii="Times New Roman" w:hAnsi="Times New Roman" w:eastAsia="宋体" w:cs="Times New Roman"/>
                <w:color w:val="auto"/>
                <w:sz w:val="21"/>
                <w:szCs w:val="21"/>
                <w:u w:val="single" w:color="auto"/>
              </w:rPr>
            </w:pPr>
            <w:r>
              <w:rPr>
                <w:rFonts w:ascii="Times New Roman" w:hAnsi="Times New Roman" w:eastAsia="宋体" w:cs="Times New Roman"/>
                <w:color w:val="auto"/>
                <w:kern w:val="0"/>
                <w:sz w:val="21"/>
                <w:szCs w:val="21"/>
                <w:u w:val="single" w:color="auto"/>
                <w:lang w:bidi="ar"/>
              </w:rPr>
              <w:t>49.5</w:t>
            </w:r>
          </w:p>
        </w:tc>
        <w:tc>
          <w:tcPr>
            <w:tcW w:w="689" w:type="pct"/>
            <w:vAlign w:val="center"/>
          </w:tcPr>
          <w:p w14:paraId="7F34217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集中收集，由环卫部门</w:t>
            </w:r>
            <w:r>
              <w:rPr>
                <w:rFonts w:hint="eastAsia" w:ascii="Times New Roman" w:hAnsi="Times New Roman" w:eastAsia="宋体" w:cs="Times New Roman"/>
                <w:color w:val="auto"/>
                <w:szCs w:val="21"/>
                <w:u w:val="single" w:color="auto"/>
              </w:rPr>
              <w:t>清运</w:t>
            </w:r>
            <w:r>
              <w:rPr>
                <w:rFonts w:ascii="Times New Roman" w:hAnsi="Times New Roman" w:eastAsia="宋体" w:cs="Times New Roman"/>
                <w:color w:val="auto"/>
                <w:szCs w:val="21"/>
                <w:u w:val="single" w:color="auto"/>
              </w:rPr>
              <w:t>处理</w:t>
            </w:r>
          </w:p>
        </w:tc>
      </w:tr>
    </w:tbl>
    <w:p w14:paraId="30A903C5">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p>
    <w:p w14:paraId="006DA8BD">
      <w:pPr>
        <w:autoSpaceDE w:val="0"/>
        <w:autoSpaceDN w:val="0"/>
        <w:snapToGrid w:val="0"/>
        <w:spacing w:before="156" w:beforeLines="50"/>
        <w:jc w:val="center"/>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表2.3-</w:t>
      </w:r>
      <w:r>
        <w:rPr>
          <w:rFonts w:hint="eastAsia" w:ascii="Times New Roman" w:hAnsi="Times New Roman" w:eastAsia="宋体" w:cs="Times New Roman"/>
          <w:b/>
          <w:color w:val="auto"/>
          <w:sz w:val="24"/>
          <w:szCs w:val="24"/>
          <w:u w:val="none" w:color="auto"/>
          <w:lang w:val="en-US" w:eastAsia="zh-CN"/>
        </w:rPr>
        <w:t>19</w:t>
      </w:r>
      <w:r>
        <w:rPr>
          <w:rFonts w:hint="eastAsia" w:ascii="Times New Roman" w:hAnsi="Times New Roman" w:eastAsia="宋体" w:cs="Times New Roman"/>
          <w:b/>
          <w:color w:val="auto"/>
          <w:sz w:val="24"/>
          <w:szCs w:val="24"/>
          <w:u w:val="none" w:color="auto"/>
        </w:rPr>
        <w:t xml:space="preserve"> 本项目危险废物分析结果汇总表</w:t>
      </w:r>
    </w:p>
    <w:tbl>
      <w:tblPr>
        <w:tblStyle w:val="37"/>
        <w:tblW w:w="14174" w:type="dxa"/>
        <w:tblInd w:w="0" w:type="dxa"/>
        <w:tblLayout w:type="fixed"/>
        <w:tblCellMar>
          <w:top w:w="0" w:type="dxa"/>
          <w:left w:w="108" w:type="dxa"/>
          <w:bottom w:w="0" w:type="dxa"/>
          <w:right w:w="108" w:type="dxa"/>
        </w:tblCellMar>
      </w:tblPr>
      <w:tblGrid>
        <w:gridCol w:w="686"/>
        <w:gridCol w:w="1855"/>
        <w:gridCol w:w="1091"/>
        <w:gridCol w:w="1199"/>
        <w:gridCol w:w="1074"/>
        <w:gridCol w:w="1763"/>
        <w:gridCol w:w="736"/>
        <w:gridCol w:w="1132"/>
        <w:gridCol w:w="1093"/>
        <w:gridCol w:w="1181"/>
        <w:gridCol w:w="685"/>
        <w:gridCol w:w="1679"/>
      </w:tblGrid>
      <w:tr w14:paraId="0097A0D5">
        <w:tblPrEx>
          <w:tblCellMar>
            <w:top w:w="0" w:type="dxa"/>
            <w:left w:w="108" w:type="dxa"/>
            <w:bottom w:w="0" w:type="dxa"/>
            <w:right w:w="108" w:type="dxa"/>
          </w:tblCellMar>
        </w:tblPrEx>
        <w:trPr>
          <w:trHeight w:val="360" w:hRule="atLeast"/>
        </w:trPr>
        <w:tc>
          <w:tcPr>
            <w:tcW w:w="686" w:type="dxa"/>
            <w:tcBorders>
              <w:top w:val="single" w:color="auto" w:sz="4" w:space="0"/>
              <w:left w:val="single" w:color="auto" w:sz="4" w:space="0"/>
              <w:bottom w:val="single" w:color="auto" w:sz="4" w:space="0"/>
              <w:right w:val="single" w:color="auto" w:sz="4" w:space="0"/>
            </w:tcBorders>
            <w:vAlign w:val="center"/>
          </w:tcPr>
          <w:p w14:paraId="09462E96">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855" w:type="dxa"/>
            <w:tcBorders>
              <w:top w:val="single" w:color="auto" w:sz="4" w:space="0"/>
              <w:left w:val="single" w:color="auto" w:sz="4" w:space="0"/>
              <w:bottom w:val="single" w:color="auto" w:sz="4" w:space="0"/>
              <w:right w:val="single" w:color="auto" w:sz="4" w:space="0"/>
            </w:tcBorders>
            <w:vAlign w:val="center"/>
          </w:tcPr>
          <w:p w14:paraId="12CC0F0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危险废物名称</w:t>
            </w:r>
          </w:p>
        </w:tc>
        <w:tc>
          <w:tcPr>
            <w:tcW w:w="1091" w:type="dxa"/>
            <w:tcBorders>
              <w:top w:val="single" w:color="auto" w:sz="4" w:space="0"/>
              <w:left w:val="single" w:color="auto" w:sz="4" w:space="0"/>
              <w:bottom w:val="single" w:color="auto" w:sz="4" w:space="0"/>
              <w:right w:val="single" w:color="auto" w:sz="4" w:space="0"/>
            </w:tcBorders>
            <w:vAlign w:val="center"/>
          </w:tcPr>
          <w:p w14:paraId="1DF4221E">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危险废物类别</w:t>
            </w:r>
          </w:p>
        </w:tc>
        <w:tc>
          <w:tcPr>
            <w:tcW w:w="1199" w:type="dxa"/>
            <w:tcBorders>
              <w:top w:val="single" w:color="auto" w:sz="4" w:space="0"/>
              <w:left w:val="single" w:color="auto" w:sz="4" w:space="0"/>
              <w:bottom w:val="single" w:color="auto" w:sz="4" w:space="0"/>
              <w:right w:val="single" w:color="auto" w:sz="4" w:space="0"/>
            </w:tcBorders>
            <w:vAlign w:val="center"/>
          </w:tcPr>
          <w:p w14:paraId="3FB5980E">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危险废物代码</w:t>
            </w:r>
          </w:p>
        </w:tc>
        <w:tc>
          <w:tcPr>
            <w:tcW w:w="1074" w:type="dxa"/>
            <w:tcBorders>
              <w:top w:val="single" w:color="auto" w:sz="4" w:space="0"/>
              <w:left w:val="single" w:color="auto" w:sz="4" w:space="0"/>
              <w:bottom w:val="single" w:color="auto" w:sz="4" w:space="0"/>
              <w:right w:val="single" w:color="auto" w:sz="4" w:space="0"/>
            </w:tcBorders>
            <w:vAlign w:val="center"/>
          </w:tcPr>
          <w:p w14:paraId="029F9A0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产生量（t/a）</w:t>
            </w:r>
          </w:p>
        </w:tc>
        <w:tc>
          <w:tcPr>
            <w:tcW w:w="1763" w:type="dxa"/>
            <w:tcBorders>
              <w:top w:val="single" w:color="auto" w:sz="4" w:space="0"/>
              <w:left w:val="single" w:color="auto" w:sz="4" w:space="0"/>
              <w:bottom w:val="single" w:color="auto" w:sz="4" w:space="0"/>
              <w:right w:val="single" w:color="auto" w:sz="4" w:space="0"/>
            </w:tcBorders>
            <w:vAlign w:val="center"/>
          </w:tcPr>
          <w:p w14:paraId="425B3B13">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产生工序及装置</w:t>
            </w:r>
          </w:p>
        </w:tc>
        <w:tc>
          <w:tcPr>
            <w:tcW w:w="736" w:type="dxa"/>
            <w:tcBorders>
              <w:top w:val="single" w:color="auto" w:sz="4" w:space="0"/>
              <w:left w:val="single" w:color="auto" w:sz="4" w:space="0"/>
              <w:bottom w:val="single" w:color="auto" w:sz="4" w:space="0"/>
              <w:right w:val="single" w:color="auto" w:sz="4" w:space="0"/>
            </w:tcBorders>
            <w:vAlign w:val="center"/>
          </w:tcPr>
          <w:p w14:paraId="1BCB2DB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形态</w:t>
            </w:r>
          </w:p>
        </w:tc>
        <w:tc>
          <w:tcPr>
            <w:tcW w:w="1132" w:type="dxa"/>
            <w:tcBorders>
              <w:top w:val="single" w:color="auto" w:sz="4" w:space="0"/>
              <w:left w:val="single" w:color="auto" w:sz="4" w:space="0"/>
              <w:bottom w:val="single" w:color="auto" w:sz="4" w:space="0"/>
              <w:right w:val="single" w:color="auto" w:sz="4" w:space="0"/>
            </w:tcBorders>
            <w:vAlign w:val="center"/>
          </w:tcPr>
          <w:p w14:paraId="29C74B9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有害成分</w:t>
            </w:r>
          </w:p>
        </w:tc>
        <w:tc>
          <w:tcPr>
            <w:tcW w:w="1093" w:type="dxa"/>
            <w:tcBorders>
              <w:top w:val="single" w:color="auto" w:sz="4" w:space="0"/>
              <w:left w:val="single" w:color="auto" w:sz="4" w:space="0"/>
              <w:bottom w:val="single" w:color="auto" w:sz="4" w:space="0"/>
              <w:right w:val="single" w:color="auto" w:sz="4" w:space="0"/>
            </w:tcBorders>
            <w:vAlign w:val="center"/>
          </w:tcPr>
          <w:p w14:paraId="30511643">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属性</w:t>
            </w:r>
          </w:p>
        </w:tc>
        <w:tc>
          <w:tcPr>
            <w:tcW w:w="1181" w:type="dxa"/>
            <w:tcBorders>
              <w:top w:val="single" w:color="auto" w:sz="4" w:space="0"/>
              <w:left w:val="single" w:color="auto" w:sz="4" w:space="0"/>
              <w:bottom w:val="single" w:color="auto" w:sz="4" w:space="0"/>
              <w:right w:val="single" w:color="auto" w:sz="4" w:space="0"/>
            </w:tcBorders>
            <w:vAlign w:val="center"/>
          </w:tcPr>
          <w:p w14:paraId="3A9DD838">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贮存</w:t>
            </w:r>
            <w:r>
              <w:rPr>
                <w:rFonts w:ascii="Times New Roman" w:hAnsi="Times New Roman" w:eastAsia="宋体" w:cs="Times New Roman"/>
                <w:color w:val="auto"/>
                <w:szCs w:val="21"/>
                <w:u w:val="single" w:color="auto"/>
              </w:rPr>
              <w:t>周期</w:t>
            </w:r>
          </w:p>
        </w:tc>
        <w:tc>
          <w:tcPr>
            <w:tcW w:w="685" w:type="dxa"/>
            <w:tcBorders>
              <w:top w:val="single" w:color="auto" w:sz="4" w:space="0"/>
              <w:left w:val="single" w:color="auto" w:sz="4" w:space="0"/>
              <w:bottom w:val="single" w:color="auto" w:sz="4" w:space="0"/>
              <w:right w:val="single" w:color="auto" w:sz="4" w:space="0"/>
            </w:tcBorders>
            <w:vAlign w:val="center"/>
          </w:tcPr>
          <w:p w14:paraId="3CAF2ED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危险特性</w:t>
            </w:r>
          </w:p>
        </w:tc>
        <w:tc>
          <w:tcPr>
            <w:tcW w:w="1679" w:type="dxa"/>
            <w:tcBorders>
              <w:top w:val="single" w:color="auto" w:sz="4" w:space="0"/>
              <w:left w:val="single" w:color="auto" w:sz="4" w:space="0"/>
              <w:bottom w:val="single" w:color="auto" w:sz="4" w:space="0"/>
              <w:right w:val="single" w:color="auto" w:sz="4" w:space="0"/>
            </w:tcBorders>
            <w:vAlign w:val="center"/>
          </w:tcPr>
          <w:p w14:paraId="595D724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污染防治措施</w:t>
            </w:r>
          </w:p>
        </w:tc>
      </w:tr>
      <w:tr w14:paraId="3E725A40">
        <w:tblPrEx>
          <w:tblCellMar>
            <w:top w:w="0" w:type="dxa"/>
            <w:left w:w="108" w:type="dxa"/>
            <w:bottom w:w="0" w:type="dxa"/>
            <w:right w:w="108" w:type="dxa"/>
          </w:tblCellMar>
        </w:tblPrEx>
        <w:trPr>
          <w:trHeight w:val="360" w:hRule="atLeast"/>
        </w:trPr>
        <w:tc>
          <w:tcPr>
            <w:tcW w:w="686" w:type="dxa"/>
            <w:tcBorders>
              <w:top w:val="single" w:color="auto" w:sz="4" w:space="0"/>
              <w:left w:val="single" w:color="auto" w:sz="4" w:space="0"/>
              <w:bottom w:val="single" w:color="auto" w:sz="4" w:space="0"/>
              <w:right w:val="single" w:color="auto" w:sz="4" w:space="0"/>
            </w:tcBorders>
            <w:vAlign w:val="center"/>
          </w:tcPr>
          <w:p w14:paraId="6B4E032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1855" w:type="dxa"/>
            <w:tcBorders>
              <w:top w:val="single" w:color="auto" w:sz="4" w:space="0"/>
              <w:left w:val="single" w:color="auto" w:sz="4" w:space="0"/>
              <w:bottom w:val="single" w:color="auto" w:sz="4" w:space="0"/>
              <w:right w:val="single" w:color="auto" w:sz="4" w:space="0"/>
            </w:tcBorders>
            <w:vAlign w:val="center"/>
          </w:tcPr>
          <w:p w14:paraId="373BC7A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废过滤棉S</w:t>
            </w:r>
            <w:r>
              <w:rPr>
                <w:rFonts w:hint="eastAsia" w:ascii="Times New Roman" w:hAnsi="Times New Roman" w:eastAsia="宋体" w:cs="Times New Roman"/>
                <w:color w:val="auto"/>
                <w:szCs w:val="21"/>
                <w:u w:val="single" w:color="auto"/>
                <w:lang w:val="en-US" w:eastAsia="zh-CN"/>
              </w:rPr>
              <w:t>7</w:t>
            </w:r>
          </w:p>
        </w:tc>
        <w:tc>
          <w:tcPr>
            <w:tcW w:w="1091" w:type="dxa"/>
            <w:tcBorders>
              <w:top w:val="single" w:color="auto" w:sz="4" w:space="0"/>
              <w:left w:val="single" w:color="auto" w:sz="4" w:space="0"/>
              <w:bottom w:val="single" w:color="auto" w:sz="4" w:space="0"/>
              <w:right w:val="single" w:color="auto" w:sz="4" w:space="0"/>
            </w:tcBorders>
            <w:vAlign w:val="center"/>
          </w:tcPr>
          <w:p w14:paraId="719CB69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7BF1759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312400F6">
            <w:pPr>
              <w:widowControl/>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kern w:val="0"/>
                <w:szCs w:val="21"/>
                <w:u w:val="single" w:color="auto"/>
                <w:lang w:val="en-US" w:eastAsia="zh-CN" w:bidi="ar"/>
              </w:rPr>
              <w:t>58.496</w:t>
            </w:r>
          </w:p>
        </w:tc>
        <w:tc>
          <w:tcPr>
            <w:tcW w:w="1763" w:type="dxa"/>
            <w:tcBorders>
              <w:top w:val="single" w:color="auto" w:sz="4" w:space="0"/>
              <w:left w:val="single" w:color="auto" w:sz="4" w:space="0"/>
              <w:bottom w:val="single" w:color="auto" w:sz="4" w:space="0"/>
              <w:right w:val="single" w:color="auto" w:sz="4" w:space="0"/>
            </w:tcBorders>
            <w:vAlign w:val="center"/>
          </w:tcPr>
          <w:p w14:paraId="2A9DF79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干式漆雾过滤器</w:t>
            </w:r>
          </w:p>
        </w:tc>
        <w:tc>
          <w:tcPr>
            <w:tcW w:w="736" w:type="dxa"/>
            <w:tcBorders>
              <w:top w:val="single" w:color="auto" w:sz="4" w:space="0"/>
              <w:left w:val="single" w:color="auto" w:sz="4" w:space="0"/>
              <w:bottom w:val="single" w:color="auto" w:sz="4" w:space="0"/>
              <w:right w:val="single" w:color="auto" w:sz="4" w:space="0"/>
            </w:tcBorders>
            <w:vAlign w:val="center"/>
          </w:tcPr>
          <w:p w14:paraId="4BDF976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636ECC0E">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漆渣及过滤棉</w:t>
            </w:r>
          </w:p>
        </w:tc>
        <w:tc>
          <w:tcPr>
            <w:tcW w:w="1093" w:type="dxa"/>
            <w:tcBorders>
              <w:top w:val="single" w:color="auto" w:sz="4" w:space="0"/>
              <w:left w:val="single" w:color="auto" w:sz="4" w:space="0"/>
              <w:bottom w:val="single" w:color="auto" w:sz="4" w:space="0"/>
              <w:right w:val="single" w:color="auto" w:sz="4" w:space="0"/>
            </w:tcBorders>
            <w:vAlign w:val="center"/>
          </w:tcPr>
          <w:p w14:paraId="19E7D175">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55E6C792">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728BDD01">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restart"/>
            <w:tcBorders>
              <w:top w:val="single" w:color="auto" w:sz="4" w:space="0"/>
              <w:left w:val="single" w:color="auto" w:sz="4" w:space="0"/>
              <w:right w:val="single" w:color="auto" w:sz="4" w:space="0"/>
            </w:tcBorders>
            <w:vAlign w:val="center"/>
          </w:tcPr>
          <w:p w14:paraId="3DC2380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集中收集在危废暂存间专用容器中，定期</w:t>
            </w:r>
            <w:r>
              <w:rPr>
                <w:rFonts w:hint="eastAsia" w:ascii="Times New Roman" w:hAnsi="Times New Roman" w:eastAsia="宋体" w:cs="Times New Roman"/>
                <w:color w:val="auto"/>
                <w:szCs w:val="21"/>
                <w:u w:val="single" w:color="auto"/>
              </w:rPr>
              <w:t>交</w:t>
            </w:r>
            <w:r>
              <w:rPr>
                <w:rFonts w:ascii="Times New Roman" w:hAnsi="Times New Roman" w:eastAsia="宋体" w:cs="Times New Roman"/>
                <w:color w:val="auto"/>
                <w:szCs w:val="21"/>
                <w:u w:val="single" w:color="auto"/>
              </w:rPr>
              <w:t>有资质单位</w:t>
            </w:r>
            <w:r>
              <w:rPr>
                <w:rFonts w:hint="eastAsia" w:ascii="Times New Roman" w:hAnsi="Times New Roman" w:eastAsia="宋体" w:cs="Times New Roman"/>
                <w:color w:val="auto"/>
                <w:szCs w:val="21"/>
                <w:u w:val="single" w:color="auto"/>
              </w:rPr>
              <w:t>处理</w:t>
            </w:r>
          </w:p>
        </w:tc>
      </w:tr>
      <w:tr w14:paraId="3E209FD6">
        <w:tblPrEx>
          <w:tblCellMar>
            <w:top w:w="0" w:type="dxa"/>
            <w:left w:w="108" w:type="dxa"/>
            <w:bottom w:w="0" w:type="dxa"/>
            <w:right w:w="108" w:type="dxa"/>
          </w:tblCellMar>
        </w:tblPrEx>
        <w:trPr>
          <w:trHeight w:val="360" w:hRule="atLeast"/>
        </w:trPr>
        <w:tc>
          <w:tcPr>
            <w:tcW w:w="686" w:type="dxa"/>
            <w:tcBorders>
              <w:top w:val="single" w:color="auto" w:sz="4" w:space="0"/>
              <w:left w:val="single" w:color="auto" w:sz="4" w:space="0"/>
              <w:bottom w:val="single" w:color="auto" w:sz="4" w:space="0"/>
              <w:right w:val="single" w:color="auto" w:sz="4" w:space="0"/>
            </w:tcBorders>
            <w:vAlign w:val="center"/>
          </w:tcPr>
          <w:p w14:paraId="3AFD4831">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2</w:t>
            </w:r>
          </w:p>
        </w:tc>
        <w:tc>
          <w:tcPr>
            <w:tcW w:w="1855" w:type="dxa"/>
            <w:tcBorders>
              <w:top w:val="single" w:color="auto" w:sz="4" w:space="0"/>
              <w:left w:val="single" w:color="auto" w:sz="4" w:space="0"/>
              <w:bottom w:val="single" w:color="auto" w:sz="4" w:space="0"/>
              <w:right w:val="single" w:color="auto" w:sz="4" w:space="0"/>
            </w:tcBorders>
            <w:vAlign w:val="center"/>
          </w:tcPr>
          <w:p w14:paraId="3F76AD8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废活性炭S</w:t>
            </w:r>
            <w:r>
              <w:rPr>
                <w:rFonts w:hint="eastAsia" w:ascii="Times New Roman" w:hAnsi="Times New Roman" w:eastAsia="宋体" w:cs="Times New Roman"/>
                <w:color w:val="auto"/>
                <w:szCs w:val="21"/>
                <w:u w:val="single" w:color="auto"/>
                <w:lang w:val="en-US" w:eastAsia="zh-CN"/>
              </w:rPr>
              <w:t>8</w:t>
            </w:r>
          </w:p>
        </w:tc>
        <w:tc>
          <w:tcPr>
            <w:tcW w:w="1091" w:type="dxa"/>
            <w:tcBorders>
              <w:top w:val="single" w:color="auto" w:sz="4" w:space="0"/>
              <w:left w:val="single" w:color="auto" w:sz="4" w:space="0"/>
              <w:bottom w:val="single" w:color="auto" w:sz="4" w:space="0"/>
              <w:right w:val="single" w:color="auto" w:sz="4" w:space="0"/>
            </w:tcBorders>
            <w:vAlign w:val="center"/>
          </w:tcPr>
          <w:p w14:paraId="247D9C8C">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29AA341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25D2BB31">
            <w:pPr>
              <w:widowControl/>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kern w:val="0"/>
                <w:szCs w:val="21"/>
                <w:u w:val="single" w:color="auto"/>
                <w:lang w:val="en-US" w:eastAsia="zh-CN" w:bidi="ar"/>
              </w:rPr>
              <w:t>2.778</w:t>
            </w:r>
          </w:p>
        </w:tc>
        <w:tc>
          <w:tcPr>
            <w:tcW w:w="1763" w:type="dxa"/>
            <w:tcBorders>
              <w:top w:val="single" w:color="auto" w:sz="4" w:space="0"/>
              <w:left w:val="single" w:color="auto" w:sz="4" w:space="0"/>
              <w:bottom w:val="single" w:color="auto" w:sz="4" w:space="0"/>
              <w:right w:val="single" w:color="auto" w:sz="4" w:space="0"/>
            </w:tcBorders>
            <w:vAlign w:val="center"/>
          </w:tcPr>
          <w:p w14:paraId="52809BE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活性炭吸附</w:t>
            </w:r>
          </w:p>
        </w:tc>
        <w:tc>
          <w:tcPr>
            <w:tcW w:w="736" w:type="dxa"/>
            <w:tcBorders>
              <w:top w:val="single" w:color="auto" w:sz="4" w:space="0"/>
              <w:left w:val="single" w:color="auto" w:sz="4" w:space="0"/>
              <w:bottom w:val="single" w:color="auto" w:sz="4" w:space="0"/>
              <w:right w:val="single" w:color="auto" w:sz="4" w:space="0"/>
            </w:tcBorders>
            <w:vAlign w:val="center"/>
          </w:tcPr>
          <w:p w14:paraId="23408CE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3ECE47F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活性炭</w:t>
            </w:r>
          </w:p>
        </w:tc>
        <w:tc>
          <w:tcPr>
            <w:tcW w:w="1093" w:type="dxa"/>
            <w:tcBorders>
              <w:top w:val="single" w:color="auto" w:sz="4" w:space="0"/>
              <w:left w:val="single" w:color="auto" w:sz="4" w:space="0"/>
              <w:bottom w:val="single" w:color="auto" w:sz="4" w:space="0"/>
              <w:right w:val="single" w:color="auto" w:sz="4" w:space="0"/>
            </w:tcBorders>
            <w:vAlign w:val="center"/>
          </w:tcPr>
          <w:p w14:paraId="75606A30">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748C376C">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124A9CD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121FE868">
            <w:pPr>
              <w:snapToGrid w:val="0"/>
              <w:jc w:val="center"/>
              <w:rPr>
                <w:rFonts w:ascii="Times New Roman" w:hAnsi="Times New Roman" w:eastAsia="宋体" w:cs="Times New Roman"/>
                <w:color w:val="auto"/>
                <w:szCs w:val="21"/>
                <w:u w:val="single" w:color="auto"/>
              </w:rPr>
            </w:pPr>
          </w:p>
        </w:tc>
      </w:tr>
      <w:tr w14:paraId="4CF384BA">
        <w:tblPrEx>
          <w:tblCellMar>
            <w:top w:w="0" w:type="dxa"/>
            <w:left w:w="108" w:type="dxa"/>
            <w:bottom w:w="0" w:type="dxa"/>
            <w:right w:w="108" w:type="dxa"/>
          </w:tblCellMar>
        </w:tblPrEx>
        <w:trPr>
          <w:trHeight w:val="360" w:hRule="atLeast"/>
        </w:trPr>
        <w:tc>
          <w:tcPr>
            <w:tcW w:w="686" w:type="dxa"/>
            <w:tcBorders>
              <w:top w:val="single" w:color="auto" w:sz="4" w:space="0"/>
              <w:left w:val="single" w:color="auto" w:sz="4" w:space="0"/>
              <w:bottom w:val="single" w:color="auto" w:sz="4" w:space="0"/>
              <w:right w:val="single" w:color="auto" w:sz="4" w:space="0"/>
            </w:tcBorders>
            <w:vAlign w:val="center"/>
          </w:tcPr>
          <w:p w14:paraId="6A23D3A2">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3</w:t>
            </w:r>
          </w:p>
        </w:tc>
        <w:tc>
          <w:tcPr>
            <w:tcW w:w="1855" w:type="dxa"/>
            <w:tcBorders>
              <w:top w:val="single" w:color="auto" w:sz="4" w:space="0"/>
              <w:left w:val="single" w:color="auto" w:sz="4" w:space="0"/>
              <w:bottom w:val="single" w:color="auto" w:sz="4" w:space="0"/>
              <w:right w:val="single" w:color="auto" w:sz="4" w:space="0"/>
            </w:tcBorders>
            <w:vAlign w:val="center"/>
          </w:tcPr>
          <w:p w14:paraId="2F5F684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废催化剂S</w:t>
            </w:r>
            <w:r>
              <w:rPr>
                <w:rFonts w:hint="eastAsia" w:ascii="Times New Roman" w:hAnsi="Times New Roman" w:eastAsia="宋体" w:cs="Times New Roman"/>
                <w:color w:val="auto"/>
                <w:szCs w:val="21"/>
                <w:u w:val="single" w:color="auto"/>
                <w:lang w:val="en-US" w:eastAsia="zh-CN"/>
              </w:rPr>
              <w:t>9</w:t>
            </w:r>
          </w:p>
        </w:tc>
        <w:tc>
          <w:tcPr>
            <w:tcW w:w="1091" w:type="dxa"/>
            <w:tcBorders>
              <w:top w:val="single" w:color="auto" w:sz="4" w:space="0"/>
              <w:left w:val="single" w:color="auto" w:sz="4" w:space="0"/>
              <w:bottom w:val="single" w:color="auto" w:sz="4" w:space="0"/>
              <w:right w:val="single" w:color="auto" w:sz="4" w:space="0"/>
            </w:tcBorders>
            <w:vAlign w:val="center"/>
          </w:tcPr>
          <w:p w14:paraId="06F1F38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7FFED71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006BD369">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0.1</w:t>
            </w:r>
          </w:p>
        </w:tc>
        <w:tc>
          <w:tcPr>
            <w:tcW w:w="1763" w:type="dxa"/>
            <w:tcBorders>
              <w:top w:val="single" w:color="auto" w:sz="4" w:space="0"/>
              <w:left w:val="single" w:color="auto" w:sz="4" w:space="0"/>
              <w:bottom w:val="single" w:color="auto" w:sz="4" w:space="0"/>
              <w:right w:val="single" w:color="auto" w:sz="4" w:space="0"/>
            </w:tcBorders>
            <w:vAlign w:val="center"/>
          </w:tcPr>
          <w:p w14:paraId="7B0BC34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废气处理</w:t>
            </w:r>
          </w:p>
        </w:tc>
        <w:tc>
          <w:tcPr>
            <w:tcW w:w="736" w:type="dxa"/>
            <w:tcBorders>
              <w:top w:val="single" w:color="auto" w:sz="4" w:space="0"/>
              <w:left w:val="single" w:color="auto" w:sz="4" w:space="0"/>
              <w:bottom w:val="single" w:color="auto" w:sz="4" w:space="0"/>
              <w:right w:val="single" w:color="auto" w:sz="4" w:space="0"/>
            </w:tcBorders>
            <w:vAlign w:val="center"/>
          </w:tcPr>
          <w:p w14:paraId="0B2C491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5C24A1A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废催化剂</w:t>
            </w:r>
          </w:p>
        </w:tc>
        <w:tc>
          <w:tcPr>
            <w:tcW w:w="1093" w:type="dxa"/>
            <w:tcBorders>
              <w:top w:val="single" w:color="auto" w:sz="4" w:space="0"/>
              <w:left w:val="single" w:color="auto" w:sz="4" w:space="0"/>
              <w:bottom w:val="single" w:color="auto" w:sz="4" w:space="0"/>
              <w:right w:val="single" w:color="auto" w:sz="4" w:space="0"/>
            </w:tcBorders>
            <w:vAlign w:val="center"/>
          </w:tcPr>
          <w:p w14:paraId="2A182833">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66D9C9F6">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0359EEC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18270480">
            <w:pPr>
              <w:snapToGrid w:val="0"/>
              <w:jc w:val="center"/>
              <w:rPr>
                <w:rFonts w:ascii="Times New Roman" w:hAnsi="Times New Roman" w:eastAsia="宋体" w:cs="Times New Roman"/>
                <w:color w:val="auto"/>
                <w:szCs w:val="21"/>
                <w:u w:val="single" w:color="auto"/>
              </w:rPr>
            </w:pPr>
          </w:p>
        </w:tc>
      </w:tr>
      <w:tr w14:paraId="5418A47B">
        <w:tblPrEx>
          <w:tblCellMar>
            <w:top w:w="0" w:type="dxa"/>
            <w:left w:w="108" w:type="dxa"/>
            <w:bottom w:w="0" w:type="dxa"/>
            <w:right w:w="108" w:type="dxa"/>
          </w:tblCellMar>
        </w:tblPrEx>
        <w:trPr>
          <w:trHeight w:val="87" w:hRule="atLeast"/>
        </w:trPr>
        <w:tc>
          <w:tcPr>
            <w:tcW w:w="686" w:type="dxa"/>
            <w:tcBorders>
              <w:top w:val="single" w:color="auto" w:sz="4" w:space="0"/>
              <w:left w:val="single" w:color="auto" w:sz="4" w:space="0"/>
              <w:bottom w:val="single" w:color="auto" w:sz="4" w:space="0"/>
              <w:right w:val="single" w:color="auto" w:sz="4" w:space="0"/>
            </w:tcBorders>
            <w:vAlign w:val="center"/>
          </w:tcPr>
          <w:p w14:paraId="461E89CC">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4</w:t>
            </w:r>
          </w:p>
        </w:tc>
        <w:tc>
          <w:tcPr>
            <w:tcW w:w="1855" w:type="dxa"/>
            <w:tcBorders>
              <w:top w:val="single" w:color="auto" w:sz="4" w:space="0"/>
              <w:left w:val="single" w:color="auto" w:sz="4" w:space="0"/>
              <w:bottom w:val="single" w:color="auto" w:sz="4" w:space="0"/>
              <w:right w:val="single" w:color="auto" w:sz="4" w:space="0"/>
            </w:tcBorders>
            <w:vAlign w:val="center"/>
          </w:tcPr>
          <w:p w14:paraId="4C0591D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废油漆桶S1</w:t>
            </w:r>
            <w:r>
              <w:rPr>
                <w:rFonts w:hint="eastAsia" w:ascii="Times New Roman" w:hAnsi="Times New Roman" w:eastAsia="宋体" w:cs="Times New Roman"/>
                <w:color w:val="auto"/>
                <w:szCs w:val="21"/>
                <w:u w:val="single" w:color="auto"/>
                <w:lang w:val="en-US" w:eastAsia="zh-CN"/>
              </w:rPr>
              <w:t>0</w:t>
            </w:r>
          </w:p>
        </w:tc>
        <w:tc>
          <w:tcPr>
            <w:tcW w:w="1091" w:type="dxa"/>
            <w:tcBorders>
              <w:top w:val="single" w:color="auto" w:sz="4" w:space="0"/>
              <w:left w:val="single" w:color="auto" w:sz="4" w:space="0"/>
              <w:bottom w:val="single" w:color="auto" w:sz="4" w:space="0"/>
              <w:right w:val="single" w:color="auto" w:sz="4" w:space="0"/>
            </w:tcBorders>
            <w:vAlign w:val="center"/>
          </w:tcPr>
          <w:p w14:paraId="5985EBC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0518AE3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015E3C17">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10.28</w:t>
            </w:r>
          </w:p>
        </w:tc>
        <w:tc>
          <w:tcPr>
            <w:tcW w:w="1763" w:type="dxa"/>
            <w:tcBorders>
              <w:top w:val="single" w:color="auto" w:sz="4" w:space="0"/>
              <w:left w:val="single" w:color="auto" w:sz="4" w:space="0"/>
              <w:bottom w:val="single" w:color="auto" w:sz="4" w:space="0"/>
              <w:right w:val="single" w:color="auto" w:sz="4" w:space="0"/>
            </w:tcBorders>
            <w:vAlign w:val="center"/>
          </w:tcPr>
          <w:p w14:paraId="0DD2FDB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736" w:type="dxa"/>
            <w:tcBorders>
              <w:top w:val="single" w:color="auto" w:sz="4" w:space="0"/>
              <w:left w:val="single" w:color="auto" w:sz="4" w:space="0"/>
              <w:bottom w:val="single" w:color="auto" w:sz="4" w:space="0"/>
              <w:right w:val="single" w:color="auto" w:sz="4" w:space="0"/>
            </w:tcBorders>
            <w:vAlign w:val="center"/>
          </w:tcPr>
          <w:p w14:paraId="22D38E21">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73811F7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油漆及金属</w:t>
            </w:r>
          </w:p>
        </w:tc>
        <w:tc>
          <w:tcPr>
            <w:tcW w:w="1093" w:type="dxa"/>
            <w:tcBorders>
              <w:top w:val="single" w:color="auto" w:sz="4" w:space="0"/>
              <w:left w:val="single" w:color="auto" w:sz="4" w:space="0"/>
              <w:bottom w:val="single" w:color="auto" w:sz="4" w:space="0"/>
              <w:right w:val="single" w:color="auto" w:sz="4" w:space="0"/>
            </w:tcBorders>
            <w:vAlign w:val="center"/>
          </w:tcPr>
          <w:p w14:paraId="133D7D63">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0CF51C6B">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59C33CE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6A062208">
            <w:pPr>
              <w:snapToGrid w:val="0"/>
              <w:jc w:val="center"/>
              <w:rPr>
                <w:rFonts w:ascii="Times New Roman" w:hAnsi="Times New Roman" w:eastAsia="宋体" w:cs="Times New Roman"/>
                <w:color w:val="auto"/>
                <w:szCs w:val="21"/>
                <w:u w:val="single" w:color="auto"/>
              </w:rPr>
            </w:pPr>
          </w:p>
        </w:tc>
      </w:tr>
      <w:tr w14:paraId="5C036072">
        <w:tblPrEx>
          <w:tblCellMar>
            <w:top w:w="0" w:type="dxa"/>
            <w:left w:w="108" w:type="dxa"/>
            <w:bottom w:w="0" w:type="dxa"/>
            <w:right w:w="108" w:type="dxa"/>
          </w:tblCellMar>
        </w:tblPrEx>
        <w:trPr>
          <w:trHeight w:val="87" w:hRule="atLeast"/>
        </w:trPr>
        <w:tc>
          <w:tcPr>
            <w:tcW w:w="686" w:type="dxa"/>
            <w:tcBorders>
              <w:top w:val="single" w:color="auto" w:sz="4" w:space="0"/>
              <w:left w:val="single" w:color="auto" w:sz="4" w:space="0"/>
              <w:bottom w:val="single" w:color="auto" w:sz="4" w:space="0"/>
              <w:right w:val="single" w:color="auto" w:sz="4" w:space="0"/>
            </w:tcBorders>
            <w:vAlign w:val="center"/>
          </w:tcPr>
          <w:p w14:paraId="1D1ED014">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5</w:t>
            </w:r>
          </w:p>
        </w:tc>
        <w:tc>
          <w:tcPr>
            <w:tcW w:w="1855" w:type="dxa"/>
            <w:tcBorders>
              <w:top w:val="single" w:color="auto" w:sz="4" w:space="0"/>
              <w:left w:val="single" w:color="auto" w:sz="4" w:space="0"/>
              <w:bottom w:val="single" w:color="auto" w:sz="4" w:space="0"/>
              <w:right w:val="single" w:color="auto" w:sz="4" w:space="0"/>
            </w:tcBorders>
            <w:vAlign w:val="center"/>
          </w:tcPr>
          <w:p w14:paraId="78DFDFA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固化剂</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1</w:t>
            </w:r>
          </w:p>
        </w:tc>
        <w:tc>
          <w:tcPr>
            <w:tcW w:w="1091" w:type="dxa"/>
            <w:tcBorders>
              <w:top w:val="single" w:color="auto" w:sz="4" w:space="0"/>
              <w:left w:val="single" w:color="auto" w:sz="4" w:space="0"/>
              <w:bottom w:val="single" w:color="auto" w:sz="4" w:space="0"/>
              <w:right w:val="single" w:color="auto" w:sz="4" w:space="0"/>
            </w:tcBorders>
            <w:vAlign w:val="center"/>
          </w:tcPr>
          <w:p w14:paraId="407F4CE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5FCF1EDC">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74A1BEBF">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0.82</w:t>
            </w:r>
          </w:p>
        </w:tc>
        <w:tc>
          <w:tcPr>
            <w:tcW w:w="1763" w:type="dxa"/>
            <w:tcBorders>
              <w:top w:val="single" w:color="auto" w:sz="4" w:space="0"/>
              <w:left w:val="single" w:color="auto" w:sz="4" w:space="0"/>
              <w:bottom w:val="single" w:color="auto" w:sz="4" w:space="0"/>
              <w:right w:val="single" w:color="auto" w:sz="4" w:space="0"/>
            </w:tcBorders>
            <w:vAlign w:val="center"/>
          </w:tcPr>
          <w:p w14:paraId="276F9C7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736" w:type="dxa"/>
            <w:tcBorders>
              <w:top w:val="single" w:color="auto" w:sz="4" w:space="0"/>
              <w:left w:val="single" w:color="auto" w:sz="4" w:space="0"/>
              <w:bottom w:val="single" w:color="auto" w:sz="4" w:space="0"/>
              <w:right w:val="single" w:color="auto" w:sz="4" w:space="0"/>
            </w:tcBorders>
            <w:vAlign w:val="center"/>
          </w:tcPr>
          <w:p w14:paraId="666E574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79D92A14">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固化剂及金属</w:t>
            </w:r>
          </w:p>
        </w:tc>
        <w:tc>
          <w:tcPr>
            <w:tcW w:w="1093" w:type="dxa"/>
            <w:tcBorders>
              <w:top w:val="single" w:color="auto" w:sz="4" w:space="0"/>
              <w:left w:val="single" w:color="auto" w:sz="4" w:space="0"/>
              <w:bottom w:val="single" w:color="auto" w:sz="4" w:space="0"/>
              <w:right w:val="single" w:color="auto" w:sz="4" w:space="0"/>
            </w:tcBorders>
            <w:vAlign w:val="center"/>
          </w:tcPr>
          <w:p w14:paraId="00BEE56A">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339671C9">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40DAB031">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276FF803">
            <w:pPr>
              <w:snapToGrid w:val="0"/>
              <w:jc w:val="center"/>
              <w:rPr>
                <w:rFonts w:ascii="Times New Roman" w:hAnsi="Times New Roman" w:eastAsia="宋体" w:cs="Times New Roman"/>
                <w:color w:val="auto"/>
                <w:szCs w:val="21"/>
                <w:u w:val="single" w:color="auto"/>
              </w:rPr>
            </w:pPr>
          </w:p>
        </w:tc>
      </w:tr>
      <w:tr w14:paraId="29BFF716">
        <w:tblPrEx>
          <w:tblCellMar>
            <w:top w:w="0" w:type="dxa"/>
            <w:left w:w="108" w:type="dxa"/>
            <w:bottom w:w="0" w:type="dxa"/>
            <w:right w:w="108" w:type="dxa"/>
          </w:tblCellMar>
        </w:tblPrEx>
        <w:trPr>
          <w:trHeight w:val="87" w:hRule="atLeast"/>
        </w:trPr>
        <w:tc>
          <w:tcPr>
            <w:tcW w:w="686" w:type="dxa"/>
            <w:tcBorders>
              <w:top w:val="single" w:color="auto" w:sz="4" w:space="0"/>
              <w:left w:val="single" w:color="auto" w:sz="4" w:space="0"/>
              <w:bottom w:val="single" w:color="auto" w:sz="4" w:space="0"/>
              <w:right w:val="single" w:color="auto" w:sz="4" w:space="0"/>
            </w:tcBorders>
            <w:vAlign w:val="center"/>
          </w:tcPr>
          <w:p w14:paraId="77DAB3AE">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6</w:t>
            </w:r>
          </w:p>
        </w:tc>
        <w:tc>
          <w:tcPr>
            <w:tcW w:w="1855" w:type="dxa"/>
            <w:tcBorders>
              <w:top w:val="single" w:color="auto" w:sz="4" w:space="0"/>
              <w:left w:val="single" w:color="auto" w:sz="4" w:space="0"/>
              <w:bottom w:val="single" w:color="auto" w:sz="4" w:space="0"/>
              <w:right w:val="single" w:color="auto" w:sz="4" w:space="0"/>
            </w:tcBorders>
            <w:vAlign w:val="center"/>
          </w:tcPr>
          <w:p w14:paraId="01C4406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稀释剂</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2</w:t>
            </w:r>
          </w:p>
        </w:tc>
        <w:tc>
          <w:tcPr>
            <w:tcW w:w="1091" w:type="dxa"/>
            <w:tcBorders>
              <w:top w:val="single" w:color="auto" w:sz="4" w:space="0"/>
              <w:left w:val="single" w:color="auto" w:sz="4" w:space="0"/>
              <w:bottom w:val="single" w:color="auto" w:sz="4" w:space="0"/>
              <w:right w:val="single" w:color="auto" w:sz="4" w:space="0"/>
            </w:tcBorders>
            <w:vAlign w:val="center"/>
          </w:tcPr>
          <w:p w14:paraId="4A7CEEC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2B10FED5">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5366FE8F">
            <w:pPr>
              <w:jc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szCs w:val="21"/>
                <w:u w:val="single" w:color="auto"/>
                <w:lang w:val="en-US" w:eastAsia="zh-CN"/>
              </w:rPr>
              <w:t>0.824</w:t>
            </w:r>
          </w:p>
        </w:tc>
        <w:tc>
          <w:tcPr>
            <w:tcW w:w="1763" w:type="dxa"/>
            <w:tcBorders>
              <w:top w:val="single" w:color="auto" w:sz="4" w:space="0"/>
              <w:left w:val="single" w:color="auto" w:sz="4" w:space="0"/>
              <w:bottom w:val="single" w:color="auto" w:sz="4" w:space="0"/>
              <w:right w:val="single" w:color="auto" w:sz="4" w:space="0"/>
            </w:tcBorders>
            <w:vAlign w:val="center"/>
          </w:tcPr>
          <w:p w14:paraId="22F9596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736" w:type="dxa"/>
            <w:tcBorders>
              <w:top w:val="single" w:color="auto" w:sz="4" w:space="0"/>
              <w:left w:val="single" w:color="auto" w:sz="4" w:space="0"/>
              <w:bottom w:val="single" w:color="auto" w:sz="4" w:space="0"/>
              <w:right w:val="single" w:color="auto" w:sz="4" w:space="0"/>
            </w:tcBorders>
            <w:vAlign w:val="center"/>
          </w:tcPr>
          <w:p w14:paraId="15397803">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643CDD7E">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稀释剂及金属</w:t>
            </w:r>
          </w:p>
        </w:tc>
        <w:tc>
          <w:tcPr>
            <w:tcW w:w="1093" w:type="dxa"/>
            <w:tcBorders>
              <w:top w:val="single" w:color="auto" w:sz="4" w:space="0"/>
              <w:left w:val="single" w:color="auto" w:sz="4" w:space="0"/>
              <w:bottom w:val="single" w:color="auto" w:sz="4" w:space="0"/>
              <w:right w:val="single" w:color="auto" w:sz="4" w:space="0"/>
            </w:tcBorders>
            <w:vAlign w:val="center"/>
          </w:tcPr>
          <w:p w14:paraId="7604FD5C">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1474375D">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2E0D8DD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76956619">
            <w:pPr>
              <w:snapToGrid w:val="0"/>
              <w:jc w:val="center"/>
              <w:rPr>
                <w:rFonts w:ascii="Times New Roman" w:hAnsi="Times New Roman" w:eastAsia="宋体" w:cs="Times New Roman"/>
                <w:color w:val="auto"/>
                <w:szCs w:val="21"/>
                <w:u w:val="single" w:color="auto"/>
              </w:rPr>
            </w:pPr>
          </w:p>
        </w:tc>
      </w:tr>
      <w:tr w14:paraId="3A219B16">
        <w:tblPrEx>
          <w:tblCellMar>
            <w:top w:w="0" w:type="dxa"/>
            <w:left w:w="108" w:type="dxa"/>
            <w:bottom w:w="0" w:type="dxa"/>
            <w:right w:w="108" w:type="dxa"/>
          </w:tblCellMar>
        </w:tblPrEx>
        <w:trPr>
          <w:trHeight w:val="87" w:hRule="atLeast"/>
        </w:trPr>
        <w:tc>
          <w:tcPr>
            <w:tcW w:w="686" w:type="dxa"/>
            <w:tcBorders>
              <w:top w:val="single" w:color="auto" w:sz="4" w:space="0"/>
              <w:left w:val="single" w:color="auto" w:sz="4" w:space="0"/>
              <w:bottom w:val="single" w:color="auto" w:sz="4" w:space="0"/>
              <w:right w:val="single" w:color="auto" w:sz="4" w:space="0"/>
            </w:tcBorders>
            <w:vAlign w:val="center"/>
          </w:tcPr>
          <w:p w14:paraId="4D8BC3D1">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7</w:t>
            </w:r>
          </w:p>
        </w:tc>
        <w:tc>
          <w:tcPr>
            <w:tcW w:w="1855" w:type="dxa"/>
            <w:tcBorders>
              <w:top w:val="single" w:color="auto" w:sz="4" w:space="0"/>
              <w:left w:val="single" w:color="auto" w:sz="4" w:space="0"/>
              <w:bottom w:val="single" w:color="auto" w:sz="4" w:space="0"/>
              <w:right w:val="single" w:color="auto" w:sz="4" w:space="0"/>
            </w:tcBorders>
            <w:vAlign w:val="center"/>
          </w:tcPr>
          <w:p w14:paraId="395E466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润滑油</w:t>
            </w:r>
            <w:r>
              <w:rPr>
                <w:rFonts w:ascii="Times New Roman" w:hAnsi="Times New Roman" w:eastAsia="宋体" w:cs="Times New Roman"/>
                <w:color w:val="auto"/>
                <w:szCs w:val="21"/>
                <w:u w:val="single" w:color="auto"/>
              </w:rPr>
              <w:t>桶S1</w:t>
            </w:r>
            <w:r>
              <w:rPr>
                <w:rFonts w:hint="eastAsia" w:ascii="Times New Roman" w:hAnsi="Times New Roman" w:eastAsia="宋体" w:cs="Times New Roman"/>
                <w:color w:val="auto"/>
                <w:szCs w:val="21"/>
                <w:u w:val="single" w:color="auto"/>
                <w:lang w:val="en-US" w:eastAsia="zh-CN"/>
              </w:rPr>
              <w:t>3</w:t>
            </w:r>
          </w:p>
        </w:tc>
        <w:tc>
          <w:tcPr>
            <w:tcW w:w="1091" w:type="dxa"/>
            <w:tcBorders>
              <w:top w:val="single" w:color="auto" w:sz="4" w:space="0"/>
              <w:left w:val="single" w:color="auto" w:sz="4" w:space="0"/>
              <w:bottom w:val="single" w:color="auto" w:sz="4" w:space="0"/>
              <w:right w:val="single" w:color="auto" w:sz="4" w:space="0"/>
            </w:tcBorders>
            <w:vAlign w:val="center"/>
          </w:tcPr>
          <w:p w14:paraId="3D0146EC">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3F2B404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0849DF2B">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0.1</w:t>
            </w:r>
          </w:p>
        </w:tc>
        <w:tc>
          <w:tcPr>
            <w:tcW w:w="1763" w:type="dxa"/>
            <w:tcBorders>
              <w:top w:val="single" w:color="auto" w:sz="4" w:space="0"/>
              <w:left w:val="single" w:color="auto" w:sz="4" w:space="0"/>
              <w:bottom w:val="single" w:color="auto" w:sz="4" w:space="0"/>
              <w:right w:val="single" w:color="auto" w:sz="4" w:space="0"/>
            </w:tcBorders>
            <w:vAlign w:val="center"/>
          </w:tcPr>
          <w:p w14:paraId="6990AC12">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原料包装</w:t>
            </w:r>
          </w:p>
        </w:tc>
        <w:tc>
          <w:tcPr>
            <w:tcW w:w="736" w:type="dxa"/>
            <w:tcBorders>
              <w:top w:val="single" w:color="auto" w:sz="4" w:space="0"/>
              <w:left w:val="single" w:color="auto" w:sz="4" w:space="0"/>
              <w:bottom w:val="single" w:color="auto" w:sz="4" w:space="0"/>
              <w:right w:val="single" w:color="auto" w:sz="4" w:space="0"/>
            </w:tcBorders>
            <w:vAlign w:val="center"/>
          </w:tcPr>
          <w:p w14:paraId="5B92134D">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556521C3">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矿物质油及金属</w:t>
            </w:r>
          </w:p>
        </w:tc>
        <w:tc>
          <w:tcPr>
            <w:tcW w:w="1093" w:type="dxa"/>
            <w:tcBorders>
              <w:top w:val="single" w:color="auto" w:sz="4" w:space="0"/>
              <w:left w:val="single" w:color="auto" w:sz="4" w:space="0"/>
              <w:bottom w:val="single" w:color="auto" w:sz="4" w:space="0"/>
              <w:right w:val="single" w:color="auto" w:sz="4" w:space="0"/>
            </w:tcBorders>
            <w:vAlign w:val="center"/>
          </w:tcPr>
          <w:p w14:paraId="560E4F90">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64C680DF">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251347D1">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679" w:type="dxa"/>
            <w:vMerge w:val="continue"/>
            <w:tcBorders>
              <w:left w:val="single" w:color="auto" w:sz="4" w:space="0"/>
              <w:right w:val="single" w:color="auto" w:sz="4" w:space="0"/>
            </w:tcBorders>
            <w:vAlign w:val="center"/>
          </w:tcPr>
          <w:p w14:paraId="7BCDA2D0">
            <w:pPr>
              <w:snapToGrid w:val="0"/>
              <w:jc w:val="center"/>
              <w:rPr>
                <w:rFonts w:ascii="Times New Roman" w:hAnsi="Times New Roman" w:eastAsia="宋体" w:cs="Times New Roman"/>
                <w:color w:val="auto"/>
                <w:szCs w:val="21"/>
                <w:u w:val="single" w:color="auto"/>
              </w:rPr>
            </w:pPr>
          </w:p>
        </w:tc>
      </w:tr>
      <w:tr w14:paraId="5091EF2E">
        <w:tblPrEx>
          <w:tblCellMar>
            <w:top w:w="0" w:type="dxa"/>
            <w:left w:w="108" w:type="dxa"/>
            <w:bottom w:w="0" w:type="dxa"/>
            <w:right w:w="108" w:type="dxa"/>
          </w:tblCellMar>
        </w:tblPrEx>
        <w:trPr>
          <w:trHeight w:val="267" w:hRule="atLeast"/>
        </w:trPr>
        <w:tc>
          <w:tcPr>
            <w:tcW w:w="686" w:type="dxa"/>
            <w:tcBorders>
              <w:top w:val="single" w:color="auto" w:sz="4" w:space="0"/>
              <w:left w:val="single" w:color="auto" w:sz="4" w:space="0"/>
              <w:bottom w:val="single" w:color="auto" w:sz="4" w:space="0"/>
              <w:right w:val="single" w:color="auto" w:sz="4" w:space="0"/>
            </w:tcBorders>
            <w:vAlign w:val="center"/>
          </w:tcPr>
          <w:p w14:paraId="100AA046">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8</w:t>
            </w:r>
          </w:p>
        </w:tc>
        <w:tc>
          <w:tcPr>
            <w:tcW w:w="1855" w:type="dxa"/>
            <w:tcBorders>
              <w:top w:val="single" w:color="auto" w:sz="4" w:space="0"/>
              <w:left w:val="single" w:color="auto" w:sz="4" w:space="0"/>
              <w:bottom w:val="single" w:color="auto" w:sz="4" w:space="0"/>
              <w:right w:val="single" w:color="auto" w:sz="4" w:space="0"/>
            </w:tcBorders>
            <w:vAlign w:val="center"/>
          </w:tcPr>
          <w:p w14:paraId="2F4C44D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废润滑油S1</w:t>
            </w:r>
            <w:r>
              <w:rPr>
                <w:rFonts w:hint="eastAsia" w:ascii="Times New Roman" w:hAnsi="Times New Roman" w:eastAsia="宋体" w:cs="Times New Roman"/>
                <w:color w:val="auto"/>
                <w:szCs w:val="21"/>
                <w:u w:val="single" w:color="auto"/>
                <w:lang w:val="en-US" w:eastAsia="zh-CN"/>
              </w:rPr>
              <w:t>4</w:t>
            </w:r>
          </w:p>
        </w:tc>
        <w:tc>
          <w:tcPr>
            <w:tcW w:w="1091" w:type="dxa"/>
            <w:tcBorders>
              <w:top w:val="single" w:color="auto" w:sz="4" w:space="0"/>
              <w:left w:val="single" w:color="auto" w:sz="4" w:space="0"/>
              <w:bottom w:val="single" w:color="auto" w:sz="4" w:space="0"/>
              <w:right w:val="single" w:color="auto" w:sz="4" w:space="0"/>
            </w:tcBorders>
            <w:vAlign w:val="center"/>
          </w:tcPr>
          <w:p w14:paraId="7747464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HW08</w:t>
            </w:r>
          </w:p>
        </w:tc>
        <w:tc>
          <w:tcPr>
            <w:tcW w:w="1199" w:type="dxa"/>
            <w:tcBorders>
              <w:top w:val="single" w:color="auto" w:sz="4" w:space="0"/>
              <w:left w:val="single" w:color="auto" w:sz="4" w:space="0"/>
              <w:bottom w:val="single" w:color="auto" w:sz="4" w:space="0"/>
              <w:right w:val="single" w:color="auto" w:sz="4" w:space="0"/>
            </w:tcBorders>
            <w:vAlign w:val="center"/>
          </w:tcPr>
          <w:p w14:paraId="24DDC4CB">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900-214-08</w:t>
            </w:r>
          </w:p>
        </w:tc>
        <w:tc>
          <w:tcPr>
            <w:tcW w:w="1074" w:type="dxa"/>
            <w:tcBorders>
              <w:top w:val="single" w:color="auto" w:sz="4" w:space="0"/>
              <w:left w:val="single" w:color="auto" w:sz="4" w:space="0"/>
              <w:bottom w:val="single" w:color="auto" w:sz="4" w:space="0"/>
              <w:right w:val="single" w:color="auto" w:sz="4" w:space="0"/>
            </w:tcBorders>
            <w:vAlign w:val="center"/>
          </w:tcPr>
          <w:p w14:paraId="3CD75D7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0.04</w:t>
            </w:r>
          </w:p>
        </w:tc>
        <w:tc>
          <w:tcPr>
            <w:tcW w:w="1763" w:type="dxa"/>
            <w:tcBorders>
              <w:top w:val="single" w:color="auto" w:sz="4" w:space="0"/>
              <w:left w:val="single" w:color="auto" w:sz="4" w:space="0"/>
              <w:bottom w:val="single" w:color="auto" w:sz="4" w:space="0"/>
              <w:right w:val="single" w:color="auto" w:sz="4" w:space="0"/>
            </w:tcBorders>
            <w:vAlign w:val="center"/>
          </w:tcPr>
          <w:p w14:paraId="247DB31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维修保养</w:t>
            </w:r>
          </w:p>
        </w:tc>
        <w:tc>
          <w:tcPr>
            <w:tcW w:w="736" w:type="dxa"/>
            <w:tcBorders>
              <w:top w:val="single" w:color="auto" w:sz="4" w:space="0"/>
              <w:left w:val="single" w:color="auto" w:sz="4" w:space="0"/>
              <w:bottom w:val="single" w:color="auto" w:sz="4" w:space="0"/>
              <w:right w:val="single" w:color="auto" w:sz="4" w:space="0"/>
            </w:tcBorders>
            <w:vAlign w:val="center"/>
          </w:tcPr>
          <w:p w14:paraId="3E9FDA73">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液</w:t>
            </w:r>
          </w:p>
        </w:tc>
        <w:tc>
          <w:tcPr>
            <w:tcW w:w="1132" w:type="dxa"/>
            <w:tcBorders>
              <w:top w:val="single" w:color="auto" w:sz="4" w:space="0"/>
              <w:left w:val="single" w:color="auto" w:sz="4" w:space="0"/>
              <w:bottom w:val="single" w:color="auto" w:sz="4" w:space="0"/>
              <w:right w:val="single" w:color="auto" w:sz="4" w:space="0"/>
            </w:tcBorders>
            <w:vAlign w:val="center"/>
          </w:tcPr>
          <w:p w14:paraId="26D62FA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矿物质油</w:t>
            </w:r>
          </w:p>
        </w:tc>
        <w:tc>
          <w:tcPr>
            <w:tcW w:w="1093" w:type="dxa"/>
            <w:tcBorders>
              <w:top w:val="single" w:color="auto" w:sz="4" w:space="0"/>
              <w:left w:val="single" w:color="auto" w:sz="4" w:space="0"/>
              <w:bottom w:val="single" w:color="auto" w:sz="4" w:space="0"/>
              <w:right w:val="single" w:color="auto" w:sz="4" w:space="0"/>
            </w:tcBorders>
            <w:vAlign w:val="center"/>
          </w:tcPr>
          <w:p w14:paraId="5365DE3B">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6CD7221F">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35B77212">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1679" w:type="dxa"/>
            <w:vMerge w:val="continue"/>
            <w:tcBorders>
              <w:left w:val="single" w:color="auto" w:sz="4" w:space="0"/>
              <w:right w:val="single" w:color="auto" w:sz="4" w:space="0"/>
            </w:tcBorders>
            <w:vAlign w:val="center"/>
          </w:tcPr>
          <w:p w14:paraId="7066A449">
            <w:pPr>
              <w:snapToGrid w:val="0"/>
              <w:jc w:val="center"/>
              <w:rPr>
                <w:rFonts w:ascii="Times New Roman" w:hAnsi="Times New Roman" w:eastAsia="宋体" w:cs="Times New Roman"/>
                <w:color w:val="auto"/>
                <w:szCs w:val="21"/>
                <w:u w:val="single" w:color="auto"/>
              </w:rPr>
            </w:pPr>
          </w:p>
        </w:tc>
      </w:tr>
      <w:tr w14:paraId="2A81B126">
        <w:tblPrEx>
          <w:tblCellMar>
            <w:top w:w="0" w:type="dxa"/>
            <w:left w:w="108" w:type="dxa"/>
            <w:bottom w:w="0" w:type="dxa"/>
            <w:right w:w="108" w:type="dxa"/>
          </w:tblCellMar>
        </w:tblPrEx>
        <w:trPr>
          <w:trHeight w:val="267" w:hRule="atLeast"/>
        </w:trPr>
        <w:tc>
          <w:tcPr>
            <w:tcW w:w="686" w:type="dxa"/>
            <w:tcBorders>
              <w:top w:val="single" w:color="auto" w:sz="4" w:space="0"/>
              <w:left w:val="single" w:color="auto" w:sz="4" w:space="0"/>
              <w:bottom w:val="single" w:color="auto" w:sz="4" w:space="0"/>
              <w:right w:val="single" w:color="auto" w:sz="4" w:space="0"/>
            </w:tcBorders>
            <w:vAlign w:val="center"/>
          </w:tcPr>
          <w:p w14:paraId="4CEBA9F4">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9</w:t>
            </w:r>
          </w:p>
        </w:tc>
        <w:tc>
          <w:tcPr>
            <w:tcW w:w="1855" w:type="dxa"/>
            <w:tcBorders>
              <w:top w:val="single" w:color="auto" w:sz="4" w:space="0"/>
              <w:left w:val="single" w:color="auto" w:sz="4" w:space="0"/>
              <w:bottom w:val="single" w:color="auto" w:sz="4" w:space="0"/>
              <w:right w:val="single" w:color="auto" w:sz="4" w:space="0"/>
            </w:tcBorders>
            <w:vAlign w:val="center"/>
          </w:tcPr>
          <w:p w14:paraId="55252FCD">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漆渣S1</w:t>
            </w:r>
            <w:r>
              <w:rPr>
                <w:rFonts w:hint="eastAsia" w:ascii="Times New Roman" w:hAnsi="Times New Roman" w:eastAsia="宋体" w:cs="Times New Roman"/>
                <w:color w:val="auto"/>
                <w:szCs w:val="21"/>
                <w:u w:val="single" w:color="auto"/>
                <w:lang w:val="en-US" w:eastAsia="zh-CN"/>
              </w:rPr>
              <w:t>5</w:t>
            </w:r>
          </w:p>
        </w:tc>
        <w:tc>
          <w:tcPr>
            <w:tcW w:w="1091" w:type="dxa"/>
            <w:tcBorders>
              <w:top w:val="single" w:color="auto" w:sz="4" w:space="0"/>
              <w:left w:val="single" w:color="auto" w:sz="4" w:space="0"/>
              <w:bottom w:val="single" w:color="auto" w:sz="4" w:space="0"/>
              <w:right w:val="single" w:color="auto" w:sz="4" w:space="0"/>
            </w:tcBorders>
            <w:vAlign w:val="center"/>
          </w:tcPr>
          <w:p w14:paraId="5E7B716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w:t>
            </w:r>
            <w:r>
              <w:rPr>
                <w:rFonts w:hint="eastAsia" w:ascii="Times New Roman" w:hAnsi="Times New Roman" w:eastAsia="宋体" w:cs="Times New Roman"/>
                <w:color w:val="auto"/>
                <w:szCs w:val="21"/>
                <w:u w:val="single" w:color="auto"/>
              </w:rPr>
              <w:t>12</w:t>
            </w:r>
          </w:p>
        </w:tc>
        <w:tc>
          <w:tcPr>
            <w:tcW w:w="1199" w:type="dxa"/>
            <w:tcBorders>
              <w:top w:val="single" w:color="auto" w:sz="4" w:space="0"/>
              <w:left w:val="single" w:color="auto" w:sz="4" w:space="0"/>
              <w:bottom w:val="single" w:color="auto" w:sz="4" w:space="0"/>
              <w:right w:val="single" w:color="auto" w:sz="4" w:space="0"/>
            </w:tcBorders>
            <w:vAlign w:val="center"/>
          </w:tcPr>
          <w:p w14:paraId="09A591E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w:t>
            </w:r>
            <w:r>
              <w:rPr>
                <w:rFonts w:hint="eastAsia" w:ascii="Times New Roman" w:hAnsi="Times New Roman" w:eastAsia="宋体" w:cs="Times New Roman"/>
                <w:color w:val="auto"/>
                <w:szCs w:val="21"/>
                <w:u w:val="single" w:color="auto"/>
              </w:rPr>
              <w:t>252</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rPr>
              <w:t>12</w:t>
            </w:r>
          </w:p>
        </w:tc>
        <w:tc>
          <w:tcPr>
            <w:tcW w:w="1074" w:type="dxa"/>
            <w:tcBorders>
              <w:top w:val="single" w:color="auto" w:sz="4" w:space="0"/>
              <w:left w:val="single" w:color="auto" w:sz="4" w:space="0"/>
              <w:bottom w:val="single" w:color="auto" w:sz="4" w:space="0"/>
              <w:right w:val="single" w:color="auto" w:sz="4" w:space="0"/>
            </w:tcBorders>
            <w:vAlign w:val="center"/>
          </w:tcPr>
          <w:p w14:paraId="5939F0D7">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5.484</w:t>
            </w:r>
          </w:p>
        </w:tc>
        <w:tc>
          <w:tcPr>
            <w:tcW w:w="1763" w:type="dxa"/>
            <w:tcBorders>
              <w:top w:val="single" w:color="auto" w:sz="4" w:space="0"/>
              <w:left w:val="single" w:color="auto" w:sz="4" w:space="0"/>
              <w:bottom w:val="single" w:color="auto" w:sz="4" w:space="0"/>
              <w:right w:val="single" w:color="auto" w:sz="4" w:space="0"/>
            </w:tcBorders>
            <w:vAlign w:val="center"/>
          </w:tcPr>
          <w:p w14:paraId="41A0449F">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喷漆</w:t>
            </w:r>
          </w:p>
        </w:tc>
        <w:tc>
          <w:tcPr>
            <w:tcW w:w="736" w:type="dxa"/>
            <w:tcBorders>
              <w:top w:val="single" w:color="auto" w:sz="4" w:space="0"/>
              <w:left w:val="single" w:color="auto" w:sz="4" w:space="0"/>
              <w:bottom w:val="single" w:color="auto" w:sz="4" w:space="0"/>
              <w:right w:val="single" w:color="auto" w:sz="4" w:space="0"/>
            </w:tcBorders>
            <w:vAlign w:val="center"/>
          </w:tcPr>
          <w:p w14:paraId="17429692">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7F72CFD0">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油漆</w:t>
            </w:r>
          </w:p>
        </w:tc>
        <w:tc>
          <w:tcPr>
            <w:tcW w:w="1093" w:type="dxa"/>
            <w:tcBorders>
              <w:top w:val="single" w:color="auto" w:sz="4" w:space="0"/>
              <w:left w:val="single" w:color="auto" w:sz="4" w:space="0"/>
              <w:bottom w:val="single" w:color="auto" w:sz="4" w:space="0"/>
              <w:right w:val="single" w:color="auto" w:sz="4" w:space="0"/>
            </w:tcBorders>
            <w:vAlign w:val="center"/>
          </w:tcPr>
          <w:p w14:paraId="6132CE45">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118489E7">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6331EC41">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1679" w:type="dxa"/>
            <w:vMerge w:val="continue"/>
            <w:tcBorders>
              <w:left w:val="single" w:color="auto" w:sz="4" w:space="0"/>
              <w:right w:val="single" w:color="auto" w:sz="4" w:space="0"/>
            </w:tcBorders>
            <w:vAlign w:val="center"/>
          </w:tcPr>
          <w:p w14:paraId="762E9D0A">
            <w:pPr>
              <w:snapToGrid w:val="0"/>
              <w:jc w:val="center"/>
              <w:rPr>
                <w:rFonts w:ascii="Times New Roman" w:hAnsi="Times New Roman" w:eastAsia="宋体" w:cs="Times New Roman"/>
                <w:color w:val="auto"/>
                <w:szCs w:val="21"/>
                <w:u w:val="single" w:color="auto"/>
              </w:rPr>
            </w:pPr>
          </w:p>
        </w:tc>
      </w:tr>
      <w:tr w14:paraId="05F94450">
        <w:tblPrEx>
          <w:tblCellMar>
            <w:top w:w="0" w:type="dxa"/>
            <w:left w:w="108" w:type="dxa"/>
            <w:bottom w:w="0" w:type="dxa"/>
            <w:right w:w="108" w:type="dxa"/>
          </w:tblCellMar>
        </w:tblPrEx>
        <w:trPr>
          <w:trHeight w:val="267" w:hRule="atLeast"/>
        </w:trPr>
        <w:tc>
          <w:tcPr>
            <w:tcW w:w="686" w:type="dxa"/>
            <w:tcBorders>
              <w:top w:val="single" w:color="auto" w:sz="4" w:space="0"/>
              <w:left w:val="single" w:color="auto" w:sz="4" w:space="0"/>
              <w:bottom w:val="single" w:color="auto" w:sz="4" w:space="0"/>
              <w:right w:val="single" w:color="auto" w:sz="4" w:space="0"/>
            </w:tcBorders>
            <w:vAlign w:val="center"/>
          </w:tcPr>
          <w:p w14:paraId="379B4259">
            <w:pPr>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rPr>
              <w:t>1</w:t>
            </w:r>
            <w:r>
              <w:rPr>
                <w:rFonts w:hint="eastAsia" w:ascii="Times New Roman" w:hAnsi="Times New Roman" w:eastAsia="宋体" w:cs="Times New Roman"/>
                <w:color w:val="auto"/>
                <w:szCs w:val="21"/>
                <w:u w:val="single" w:color="auto"/>
                <w:lang w:val="en-US" w:eastAsia="zh-CN"/>
              </w:rPr>
              <w:t>0</w:t>
            </w:r>
          </w:p>
        </w:tc>
        <w:tc>
          <w:tcPr>
            <w:tcW w:w="1855" w:type="dxa"/>
            <w:tcBorders>
              <w:top w:val="single" w:color="auto" w:sz="4" w:space="0"/>
              <w:left w:val="single" w:color="auto" w:sz="4" w:space="0"/>
              <w:bottom w:val="single" w:color="auto" w:sz="4" w:space="0"/>
              <w:right w:val="single" w:color="auto" w:sz="4" w:space="0"/>
            </w:tcBorders>
            <w:vAlign w:val="center"/>
          </w:tcPr>
          <w:p w14:paraId="1CB8BB5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废含油抹布S1</w:t>
            </w:r>
            <w:r>
              <w:rPr>
                <w:rFonts w:hint="eastAsia" w:ascii="Times New Roman" w:hAnsi="Times New Roman" w:eastAsia="宋体" w:cs="Times New Roman"/>
                <w:color w:val="auto"/>
                <w:szCs w:val="21"/>
                <w:u w:val="single" w:color="auto"/>
                <w:lang w:val="en-US" w:eastAsia="zh-CN"/>
              </w:rPr>
              <w:t>6</w:t>
            </w:r>
          </w:p>
        </w:tc>
        <w:tc>
          <w:tcPr>
            <w:tcW w:w="1091" w:type="dxa"/>
            <w:tcBorders>
              <w:top w:val="single" w:color="auto" w:sz="4" w:space="0"/>
              <w:left w:val="single" w:color="auto" w:sz="4" w:space="0"/>
              <w:bottom w:val="single" w:color="auto" w:sz="4" w:space="0"/>
              <w:right w:val="single" w:color="auto" w:sz="4" w:space="0"/>
            </w:tcBorders>
            <w:vAlign w:val="center"/>
          </w:tcPr>
          <w:p w14:paraId="53752D6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tc>
        <w:tc>
          <w:tcPr>
            <w:tcW w:w="1199" w:type="dxa"/>
            <w:tcBorders>
              <w:top w:val="single" w:color="auto" w:sz="4" w:space="0"/>
              <w:left w:val="single" w:color="auto" w:sz="4" w:space="0"/>
              <w:bottom w:val="single" w:color="auto" w:sz="4" w:space="0"/>
              <w:right w:val="single" w:color="auto" w:sz="4" w:space="0"/>
            </w:tcBorders>
            <w:vAlign w:val="center"/>
          </w:tcPr>
          <w:p w14:paraId="439C540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074" w:type="dxa"/>
            <w:tcBorders>
              <w:top w:val="single" w:color="auto" w:sz="4" w:space="0"/>
              <w:left w:val="single" w:color="auto" w:sz="4" w:space="0"/>
              <w:bottom w:val="single" w:color="auto" w:sz="4" w:space="0"/>
              <w:right w:val="single" w:color="auto" w:sz="4" w:space="0"/>
            </w:tcBorders>
            <w:vAlign w:val="center"/>
          </w:tcPr>
          <w:p w14:paraId="231EF7BF">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val="en-US" w:eastAsia="zh-CN" w:bidi="ar"/>
              </w:rPr>
              <w:t>0.5</w:t>
            </w:r>
          </w:p>
        </w:tc>
        <w:tc>
          <w:tcPr>
            <w:tcW w:w="1763" w:type="dxa"/>
            <w:tcBorders>
              <w:top w:val="single" w:color="auto" w:sz="4" w:space="0"/>
              <w:left w:val="single" w:color="auto" w:sz="4" w:space="0"/>
              <w:bottom w:val="single" w:color="auto" w:sz="4" w:space="0"/>
              <w:right w:val="single" w:color="auto" w:sz="4" w:space="0"/>
            </w:tcBorders>
            <w:vAlign w:val="center"/>
          </w:tcPr>
          <w:p w14:paraId="725D9B9A">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维修保养</w:t>
            </w:r>
          </w:p>
        </w:tc>
        <w:tc>
          <w:tcPr>
            <w:tcW w:w="736" w:type="dxa"/>
            <w:tcBorders>
              <w:top w:val="single" w:color="auto" w:sz="4" w:space="0"/>
              <w:left w:val="single" w:color="auto" w:sz="4" w:space="0"/>
              <w:bottom w:val="single" w:color="auto" w:sz="4" w:space="0"/>
              <w:right w:val="single" w:color="auto" w:sz="4" w:space="0"/>
            </w:tcBorders>
            <w:vAlign w:val="center"/>
          </w:tcPr>
          <w:p w14:paraId="4315CD04">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固</w:t>
            </w:r>
          </w:p>
        </w:tc>
        <w:tc>
          <w:tcPr>
            <w:tcW w:w="1132" w:type="dxa"/>
            <w:tcBorders>
              <w:top w:val="single" w:color="auto" w:sz="4" w:space="0"/>
              <w:left w:val="single" w:color="auto" w:sz="4" w:space="0"/>
              <w:bottom w:val="single" w:color="auto" w:sz="4" w:space="0"/>
              <w:right w:val="single" w:color="auto" w:sz="4" w:space="0"/>
            </w:tcBorders>
            <w:vAlign w:val="center"/>
          </w:tcPr>
          <w:p w14:paraId="7C1980B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矿物质油</w:t>
            </w:r>
            <w:r>
              <w:rPr>
                <w:rFonts w:hint="eastAsia" w:ascii="Times New Roman" w:hAnsi="Times New Roman" w:eastAsia="宋体" w:cs="Times New Roman"/>
                <w:color w:val="auto"/>
                <w:szCs w:val="21"/>
                <w:u w:val="single" w:color="auto"/>
              </w:rPr>
              <w:t>及废布</w:t>
            </w:r>
          </w:p>
        </w:tc>
        <w:tc>
          <w:tcPr>
            <w:tcW w:w="1093" w:type="dxa"/>
            <w:tcBorders>
              <w:top w:val="single" w:color="auto" w:sz="4" w:space="0"/>
              <w:left w:val="single" w:color="auto" w:sz="4" w:space="0"/>
              <w:bottom w:val="single" w:color="auto" w:sz="4" w:space="0"/>
              <w:right w:val="single" w:color="auto" w:sz="4" w:space="0"/>
            </w:tcBorders>
            <w:vAlign w:val="center"/>
          </w:tcPr>
          <w:p w14:paraId="4ABA93B1">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危险废物</w:t>
            </w:r>
          </w:p>
        </w:tc>
        <w:tc>
          <w:tcPr>
            <w:tcW w:w="1181" w:type="dxa"/>
            <w:tcBorders>
              <w:top w:val="single" w:color="auto" w:sz="4" w:space="0"/>
              <w:left w:val="single" w:color="auto" w:sz="4" w:space="0"/>
              <w:bottom w:val="single" w:color="auto" w:sz="4" w:space="0"/>
              <w:right w:val="single" w:color="auto" w:sz="4" w:space="0"/>
            </w:tcBorders>
            <w:vAlign w:val="center"/>
          </w:tcPr>
          <w:p w14:paraId="4F8A1945">
            <w:pPr>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w:t>
            </w:r>
            <w:r>
              <w:rPr>
                <w:rFonts w:ascii="Times New Roman" w:hAnsi="Times New Roman" w:eastAsia="宋体" w:cs="Times New Roman"/>
                <w:color w:val="auto"/>
                <w:szCs w:val="21"/>
                <w:u w:val="single" w:color="auto"/>
              </w:rPr>
              <w:t>个月</w:t>
            </w:r>
          </w:p>
        </w:tc>
        <w:tc>
          <w:tcPr>
            <w:tcW w:w="685" w:type="dxa"/>
            <w:tcBorders>
              <w:top w:val="single" w:color="auto" w:sz="4" w:space="0"/>
              <w:left w:val="single" w:color="auto" w:sz="4" w:space="0"/>
              <w:bottom w:val="single" w:color="auto" w:sz="4" w:space="0"/>
              <w:right w:val="single" w:color="auto" w:sz="4" w:space="0"/>
            </w:tcBorders>
            <w:vAlign w:val="center"/>
          </w:tcPr>
          <w:p w14:paraId="78E8169E">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r>
              <w:rPr>
                <w:rFonts w:hint="eastAsia" w:ascii="Times New Roman" w:hAnsi="Times New Roman" w:eastAsia="宋体" w:cs="Times New Roman"/>
                <w:color w:val="auto"/>
                <w:szCs w:val="21"/>
                <w:u w:val="single" w:color="auto"/>
              </w:rPr>
              <w:t>，</w:t>
            </w:r>
            <w:r>
              <w:rPr>
                <w:rFonts w:ascii="Times New Roman" w:hAnsi="Times New Roman" w:eastAsia="宋体" w:cs="Times New Roman"/>
                <w:color w:val="auto"/>
                <w:szCs w:val="21"/>
                <w:u w:val="single" w:color="auto"/>
              </w:rPr>
              <w:t>I</w:t>
            </w:r>
          </w:p>
        </w:tc>
        <w:tc>
          <w:tcPr>
            <w:tcW w:w="1679" w:type="dxa"/>
            <w:vMerge w:val="continue"/>
            <w:tcBorders>
              <w:left w:val="single" w:color="auto" w:sz="4" w:space="0"/>
              <w:bottom w:val="single" w:color="auto" w:sz="4" w:space="0"/>
              <w:right w:val="single" w:color="auto" w:sz="4" w:space="0"/>
            </w:tcBorders>
            <w:vAlign w:val="center"/>
          </w:tcPr>
          <w:p w14:paraId="230B8BE4">
            <w:pPr>
              <w:snapToGrid w:val="0"/>
              <w:jc w:val="center"/>
              <w:rPr>
                <w:rFonts w:ascii="Times New Roman" w:hAnsi="Times New Roman" w:eastAsia="宋体" w:cs="Times New Roman"/>
                <w:color w:val="auto"/>
                <w:szCs w:val="21"/>
                <w:u w:val="single" w:color="auto"/>
              </w:rPr>
            </w:pPr>
          </w:p>
        </w:tc>
      </w:tr>
      <w:tr w14:paraId="0997D69F">
        <w:tblPrEx>
          <w:tblCellMar>
            <w:top w:w="0" w:type="dxa"/>
            <w:left w:w="108" w:type="dxa"/>
            <w:bottom w:w="0" w:type="dxa"/>
            <w:right w:w="108" w:type="dxa"/>
          </w:tblCellMar>
        </w:tblPrEx>
        <w:trPr>
          <w:trHeight w:val="360" w:hRule="atLeast"/>
        </w:trPr>
        <w:tc>
          <w:tcPr>
            <w:tcW w:w="4831" w:type="dxa"/>
            <w:gridSpan w:val="4"/>
            <w:tcBorders>
              <w:top w:val="single" w:color="auto" w:sz="4" w:space="0"/>
              <w:left w:val="single" w:color="auto" w:sz="4" w:space="0"/>
              <w:bottom w:val="single" w:color="auto" w:sz="4" w:space="0"/>
              <w:right w:val="single" w:color="auto" w:sz="4" w:space="0"/>
            </w:tcBorders>
            <w:vAlign w:val="center"/>
          </w:tcPr>
          <w:p w14:paraId="75646909">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合计</w:t>
            </w:r>
          </w:p>
        </w:tc>
        <w:tc>
          <w:tcPr>
            <w:tcW w:w="1074" w:type="dxa"/>
            <w:tcBorders>
              <w:top w:val="single" w:color="auto" w:sz="4" w:space="0"/>
              <w:left w:val="single" w:color="auto" w:sz="4" w:space="0"/>
              <w:bottom w:val="single" w:color="auto" w:sz="4" w:space="0"/>
              <w:right w:val="single" w:color="auto" w:sz="4" w:space="0"/>
            </w:tcBorders>
            <w:vAlign w:val="center"/>
          </w:tcPr>
          <w:p w14:paraId="050303E3">
            <w:pPr>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79.422</w:t>
            </w:r>
          </w:p>
        </w:tc>
        <w:tc>
          <w:tcPr>
            <w:tcW w:w="1763" w:type="dxa"/>
            <w:tcBorders>
              <w:top w:val="single" w:color="auto" w:sz="4" w:space="0"/>
              <w:left w:val="single" w:color="auto" w:sz="4" w:space="0"/>
              <w:bottom w:val="single" w:color="auto" w:sz="4" w:space="0"/>
              <w:right w:val="single" w:color="auto" w:sz="4" w:space="0"/>
            </w:tcBorders>
            <w:vAlign w:val="center"/>
          </w:tcPr>
          <w:p w14:paraId="1262D08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736" w:type="dxa"/>
            <w:tcBorders>
              <w:top w:val="single" w:color="auto" w:sz="4" w:space="0"/>
              <w:left w:val="single" w:color="auto" w:sz="4" w:space="0"/>
              <w:bottom w:val="single" w:color="auto" w:sz="4" w:space="0"/>
              <w:right w:val="single" w:color="auto" w:sz="4" w:space="0"/>
            </w:tcBorders>
            <w:vAlign w:val="center"/>
          </w:tcPr>
          <w:p w14:paraId="44B21B12">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32" w:type="dxa"/>
            <w:tcBorders>
              <w:top w:val="single" w:color="auto" w:sz="4" w:space="0"/>
              <w:left w:val="single" w:color="auto" w:sz="4" w:space="0"/>
              <w:bottom w:val="single" w:color="auto" w:sz="4" w:space="0"/>
              <w:right w:val="single" w:color="auto" w:sz="4" w:space="0"/>
            </w:tcBorders>
            <w:vAlign w:val="center"/>
          </w:tcPr>
          <w:p w14:paraId="76E4B2E0">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093" w:type="dxa"/>
            <w:tcBorders>
              <w:top w:val="single" w:color="auto" w:sz="4" w:space="0"/>
              <w:left w:val="single" w:color="auto" w:sz="4" w:space="0"/>
              <w:bottom w:val="single" w:color="auto" w:sz="4" w:space="0"/>
              <w:right w:val="single" w:color="auto" w:sz="4" w:space="0"/>
            </w:tcBorders>
            <w:vAlign w:val="center"/>
          </w:tcPr>
          <w:p w14:paraId="055825B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1" w:type="dxa"/>
            <w:tcBorders>
              <w:top w:val="single" w:color="auto" w:sz="4" w:space="0"/>
              <w:left w:val="single" w:color="auto" w:sz="4" w:space="0"/>
              <w:bottom w:val="single" w:color="auto" w:sz="4" w:space="0"/>
              <w:right w:val="single" w:color="auto" w:sz="4" w:space="0"/>
            </w:tcBorders>
            <w:vAlign w:val="center"/>
          </w:tcPr>
          <w:p w14:paraId="2792644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685" w:type="dxa"/>
            <w:tcBorders>
              <w:top w:val="single" w:color="auto" w:sz="4" w:space="0"/>
              <w:left w:val="single" w:color="auto" w:sz="4" w:space="0"/>
              <w:bottom w:val="single" w:color="auto" w:sz="4" w:space="0"/>
              <w:right w:val="single" w:color="auto" w:sz="4" w:space="0"/>
            </w:tcBorders>
            <w:vAlign w:val="center"/>
          </w:tcPr>
          <w:p w14:paraId="27AE213F">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679" w:type="dxa"/>
            <w:tcBorders>
              <w:top w:val="single" w:color="auto" w:sz="4" w:space="0"/>
              <w:left w:val="single" w:color="auto" w:sz="4" w:space="0"/>
              <w:bottom w:val="single" w:color="auto" w:sz="4" w:space="0"/>
              <w:right w:val="single" w:color="auto" w:sz="4" w:space="0"/>
            </w:tcBorders>
            <w:vAlign w:val="center"/>
          </w:tcPr>
          <w:p w14:paraId="1E6624C8">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r>
    </w:tbl>
    <w:p w14:paraId="4779C25C">
      <w:pPr>
        <w:rPr>
          <w:color w:val="auto"/>
          <w:u w:val="none" w:color="auto"/>
        </w:rPr>
        <w:sectPr>
          <w:pgSz w:w="16838" w:h="11906" w:orient="landscape"/>
          <w:pgMar w:top="1179" w:right="1440" w:bottom="1179"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3D27706">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.3.5本项目三废排放汇总</w:t>
      </w:r>
      <w:bookmarkEnd w:id="153"/>
    </w:p>
    <w:p w14:paraId="6400963D">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本项目</w:t>
      </w:r>
      <w:r>
        <w:rPr>
          <w:rFonts w:ascii="Times New Roman" w:hAnsi="Times New Roman" w:eastAsia="宋体" w:cs="Times New Roman"/>
          <w:color w:val="auto"/>
          <w:kern w:val="0"/>
          <w:sz w:val="24"/>
          <w:szCs w:val="24"/>
          <w:u w:val="none" w:color="auto"/>
        </w:rPr>
        <w:t>三废排放汇总详见表</w:t>
      </w:r>
      <w:r>
        <w:rPr>
          <w:rFonts w:hint="eastAsia" w:ascii="Times New Roman" w:hAnsi="Times New Roman" w:eastAsia="宋体" w:cs="Times New Roman"/>
          <w:color w:val="auto"/>
          <w:kern w:val="0"/>
          <w:sz w:val="24"/>
          <w:szCs w:val="24"/>
          <w:u w:val="none" w:color="auto"/>
        </w:rPr>
        <w:t>2</w:t>
      </w:r>
      <w:r>
        <w:rPr>
          <w:rFonts w:ascii="Times New Roman" w:hAnsi="Times New Roman" w:eastAsia="宋体" w:cs="Times New Roman"/>
          <w:color w:val="auto"/>
          <w:kern w:val="0"/>
          <w:sz w:val="24"/>
          <w:szCs w:val="24"/>
          <w:u w:val="none" w:color="auto"/>
        </w:rPr>
        <w:t>.3-</w:t>
      </w:r>
      <w:r>
        <w:rPr>
          <w:rFonts w:hint="eastAsia" w:ascii="Times New Roman" w:hAnsi="Times New Roman" w:eastAsia="宋体" w:cs="Times New Roman"/>
          <w:color w:val="auto"/>
          <w:kern w:val="0"/>
          <w:sz w:val="24"/>
          <w:szCs w:val="24"/>
          <w:u w:val="none" w:color="auto"/>
          <w:lang w:val="en-US" w:eastAsia="zh-CN"/>
        </w:rPr>
        <w:t>20</w:t>
      </w:r>
      <w:r>
        <w:rPr>
          <w:rFonts w:ascii="Times New Roman" w:hAnsi="Times New Roman" w:eastAsia="宋体" w:cs="Times New Roman"/>
          <w:color w:val="auto"/>
          <w:kern w:val="0"/>
          <w:sz w:val="24"/>
          <w:szCs w:val="24"/>
          <w:u w:val="none" w:color="auto"/>
        </w:rPr>
        <w:t>。</w:t>
      </w:r>
    </w:p>
    <w:p w14:paraId="74A42D12">
      <w:pPr>
        <w:autoSpaceDE w:val="0"/>
        <w:autoSpaceDN w:val="0"/>
        <w:snapToGrid w:val="0"/>
        <w:spacing w:before="156" w:beforeLines="50"/>
        <w:jc w:val="center"/>
        <w:rPr>
          <w:rFonts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表2</w:t>
      </w:r>
      <w:r>
        <w:rPr>
          <w:rFonts w:ascii="Times New Roman" w:hAnsi="Times New Roman" w:eastAsia="宋体" w:cs="Times New Roman"/>
          <w:b/>
          <w:color w:val="auto"/>
          <w:sz w:val="24"/>
          <w:szCs w:val="24"/>
          <w:u w:val="none" w:color="auto"/>
        </w:rPr>
        <w:t>.3-</w:t>
      </w:r>
      <w:r>
        <w:rPr>
          <w:rFonts w:hint="eastAsia" w:ascii="Times New Roman" w:hAnsi="Times New Roman" w:eastAsia="宋体" w:cs="Times New Roman"/>
          <w:b/>
          <w:color w:val="auto"/>
          <w:sz w:val="24"/>
          <w:szCs w:val="24"/>
          <w:u w:val="none" w:color="auto"/>
          <w:lang w:val="en-US" w:eastAsia="zh-CN"/>
        </w:rPr>
        <w:t>20</w:t>
      </w:r>
      <w:r>
        <w:rPr>
          <w:rFonts w:ascii="Times New Roman" w:hAnsi="Times New Roman" w:eastAsia="宋体" w:cs="Times New Roman"/>
          <w:b/>
          <w:color w:val="auto"/>
          <w:sz w:val="24"/>
          <w:szCs w:val="24"/>
          <w:u w:val="none" w:color="auto"/>
        </w:rPr>
        <w:t xml:space="preserve"> 本项目污染物排放汇总</w:t>
      </w:r>
    </w:p>
    <w:tbl>
      <w:tblPr>
        <w:tblStyle w:val="3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95"/>
        <w:gridCol w:w="533"/>
        <w:gridCol w:w="1000"/>
        <w:gridCol w:w="1830"/>
        <w:gridCol w:w="1063"/>
        <w:gridCol w:w="1065"/>
        <w:gridCol w:w="1065"/>
        <w:gridCol w:w="1066"/>
      </w:tblGrid>
      <w:tr w14:paraId="3D1E8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425" w:type="pct"/>
            <w:gridSpan w:val="3"/>
            <w:shd w:val="clear" w:color="auto" w:fill="auto"/>
            <w:vAlign w:val="center"/>
          </w:tcPr>
          <w:p w14:paraId="6503566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污染物</w:t>
            </w:r>
          </w:p>
        </w:tc>
        <w:tc>
          <w:tcPr>
            <w:tcW w:w="1074" w:type="pct"/>
            <w:shd w:val="clear" w:color="auto" w:fill="auto"/>
            <w:vAlign w:val="center"/>
          </w:tcPr>
          <w:p w14:paraId="18F578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污染因子</w:t>
            </w:r>
          </w:p>
        </w:tc>
        <w:tc>
          <w:tcPr>
            <w:tcW w:w="624" w:type="pct"/>
            <w:shd w:val="clear" w:color="auto" w:fill="auto"/>
            <w:vAlign w:val="center"/>
          </w:tcPr>
          <w:p w14:paraId="318150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单位</w:t>
            </w:r>
          </w:p>
        </w:tc>
        <w:tc>
          <w:tcPr>
            <w:tcW w:w="625" w:type="pct"/>
            <w:shd w:val="clear" w:color="auto" w:fill="auto"/>
            <w:vAlign w:val="center"/>
          </w:tcPr>
          <w:p w14:paraId="4AF34E2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产生量</w:t>
            </w:r>
          </w:p>
        </w:tc>
        <w:tc>
          <w:tcPr>
            <w:tcW w:w="625" w:type="pct"/>
            <w:shd w:val="clear" w:color="auto" w:fill="auto"/>
            <w:vAlign w:val="center"/>
          </w:tcPr>
          <w:p w14:paraId="46B73E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削减量</w:t>
            </w:r>
          </w:p>
        </w:tc>
        <w:tc>
          <w:tcPr>
            <w:tcW w:w="625" w:type="pct"/>
            <w:shd w:val="clear" w:color="auto" w:fill="auto"/>
            <w:vAlign w:val="center"/>
          </w:tcPr>
          <w:p w14:paraId="4657043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排放量</w:t>
            </w:r>
          </w:p>
        </w:tc>
      </w:tr>
      <w:tr w14:paraId="2778D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restart"/>
            <w:shd w:val="clear" w:color="auto" w:fill="auto"/>
            <w:vAlign w:val="center"/>
          </w:tcPr>
          <w:p w14:paraId="3A68993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废气</w:t>
            </w:r>
          </w:p>
        </w:tc>
        <w:tc>
          <w:tcPr>
            <w:tcW w:w="587" w:type="pct"/>
            <w:vMerge w:val="restart"/>
            <w:shd w:val="clear" w:color="auto" w:fill="auto"/>
            <w:vAlign w:val="center"/>
          </w:tcPr>
          <w:p w14:paraId="66E4C5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有组织</w:t>
            </w:r>
          </w:p>
        </w:tc>
        <w:tc>
          <w:tcPr>
            <w:tcW w:w="1074" w:type="pct"/>
            <w:shd w:val="clear" w:color="auto" w:fill="auto"/>
            <w:vAlign w:val="center"/>
          </w:tcPr>
          <w:p w14:paraId="21B3CEA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颗粒物</w:t>
            </w:r>
          </w:p>
        </w:tc>
        <w:tc>
          <w:tcPr>
            <w:tcW w:w="624" w:type="pct"/>
            <w:shd w:val="clear" w:color="auto" w:fill="auto"/>
            <w:vAlign w:val="center"/>
          </w:tcPr>
          <w:p w14:paraId="227D88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23E065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36D110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ADDD4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42E9B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27EBE4E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32F5BED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C3268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漆雾</w:t>
            </w:r>
          </w:p>
        </w:tc>
        <w:tc>
          <w:tcPr>
            <w:tcW w:w="624" w:type="pct"/>
            <w:shd w:val="clear" w:color="auto" w:fill="auto"/>
            <w:vAlign w:val="center"/>
          </w:tcPr>
          <w:p w14:paraId="4631D8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0C848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89D59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625" w:type="pct"/>
            <w:shd w:val="clear" w:color="auto" w:fill="auto"/>
            <w:vAlign w:val="center"/>
          </w:tcPr>
          <w:p w14:paraId="5DCA48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r>
      <w:tr w14:paraId="3C097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428EEF0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0F2C30E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446F313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624" w:type="pct"/>
            <w:shd w:val="clear" w:color="auto" w:fill="auto"/>
            <w:vAlign w:val="center"/>
          </w:tcPr>
          <w:p w14:paraId="267F211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3A4051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A1E92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ABFA1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0F56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15B196C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38611E4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CA637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624" w:type="pct"/>
            <w:shd w:val="clear" w:color="auto" w:fill="auto"/>
            <w:vAlign w:val="center"/>
          </w:tcPr>
          <w:p w14:paraId="26B070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092A5D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B1F01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71F3A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08884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13D5EF4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52671DD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19CE659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624" w:type="pct"/>
            <w:shd w:val="clear" w:color="auto" w:fill="auto"/>
            <w:vAlign w:val="center"/>
          </w:tcPr>
          <w:p w14:paraId="6B4C4F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57BCCA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56A57B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86716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5B11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280ABA9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restart"/>
            <w:shd w:val="clear" w:color="auto" w:fill="auto"/>
            <w:vAlign w:val="center"/>
          </w:tcPr>
          <w:p w14:paraId="765BCF6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无组织</w:t>
            </w:r>
          </w:p>
        </w:tc>
        <w:tc>
          <w:tcPr>
            <w:tcW w:w="1074" w:type="pct"/>
            <w:shd w:val="clear" w:color="auto" w:fill="auto"/>
            <w:vAlign w:val="center"/>
          </w:tcPr>
          <w:p w14:paraId="6BC46B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颗粒物</w:t>
            </w:r>
          </w:p>
        </w:tc>
        <w:tc>
          <w:tcPr>
            <w:tcW w:w="624" w:type="pct"/>
            <w:shd w:val="clear" w:color="auto" w:fill="auto"/>
            <w:vAlign w:val="center"/>
          </w:tcPr>
          <w:p w14:paraId="115B85B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7A2808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233A1C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E8993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lang w:val="en-US"/>
              </w:rPr>
            </w:pPr>
          </w:p>
        </w:tc>
      </w:tr>
      <w:tr w14:paraId="13564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4A15E32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6340F86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6544E9E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漆雾</w:t>
            </w:r>
          </w:p>
        </w:tc>
        <w:tc>
          <w:tcPr>
            <w:tcW w:w="624" w:type="pct"/>
            <w:shd w:val="clear" w:color="auto" w:fill="auto"/>
            <w:vAlign w:val="center"/>
          </w:tcPr>
          <w:p w14:paraId="29D75E0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0BE33C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1934D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A481A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3121F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38" w:type="pct"/>
            <w:gridSpan w:val="2"/>
            <w:vMerge w:val="continue"/>
            <w:shd w:val="clear" w:color="auto" w:fill="auto"/>
            <w:vAlign w:val="center"/>
          </w:tcPr>
          <w:p w14:paraId="3D5A48A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13E6D9D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65D1B3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非甲烷总烃</w:t>
            </w:r>
          </w:p>
        </w:tc>
        <w:tc>
          <w:tcPr>
            <w:tcW w:w="624" w:type="pct"/>
            <w:shd w:val="clear" w:color="auto" w:fill="auto"/>
            <w:vAlign w:val="center"/>
          </w:tcPr>
          <w:p w14:paraId="6F6666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7499C6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2DB94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5BAAD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6570E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2414648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7FFB969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2FA85C9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二甲苯</w:t>
            </w:r>
          </w:p>
        </w:tc>
        <w:tc>
          <w:tcPr>
            <w:tcW w:w="624" w:type="pct"/>
            <w:shd w:val="clear" w:color="auto" w:fill="auto"/>
            <w:vAlign w:val="center"/>
          </w:tcPr>
          <w:p w14:paraId="14A893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C3BDB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4D044A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80FC7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48792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pct"/>
            <w:gridSpan w:val="2"/>
            <w:vMerge w:val="continue"/>
            <w:shd w:val="clear" w:color="auto" w:fill="auto"/>
            <w:vAlign w:val="center"/>
          </w:tcPr>
          <w:p w14:paraId="33B19AB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587" w:type="pct"/>
            <w:vMerge w:val="continue"/>
            <w:shd w:val="clear" w:color="auto" w:fill="auto"/>
            <w:vAlign w:val="center"/>
          </w:tcPr>
          <w:p w14:paraId="6FC053B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A4CAF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甲苯</w:t>
            </w:r>
          </w:p>
        </w:tc>
        <w:tc>
          <w:tcPr>
            <w:tcW w:w="624" w:type="pct"/>
            <w:shd w:val="clear" w:color="auto" w:fill="auto"/>
            <w:vAlign w:val="center"/>
          </w:tcPr>
          <w:p w14:paraId="6211CD0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6A1F61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52E7E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9825A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single" w:color="auto"/>
              </w:rPr>
            </w:pPr>
          </w:p>
        </w:tc>
      </w:tr>
      <w:tr w14:paraId="2BA7D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5" w:type="pct"/>
            <w:gridSpan w:val="3"/>
            <w:vMerge w:val="restart"/>
            <w:shd w:val="clear" w:color="auto" w:fill="auto"/>
            <w:vAlign w:val="center"/>
          </w:tcPr>
          <w:p w14:paraId="7C48368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废水</w:t>
            </w:r>
          </w:p>
        </w:tc>
        <w:tc>
          <w:tcPr>
            <w:tcW w:w="1074" w:type="pct"/>
            <w:shd w:val="clear" w:color="auto" w:fill="auto"/>
            <w:vAlign w:val="center"/>
          </w:tcPr>
          <w:p w14:paraId="726B12F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废水量</w:t>
            </w:r>
          </w:p>
        </w:tc>
        <w:tc>
          <w:tcPr>
            <w:tcW w:w="624" w:type="pct"/>
            <w:shd w:val="clear" w:color="auto" w:fill="auto"/>
            <w:vAlign w:val="center"/>
          </w:tcPr>
          <w:p w14:paraId="761DAB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5C7E5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50660FD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75AD49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4DAA3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425" w:type="pct"/>
            <w:gridSpan w:val="3"/>
            <w:vMerge w:val="continue"/>
            <w:shd w:val="clear" w:color="auto" w:fill="auto"/>
            <w:vAlign w:val="center"/>
          </w:tcPr>
          <w:p w14:paraId="218D78F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47744A0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COD</w:t>
            </w:r>
            <w:r>
              <w:rPr>
                <w:rFonts w:hint="default" w:ascii="Times New Roman" w:hAnsi="Times New Roman" w:eastAsia="宋体" w:cs="Times New Roman"/>
                <w:i w:val="0"/>
                <w:iCs w:val="0"/>
                <w:color w:val="auto"/>
                <w:kern w:val="0"/>
                <w:sz w:val="21"/>
                <w:szCs w:val="21"/>
                <w:u w:val="single" w:color="auto"/>
                <w:vertAlign w:val="subscript"/>
                <w:lang w:val="en-US" w:eastAsia="zh-CN" w:bidi="ar"/>
              </w:rPr>
              <w:t>Cr</w:t>
            </w:r>
          </w:p>
        </w:tc>
        <w:tc>
          <w:tcPr>
            <w:tcW w:w="624" w:type="pct"/>
            <w:shd w:val="clear" w:color="auto" w:fill="auto"/>
            <w:vAlign w:val="center"/>
          </w:tcPr>
          <w:p w14:paraId="2C0AF6B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6A4243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06F65E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02A7F1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54C6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5" w:type="pct"/>
            <w:gridSpan w:val="3"/>
            <w:vMerge w:val="continue"/>
            <w:shd w:val="clear" w:color="auto" w:fill="auto"/>
            <w:vAlign w:val="center"/>
          </w:tcPr>
          <w:p w14:paraId="6658063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4A41B4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BOD</w:t>
            </w:r>
            <w:r>
              <w:rPr>
                <w:rFonts w:hint="default" w:ascii="Times New Roman" w:hAnsi="Times New Roman" w:eastAsia="宋体" w:cs="Times New Roman"/>
                <w:i w:val="0"/>
                <w:iCs w:val="0"/>
                <w:color w:val="auto"/>
                <w:kern w:val="0"/>
                <w:sz w:val="21"/>
                <w:szCs w:val="21"/>
                <w:u w:val="single" w:color="auto"/>
                <w:vertAlign w:val="subscript"/>
                <w:lang w:val="en-US" w:eastAsia="zh-CN" w:bidi="ar"/>
              </w:rPr>
              <w:t>5</w:t>
            </w:r>
          </w:p>
        </w:tc>
        <w:tc>
          <w:tcPr>
            <w:tcW w:w="624" w:type="pct"/>
            <w:shd w:val="clear" w:color="auto" w:fill="auto"/>
            <w:vAlign w:val="center"/>
          </w:tcPr>
          <w:p w14:paraId="6E94D51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2C7300B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4EF31D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973D56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A662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5" w:type="pct"/>
            <w:gridSpan w:val="3"/>
            <w:vMerge w:val="continue"/>
            <w:shd w:val="clear" w:color="auto" w:fill="auto"/>
            <w:vAlign w:val="center"/>
          </w:tcPr>
          <w:p w14:paraId="30D06D3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0C96E0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NH</w:t>
            </w:r>
            <w:r>
              <w:rPr>
                <w:rFonts w:hint="default" w:ascii="Times New Roman" w:hAnsi="Times New Roman" w:eastAsia="宋体" w:cs="Times New Roman"/>
                <w:i w:val="0"/>
                <w:iCs w:val="0"/>
                <w:color w:val="auto"/>
                <w:kern w:val="0"/>
                <w:sz w:val="21"/>
                <w:szCs w:val="21"/>
                <w:u w:val="single" w:color="auto"/>
                <w:vertAlign w:val="subscript"/>
                <w:lang w:val="en-US" w:eastAsia="zh-CN" w:bidi="ar"/>
              </w:rPr>
              <w:t>3</w:t>
            </w:r>
            <w:r>
              <w:rPr>
                <w:rFonts w:hint="default" w:ascii="Times New Roman" w:hAnsi="Times New Roman" w:eastAsia="宋体" w:cs="Times New Roman"/>
                <w:i w:val="0"/>
                <w:iCs w:val="0"/>
                <w:color w:val="auto"/>
                <w:kern w:val="0"/>
                <w:sz w:val="21"/>
                <w:szCs w:val="21"/>
                <w:u w:val="single" w:color="auto"/>
                <w:lang w:val="en-US" w:eastAsia="zh-CN" w:bidi="ar"/>
              </w:rPr>
              <w:t>-N</w:t>
            </w:r>
          </w:p>
        </w:tc>
        <w:tc>
          <w:tcPr>
            <w:tcW w:w="624" w:type="pct"/>
            <w:shd w:val="clear" w:color="auto" w:fill="auto"/>
            <w:vAlign w:val="center"/>
          </w:tcPr>
          <w:p w14:paraId="051B3FA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0766594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180AA6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8DA30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26E20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restart"/>
            <w:shd w:val="clear" w:color="auto" w:fill="auto"/>
            <w:vAlign w:val="center"/>
          </w:tcPr>
          <w:p w14:paraId="7AA6824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固体废物</w:t>
            </w:r>
          </w:p>
        </w:tc>
        <w:tc>
          <w:tcPr>
            <w:tcW w:w="899" w:type="pct"/>
            <w:gridSpan w:val="2"/>
            <w:shd w:val="clear" w:color="auto" w:fill="auto"/>
            <w:vAlign w:val="center"/>
          </w:tcPr>
          <w:p w14:paraId="57503A3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生活垃圾</w:t>
            </w:r>
          </w:p>
        </w:tc>
        <w:tc>
          <w:tcPr>
            <w:tcW w:w="1074" w:type="pct"/>
            <w:shd w:val="clear" w:color="auto" w:fill="auto"/>
            <w:vAlign w:val="center"/>
          </w:tcPr>
          <w:p w14:paraId="35AED59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生活垃圾S17</w:t>
            </w:r>
          </w:p>
        </w:tc>
        <w:tc>
          <w:tcPr>
            <w:tcW w:w="624" w:type="pct"/>
            <w:shd w:val="clear" w:color="auto" w:fill="auto"/>
            <w:vAlign w:val="center"/>
          </w:tcPr>
          <w:p w14:paraId="79D0E32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FABD8D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56D1B1D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FABF1A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EE1B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49296E2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restart"/>
            <w:shd w:val="clear" w:color="auto" w:fill="auto"/>
            <w:vAlign w:val="center"/>
          </w:tcPr>
          <w:p w14:paraId="3247F8F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一般固体废物</w:t>
            </w:r>
          </w:p>
        </w:tc>
        <w:tc>
          <w:tcPr>
            <w:tcW w:w="1074" w:type="pct"/>
            <w:shd w:val="clear" w:color="auto" w:fill="auto"/>
            <w:vAlign w:val="center"/>
          </w:tcPr>
          <w:p w14:paraId="10EB268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切割下脚料S1</w:t>
            </w:r>
          </w:p>
        </w:tc>
        <w:tc>
          <w:tcPr>
            <w:tcW w:w="624" w:type="pct"/>
            <w:shd w:val="clear" w:color="auto" w:fill="auto"/>
            <w:vAlign w:val="center"/>
          </w:tcPr>
          <w:p w14:paraId="27F83AC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5AD9F5A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5B26E4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564FCB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4E903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775FA3F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7574F74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213CEF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净化器除尘灰S2</w:t>
            </w:r>
          </w:p>
        </w:tc>
        <w:tc>
          <w:tcPr>
            <w:tcW w:w="624" w:type="pct"/>
            <w:shd w:val="clear" w:color="auto" w:fill="auto"/>
            <w:vAlign w:val="center"/>
          </w:tcPr>
          <w:p w14:paraId="57B4D066">
            <w:pPr>
              <w:keepNext w:val="0"/>
              <w:keepLines w:val="0"/>
              <w:pageBreakBefore w:val="0"/>
              <w:widowControl/>
              <w:suppressLineNumbers w:val="0"/>
              <w:kinsoku/>
              <w:wordWrap/>
              <w:overflowPunct/>
              <w:topLinePunct w:val="0"/>
              <w:autoSpaceDE/>
              <w:autoSpaceDN/>
              <w:bidi w:val="0"/>
              <w:adjustRightInd w:val="0"/>
              <w:snapToGrid w:val="0"/>
              <w:jc w:val="center"/>
              <w:textAlignment w:val="top"/>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4D269C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081451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5812D2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F023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5EBB784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6016E08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17F376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滤筒除尘灰S3</w:t>
            </w:r>
          </w:p>
        </w:tc>
        <w:tc>
          <w:tcPr>
            <w:tcW w:w="624" w:type="pct"/>
            <w:shd w:val="clear" w:color="auto" w:fill="auto"/>
            <w:vAlign w:val="center"/>
          </w:tcPr>
          <w:p w14:paraId="70861735">
            <w:pPr>
              <w:keepNext w:val="0"/>
              <w:keepLines w:val="0"/>
              <w:pageBreakBefore w:val="0"/>
              <w:widowControl/>
              <w:suppressLineNumbers w:val="0"/>
              <w:kinsoku/>
              <w:wordWrap/>
              <w:overflowPunct/>
              <w:topLinePunct w:val="0"/>
              <w:autoSpaceDE/>
              <w:autoSpaceDN/>
              <w:bidi w:val="0"/>
              <w:adjustRightInd w:val="0"/>
              <w:snapToGrid w:val="0"/>
              <w:jc w:val="center"/>
              <w:textAlignment w:val="top"/>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273B80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18DFC7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0D2FF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8AD5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45F29C9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1FC9E8D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3ABC9D3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废焊条焊渣S4</w:t>
            </w:r>
          </w:p>
        </w:tc>
        <w:tc>
          <w:tcPr>
            <w:tcW w:w="624" w:type="pct"/>
            <w:shd w:val="clear" w:color="auto" w:fill="auto"/>
            <w:vAlign w:val="center"/>
          </w:tcPr>
          <w:p w14:paraId="7DA52DC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4AD5E82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3DD5212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3BADBAC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40AED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6F25ED8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7937F86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55BEF4B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废钢丸S5</w:t>
            </w:r>
          </w:p>
        </w:tc>
        <w:tc>
          <w:tcPr>
            <w:tcW w:w="624" w:type="pct"/>
            <w:shd w:val="clear" w:color="auto" w:fill="auto"/>
            <w:vAlign w:val="center"/>
          </w:tcPr>
          <w:p w14:paraId="7665E99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080F37D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7A791A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42A0CE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9B24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1508EEC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1C71C82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4F03728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沉降粉尘S6</w:t>
            </w:r>
          </w:p>
        </w:tc>
        <w:tc>
          <w:tcPr>
            <w:tcW w:w="624" w:type="pct"/>
            <w:shd w:val="clear" w:color="auto" w:fill="auto"/>
            <w:vAlign w:val="center"/>
          </w:tcPr>
          <w:p w14:paraId="784B406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7D0FEB1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4A53E5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464A84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55BF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3127868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restart"/>
            <w:shd w:val="clear" w:color="auto" w:fill="auto"/>
            <w:vAlign w:val="center"/>
          </w:tcPr>
          <w:p w14:paraId="631FA46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危险废物</w:t>
            </w:r>
          </w:p>
        </w:tc>
        <w:tc>
          <w:tcPr>
            <w:tcW w:w="1074" w:type="pct"/>
            <w:shd w:val="clear" w:color="auto" w:fill="auto"/>
            <w:vAlign w:val="center"/>
          </w:tcPr>
          <w:p w14:paraId="655407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废过滤棉S7</w:t>
            </w:r>
          </w:p>
        </w:tc>
        <w:tc>
          <w:tcPr>
            <w:tcW w:w="624" w:type="pct"/>
            <w:shd w:val="clear" w:color="auto" w:fill="auto"/>
            <w:vAlign w:val="center"/>
          </w:tcPr>
          <w:p w14:paraId="17D9EE2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54C62C09">
            <w:pPr>
              <w:widowControl/>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2727E0FE">
            <w:pPr>
              <w:widowControl/>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29324FD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11C93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10755D8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5F48D9E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1FADA1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废活性炭S8</w:t>
            </w:r>
          </w:p>
        </w:tc>
        <w:tc>
          <w:tcPr>
            <w:tcW w:w="624" w:type="pct"/>
            <w:shd w:val="clear" w:color="auto" w:fill="auto"/>
            <w:vAlign w:val="center"/>
          </w:tcPr>
          <w:p w14:paraId="64B109A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6FF62C44">
            <w:pPr>
              <w:widowControl/>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625" w:type="pct"/>
            <w:shd w:val="clear" w:color="auto" w:fill="auto"/>
            <w:vAlign w:val="center"/>
          </w:tcPr>
          <w:p w14:paraId="48891731">
            <w:pPr>
              <w:widowControl/>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0D6F99F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77F8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562A7C0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280EDA8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5003B17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废催化剂S9</w:t>
            </w:r>
          </w:p>
        </w:tc>
        <w:tc>
          <w:tcPr>
            <w:tcW w:w="624" w:type="pct"/>
            <w:shd w:val="clear" w:color="auto" w:fill="auto"/>
            <w:vAlign w:val="center"/>
          </w:tcPr>
          <w:p w14:paraId="537F625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40164D77">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37B9CDF0">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99259F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6711E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2C5CDB8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1E74D7C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4CE8F3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废油漆桶S10</w:t>
            </w:r>
          </w:p>
        </w:tc>
        <w:tc>
          <w:tcPr>
            <w:tcW w:w="624" w:type="pct"/>
            <w:shd w:val="clear" w:color="auto" w:fill="auto"/>
            <w:vAlign w:val="center"/>
          </w:tcPr>
          <w:p w14:paraId="73ACB51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5D1A6CE2">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69EC8BF">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78F31E5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C81F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773A4E9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2A89C20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19E2EFD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废固化剂桶S11</w:t>
            </w:r>
          </w:p>
        </w:tc>
        <w:tc>
          <w:tcPr>
            <w:tcW w:w="624" w:type="pct"/>
            <w:shd w:val="clear" w:color="auto" w:fill="auto"/>
            <w:vAlign w:val="center"/>
          </w:tcPr>
          <w:p w14:paraId="686BA95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375FEE0E">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1CBF0675">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219B446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DE41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525" w:type="pct"/>
            <w:vMerge w:val="restart"/>
            <w:shd w:val="clear" w:color="auto" w:fill="auto"/>
            <w:vAlign w:val="center"/>
          </w:tcPr>
          <w:p w14:paraId="4AC80BE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restart"/>
            <w:shd w:val="clear" w:color="auto" w:fill="auto"/>
            <w:vAlign w:val="center"/>
          </w:tcPr>
          <w:p w14:paraId="78E0967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179DCE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废稀释剂桶S12</w:t>
            </w:r>
          </w:p>
        </w:tc>
        <w:tc>
          <w:tcPr>
            <w:tcW w:w="624" w:type="pct"/>
            <w:shd w:val="clear" w:color="auto" w:fill="auto"/>
            <w:vAlign w:val="center"/>
          </w:tcPr>
          <w:p w14:paraId="15AE0A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1C95CE15">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60BF4C5">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00BDCCB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0D983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621FFA7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348458E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5D71159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废润滑油桶S13</w:t>
            </w:r>
          </w:p>
        </w:tc>
        <w:tc>
          <w:tcPr>
            <w:tcW w:w="624" w:type="pct"/>
            <w:shd w:val="clear" w:color="auto" w:fill="auto"/>
            <w:vAlign w:val="center"/>
          </w:tcPr>
          <w:p w14:paraId="6FF576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217EE365">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1DD2F270">
            <w:pPr>
              <w:jc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3D9B0C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5E9C1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25" w:type="pct"/>
            <w:vMerge w:val="continue"/>
            <w:shd w:val="clear" w:color="auto" w:fill="auto"/>
            <w:vAlign w:val="center"/>
          </w:tcPr>
          <w:p w14:paraId="4073F18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7092303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B67FA7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废润滑油S14</w:t>
            </w:r>
          </w:p>
        </w:tc>
        <w:tc>
          <w:tcPr>
            <w:tcW w:w="624" w:type="pct"/>
            <w:shd w:val="clear" w:color="auto" w:fill="auto"/>
            <w:vAlign w:val="center"/>
          </w:tcPr>
          <w:p w14:paraId="1245AA2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6BC9AE48">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4FCD2BB8">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4E5E8D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7BA6F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6D465D7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1D848BE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755EBE7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漆渣S15</w:t>
            </w:r>
          </w:p>
        </w:tc>
        <w:tc>
          <w:tcPr>
            <w:tcW w:w="624" w:type="pct"/>
            <w:shd w:val="clear" w:color="auto" w:fill="auto"/>
            <w:vAlign w:val="center"/>
          </w:tcPr>
          <w:p w14:paraId="0E1CEDC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20F2B2DE">
            <w:pPr>
              <w:widowControl/>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70A38EB7">
            <w:pPr>
              <w:widowControl/>
              <w:jc w:val="center"/>
              <w:textAlignment w:val="center"/>
              <w:rPr>
                <w:rFonts w:hint="default" w:ascii="Times New Roman" w:hAnsi="Times New Roman" w:eastAsia="宋体" w:cs="Times New Roman"/>
                <w:i w:val="0"/>
                <w:iCs w:val="0"/>
                <w:color w:val="auto"/>
                <w:sz w:val="21"/>
                <w:szCs w:val="21"/>
                <w:u w:val="single" w:color="auto"/>
                <w:lang w:val="en-US"/>
              </w:rPr>
            </w:pPr>
          </w:p>
        </w:tc>
        <w:tc>
          <w:tcPr>
            <w:tcW w:w="625" w:type="pct"/>
            <w:shd w:val="clear" w:color="auto" w:fill="auto"/>
            <w:vAlign w:val="center"/>
          </w:tcPr>
          <w:p w14:paraId="3AEF68E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r w14:paraId="3416F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5" w:type="pct"/>
            <w:vMerge w:val="continue"/>
            <w:shd w:val="clear" w:color="auto" w:fill="auto"/>
            <w:vAlign w:val="center"/>
          </w:tcPr>
          <w:p w14:paraId="29C0D70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899" w:type="pct"/>
            <w:gridSpan w:val="2"/>
            <w:vMerge w:val="continue"/>
            <w:shd w:val="clear" w:color="auto" w:fill="auto"/>
            <w:vAlign w:val="center"/>
          </w:tcPr>
          <w:p w14:paraId="036E1B1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i w:val="0"/>
                <w:iCs w:val="0"/>
                <w:color w:val="auto"/>
                <w:sz w:val="21"/>
                <w:szCs w:val="21"/>
                <w:u w:val="single" w:color="auto"/>
              </w:rPr>
            </w:pPr>
          </w:p>
        </w:tc>
        <w:tc>
          <w:tcPr>
            <w:tcW w:w="1074" w:type="pct"/>
            <w:shd w:val="clear" w:color="auto" w:fill="auto"/>
            <w:vAlign w:val="center"/>
          </w:tcPr>
          <w:p w14:paraId="04CD98A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废含油抹布S16</w:t>
            </w:r>
          </w:p>
        </w:tc>
        <w:tc>
          <w:tcPr>
            <w:tcW w:w="624" w:type="pct"/>
            <w:shd w:val="clear" w:color="auto" w:fill="auto"/>
            <w:vAlign w:val="center"/>
          </w:tcPr>
          <w:p w14:paraId="1913D96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t/a</w:t>
            </w:r>
          </w:p>
        </w:tc>
        <w:tc>
          <w:tcPr>
            <w:tcW w:w="625" w:type="pct"/>
            <w:shd w:val="clear" w:color="auto" w:fill="auto"/>
            <w:vAlign w:val="center"/>
          </w:tcPr>
          <w:p w14:paraId="4561F676">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42F30ACE">
            <w:pPr>
              <w:widowControl/>
              <w:jc w:val="center"/>
              <w:textAlignment w:val="center"/>
              <w:rPr>
                <w:rFonts w:hint="default" w:ascii="Times New Roman" w:hAnsi="Times New Roman" w:eastAsia="宋体" w:cs="Times New Roman"/>
                <w:i w:val="0"/>
                <w:iCs w:val="0"/>
                <w:color w:val="auto"/>
                <w:sz w:val="21"/>
                <w:szCs w:val="21"/>
                <w:u w:val="single" w:color="auto"/>
              </w:rPr>
            </w:pPr>
          </w:p>
        </w:tc>
        <w:tc>
          <w:tcPr>
            <w:tcW w:w="625" w:type="pct"/>
            <w:shd w:val="clear" w:color="auto" w:fill="auto"/>
            <w:vAlign w:val="center"/>
          </w:tcPr>
          <w:p w14:paraId="6EF3078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sz w:val="21"/>
                <w:szCs w:val="21"/>
                <w:u w:val="single" w:color="auto"/>
              </w:rPr>
            </w:pPr>
          </w:p>
        </w:tc>
      </w:tr>
    </w:tbl>
    <w:p w14:paraId="5371C31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color w:val="auto"/>
          <w:sz w:val="24"/>
          <w:u w:val="none" w:color="auto"/>
        </w:rPr>
      </w:pPr>
      <w:bookmarkStart w:id="156" w:name="_Toc3728181"/>
      <w:r>
        <w:rPr>
          <w:rFonts w:hint="eastAsia" w:ascii="宋体" w:hAnsi="宋体" w:eastAsia="宋体" w:cs="Times New Roman"/>
          <w:b/>
          <w:color w:val="auto"/>
          <w:kern w:val="0"/>
          <w:sz w:val="28"/>
          <w:szCs w:val="20"/>
          <w:u w:val="none" w:color="auto"/>
        </w:rPr>
        <w:t>2</w:t>
      </w:r>
      <w:r>
        <w:rPr>
          <w:rFonts w:ascii="宋体" w:hAnsi="宋体" w:eastAsia="宋体" w:cs="Times New Roman"/>
          <w:b/>
          <w:color w:val="auto"/>
          <w:kern w:val="0"/>
          <w:sz w:val="28"/>
          <w:szCs w:val="20"/>
          <w:u w:val="none" w:color="auto"/>
        </w:rPr>
        <w:t>.3.6非正常工况</w:t>
      </w:r>
      <w:bookmarkEnd w:id="156"/>
    </w:p>
    <w:p w14:paraId="1A2E1C4E">
      <w:pPr>
        <w:autoSpaceDE w:val="0"/>
        <w:autoSpaceDN w:val="0"/>
        <w:snapToGrid w:val="0"/>
        <w:spacing w:line="360" w:lineRule="auto"/>
        <w:ind w:firstLine="482" w:firstLineChars="200"/>
        <w:rPr>
          <w:rFonts w:ascii="Times New Roman" w:hAnsi="Times New Roman" w:eastAsia="宋体" w:cs="Times New Roman"/>
          <w:b/>
          <w:color w:val="auto"/>
          <w:sz w:val="24"/>
          <w:u w:val="none" w:color="auto"/>
        </w:rPr>
      </w:pPr>
      <w:r>
        <w:rPr>
          <w:rFonts w:hint="eastAsia" w:ascii="Times New Roman" w:hAnsi="Times New Roman" w:eastAsia="宋体" w:cs="Times New Roman"/>
          <w:b/>
          <w:color w:val="auto"/>
          <w:sz w:val="24"/>
          <w:u w:val="none" w:color="auto"/>
        </w:rPr>
        <w:t>1、</w:t>
      </w:r>
      <w:r>
        <w:rPr>
          <w:rFonts w:ascii="Times New Roman" w:hAnsi="Times New Roman" w:eastAsia="宋体" w:cs="Times New Roman"/>
          <w:b/>
          <w:color w:val="auto"/>
          <w:sz w:val="24"/>
          <w:u w:val="none" w:color="auto"/>
        </w:rPr>
        <w:t>废气</w:t>
      </w:r>
    </w:p>
    <w:p w14:paraId="08955D5B">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废气的非正常工况排放主要包括系统开、停车和废气处理措施发生故障两种情况。废气处理措施发生故障主要包括移动式烟尘净化器、滤筒除尘器故障、干式漆雾过滤失效、活性炭失效、催化燃烧装置故障。</w:t>
      </w:r>
    </w:p>
    <w:p w14:paraId="31B03EC1">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生产装置开、停车过程中，废气处理设施均正常运行，废气仍通过系统的各个处理装置进行处理，因而排气中的污染物浓度低于正常情况，对环境的影响较小。</w:t>
      </w:r>
    </w:p>
    <w:p w14:paraId="4B36E756">
      <w:pPr>
        <w:autoSpaceDE w:val="0"/>
        <w:autoSpaceDN w:val="0"/>
        <w:snapToGrid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生产过程中在切割工序产生粉尘，焊接工序产生焊接烟尘，抛丸工序和喷砂工序产生粉尘，喷漆工序产生喷漆废气，主要成分为漆雾、二甲苯</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甲苯</w:t>
      </w:r>
      <w:r>
        <w:rPr>
          <w:rFonts w:hint="eastAsia" w:ascii="Times New Roman" w:hAnsi="Times New Roman" w:eastAsia="宋体" w:cs="Times New Roman"/>
          <w:color w:val="auto"/>
          <w:sz w:val="24"/>
          <w:szCs w:val="24"/>
          <w:u w:val="none" w:color="auto"/>
        </w:rPr>
        <w:t>和非甲烷总烃等有机气体。移动式烟尘净化器、滤筒除尘器故障、干式漆雾过滤失效、活性炭失效、催化燃烧装置故障时，会导致脱除漆雾、颗粒物的效率下降，挥发性有机物去除效率下降或无处理效率，造成排放空气中的有机气体浓度超标。</w:t>
      </w:r>
    </w:p>
    <w:p w14:paraId="4FAE075A">
      <w:pPr>
        <w:autoSpaceDE w:val="0"/>
        <w:autoSpaceDN w:val="0"/>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废气处理系统如发生故障，处理效率降低或完全失效，废气污染物排放量增大，造成非正常排放。发生一般事故时，在设备运行的同时进行抢修，保证24小时之内抢修完毕，一旦超过24小时未解除故障，则应通知</w:t>
      </w:r>
      <w:r>
        <w:rPr>
          <w:rFonts w:hint="eastAsia" w:ascii="Times New Roman" w:hAnsi="Times New Roman" w:eastAsia="宋体" w:cs="Times New Roman"/>
          <w:color w:val="auto"/>
          <w:sz w:val="24"/>
          <w:szCs w:val="24"/>
          <w:u w:val="single" w:color="auto"/>
          <w:lang w:val="en-US" w:eastAsia="zh-CN"/>
        </w:rPr>
        <w:t>涂装</w:t>
      </w:r>
      <w:r>
        <w:rPr>
          <w:rFonts w:hint="eastAsia" w:ascii="Times New Roman" w:hAnsi="Times New Roman" w:eastAsia="宋体" w:cs="Times New Roman"/>
          <w:color w:val="auto"/>
          <w:sz w:val="24"/>
          <w:szCs w:val="24"/>
          <w:u w:val="single" w:color="auto"/>
          <w:lang w:eastAsia="zh-CN"/>
        </w:rPr>
        <w:t>车间</w:t>
      </w:r>
      <w:r>
        <w:rPr>
          <w:rFonts w:hint="eastAsia" w:ascii="Times New Roman" w:hAnsi="Times New Roman" w:eastAsia="宋体" w:cs="Times New Roman"/>
          <w:color w:val="auto"/>
          <w:sz w:val="24"/>
          <w:szCs w:val="24"/>
          <w:u w:val="single" w:color="auto"/>
        </w:rPr>
        <w:t>停止生产。</w:t>
      </w:r>
    </w:p>
    <w:p w14:paraId="605C8C44">
      <w:pPr>
        <w:autoSpaceDE w:val="0"/>
        <w:autoSpaceDN w:val="0"/>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因此，本次环评对抛丸工序和喷砂工序产生粉尘，调漆、喷漆、晾干工序漆雾、二甲苯</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甲苯</w:t>
      </w:r>
      <w:r>
        <w:rPr>
          <w:rFonts w:hint="eastAsia" w:ascii="Times New Roman" w:hAnsi="Times New Roman" w:eastAsia="宋体" w:cs="Times New Roman"/>
          <w:color w:val="auto"/>
          <w:sz w:val="24"/>
          <w:szCs w:val="24"/>
          <w:u w:val="single" w:color="auto"/>
        </w:rPr>
        <w:t>和非甲烷总烃等污染物在事故排放情况下的浓度进行分析。按最不利情况考虑，废气处理设施全部失效。</w:t>
      </w:r>
    </w:p>
    <w:p w14:paraId="02EC99DE">
      <w:pPr>
        <w:autoSpaceDE w:val="0"/>
        <w:autoSpaceDN w:val="0"/>
        <w:snapToGrid w:val="0"/>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szCs w:val="24"/>
          <w:u w:val="none" w:color="auto"/>
        </w:rPr>
        <w:t>废气净化设施发生故障时，非正常工况下大气污染物排放情况汇总见</w:t>
      </w:r>
      <w:r>
        <w:rPr>
          <w:rFonts w:ascii="Times New Roman" w:hAnsi="Times New Roman" w:eastAsia="宋体" w:cs="Times New Roman"/>
          <w:color w:val="auto"/>
          <w:sz w:val="24"/>
          <w:szCs w:val="24"/>
          <w:u w:val="none" w:color="auto"/>
        </w:rPr>
        <w:t>表</w:t>
      </w:r>
      <w:r>
        <w:rPr>
          <w:rFonts w:hint="eastAsia" w:ascii="Times New Roman" w:hAnsi="Times New Roman" w:eastAsia="宋体" w:cs="Times New Roman"/>
          <w:color w:val="auto"/>
          <w:sz w:val="24"/>
          <w:szCs w:val="24"/>
          <w:u w:val="none" w:color="auto"/>
        </w:rPr>
        <w:t>2</w:t>
      </w:r>
      <w:r>
        <w:rPr>
          <w:rFonts w:ascii="Times New Roman" w:hAnsi="Times New Roman" w:eastAsia="宋体" w:cs="Times New Roman"/>
          <w:color w:val="auto"/>
          <w:sz w:val="24"/>
          <w:szCs w:val="24"/>
          <w:u w:val="none" w:color="auto"/>
        </w:rPr>
        <w:t>.3-</w:t>
      </w:r>
      <w:r>
        <w:rPr>
          <w:rFonts w:hint="eastAsia" w:ascii="Times New Roman" w:hAnsi="Times New Roman" w:eastAsia="宋体" w:cs="Times New Roman"/>
          <w:color w:val="auto"/>
          <w:sz w:val="24"/>
          <w:szCs w:val="24"/>
          <w:u w:val="none" w:color="auto"/>
        </w:rPr>
        <w:t>2</w:t>
      </w:r>
      <w:r>
        <w:rPr>
          <w:rFonts w:hint="eastAsia" w:ascii="Times New Roman" w:hAnsi="Times New Roman" w:eastAsia="宋体" w:cs="Times New Roman"/>
          <w:color w:val="auto"/>
          <w:sz w:val="24"/>
          <w:szCs w:val="24"/>
          <w:u w:val="none" w:color="auto"/>
          <w:lang w:val="en-US" w:eastAsia="zh-CN"/>
        </w:rPr>
        <w:t>1</w:t>
      </w:r>
      <w:r>
        <w:rPr>
          <w:rFonts w:ascii="Times New Roman" w:hAnsi="Times New Roman" w:eastAsia="宋体" w:cs="Times New Roman"/>
          <w:color w:val="auto"/>
          <w:sz w:val="24"/>
          <w:szCs w:val="24"/>
          <w:u w:val="none" w:color="auto"/>
        </w:rPr>
        <w:t>。</w:t>
      </w:r>
    </w:p>
    <w:p w14:paraId="678CD93F">
      <w:pPr>
        <w:autoSpaceDE w:val="0"/>
        <w:autoSpaceDN w:val="0"/>
        <w:snapToGrid w:val="0"/>
        <w:spacing w:before="156" w:beforeLines="50"/>
        <w:jc w:val="center"/>
        <w:rPr>
          <w:rFonts w:ascii="Times New Roman" w:hAnsi="Times New Roman" w:eastAsia="宋体" w:cs="Times New Roman"/>
          <w:b/>
          <w:color w:val="auto"/>
          <w:sz w:val="24"/>
          <w:szCs w:val="24"/>
          <w:u w:val="none" w:color="auto"/>
        </w:rPr>
      </w:pPr>
      <w:r>
        <w:rPr>
          <w:rFonts w:ascii="Times New Roman" w:hAnsi="Times New Roman" w:eastAsia="宋体" w:cs="Times New Roman"/>
          <w:b/>
          <w:color w:val="auto"/>
          <w:sz w:val="24"/>
          <w:szCs w:val="24"/>
          <w:u w:val="none" w:color="auto"/>
        </w:rPr>
        <w:t>表</w:t>
      </w:r>
      <w:r>
        <w:rPr>
          <w:rFonts w:ascii="Times New Roman" w:hAnsi="Times New Roman" w:eastAsia="宋体" w:cs="Times New Roman"/>
          <w:b/>
          <w:color w:val="auto"/>
          <w:sz w:val="24"/>
          <w:szCs w:val="24"/>
          <w:u w:val="none" w:color="auto"/>
        </w:rPr>
        <w:fldChar w:fldCharType="begin"/>
      </w:r>
      <w:r>
        <w:rPr>
          <w:rFonts w:ascii="Times New Roman" w:hAnsi="Times New Roman" w:eastAsia="宋体" w:cs="Times New Roman"/>
          <w:b/>
          <w:color w:val="auto"/>
          <w:sz w:val="24"/>
          <w:szCs w:val="24"/>
          <w:u w:val="none" w:color="auto"/>
        </w:rPr>
        <w:instrText xml:space="preserve"> STYLEREF 2 \s </w:instrText>
      </w:r>
      <w:r>
        <w:rPr>
          <w:rFonts w:ascii="Times New Roman" w:hAnsi="Times New Roman" w:eastAsia="宋体" w:cs="Times New Roman"/>
          <w:b/>
          <w:color w:val="auto"/>
          <w:sz w:val="24"/>
          <w:szCs w:val="24"/>
          <w:u w:val="none" w:color="auto"/>
        </w:rPr>
        <w:fldChar w:fldCharType="separate"/>
      </w:r>
      <w:r>
        <w:rPr>
          <w:rFonts w:hint="eastAsia" w:ascii="Times New Roman" w:hAnsi="Times New Roman" w:eastAsia="宋体" w:cs="Times New Roman"/>
          <w:b/>
          <w:color w:val="auto"/>
          <w:sz w:val="24"/>
          <w:szCs w:val="24"/>
          <w:u w:val="none" w:color="auto"/>
        </w:rPr>
        <w:t>2</w:t>
      </w:r>
      <w:r>
        <w:rPr>
          <w:rFonts w:ascii="Times New Roman" w:hAnsi="Times New Roman" w:eastAsia="宋体" w:cs="Times New Roman"/>
          <w:b/>
          <w:color w:val="auto"/>
          <w:sz w:val="24"/>
          <w:szCs w:val="24"/>
          <w:u w:val="none" w:color="auto"/>
        </w:rPr>
        <w:t>.3</w:t>
      </w:r>
      <w:r>
        <w:rPr>
          <w:rFonts w:ascii="Times New Roman" w:hAnsi="Times New Roman" w:eastAsia="宋体" w:cs="Times New Roman"/>
          <w:b/>
          <w:color w:val="auto"/>
          <w:sz w:val="24"/>
          <w:szCs w:val="24"/>
          <w:u w:val="none" w:color="auto"/>
        </w:rPr>
        <w:fldChar w:fldCharType="end"/>
      </w:r>
      <w:r>
        <w:rPr>
          <w:rFonts w:ascii="Times New Roman" w:hAnsi="Times New Roman" w:eastAsia="宋体" w:cs="Times New Roman"/>
          <w:b/>
          <w:color w:val="auto"/>
          <w:sz w:val="24"/>
          <w:szCs w:val="24"/>
          <w:u w:val="none" w:color="auto"/>
        </w:rPr>
        <w:noBreakHyphen/>
      </w:r>
      <w:r>
        <w:rPr>
          <w:rFonts w:hint="eastAsia" w:ascii="Times New Roman" w:hAnsi="Times New Roman" w:eastAsia="宋体" w:cs="Times New Roman"/>
          <w:b/>
          <w:color w:val="auto"/>
          <w:sz w:val="24"/>
          <w:szCs w:val="24"/>
          <w:u w:val="none" w:color="auto"/>
        </w:rPr>
        <w:t>2</w:t>
      </w:r>
      <w:r>
        <w:rPr>
          <w:rFonts w:hint="eastAsia" w:ascii="Times New Roman" w:hAnsi="Times New Roman" w:eastAsia="宋体" w:cs="Times New Roman"/>
          <w:b/>
          <w:color w:val="auto"/>
          <w:sz w:val="24"/>
          <w:szCs w:val="24"/>
          <w:u w:val="none" w:color="auto"/>
          <w:lang w:val="en-US" w:eastAsia="zh-CN"/>
        </w:rPr>
        <w:t>1</w:t>
      </w:r>
      <w:r>
        <w:rPr>
          <w:rFonts w:ascii="Times New Roman" w:hAnsi="Times New Roman" w:eastAsia="宋体" w:cs="Times New Roman"/>
          <w:b/>
          <w:color w:val="auto"/>
          <w:sz w:val="24"/>
          <w:szCs w:val="24"/>
          <w:u w:val="none" w:color="auto"/>
        </w:rPr>
        <w:t xml:space="preserve">  非正常工况污染物排放情况</w:t>
      </w:r>
    </w:p>
    <w:tbl>
      <w:tblPr>
        <w:tblStyle w:val="3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2099"/>
        <w:gridCol w:w="1681"/>
        <w:gridCol w:w="1770"/>
        <w:gridCol w:w="1770"/>
      </w:tblGrid>
      <w:tr w14:paraId="53022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Align w:val="center"/>
          </w:tcPr>
          <w:p w14:paraId="005C9051">
            <w:pPr>
              <w:autoSpaceDE w:val="0"/>
              <w:autoSpaceDN w:val="0"/>
              <w:jc w:val="center"/>
              <w:rPr>
                <w:rFonts w:ascii="Times New Roman" w:hAnsi="Times New Roman" w:eastAsia="宋体" w:cs="Times New Roman"/>
                <w:b/>
                <w:color w:val="auto"/>
                <w:szCs w:val="21"/>
                <w:u w:val="single" w:color="auto"/>
              </w:rPr>
            </w:pPr>
            <w:r>
              <w:rPr>
                <w:rFonts w:hint="eastAsia" w:ascii="Times New Roman" w:hAnsi="Times New Roman" w:eastAsia="宋体" w:cs="Times New Roman"/>
                <w:b/>
                <w:color w:val="auto"/>
                <w:szCs w:val="21"/>
                <w:u w:val="single" w:color="auto"/>
              </w:rPr>
              <w:t>类型</w:t>
            </w:r>
          </w:p>
        </w:tc>
        <w:tc>
          <w:tcPr>
            <w:tcW w:w="2099" w:type="dxa"/>
            <w:vAlign w:val="center"/>
          </w:tcPr>
          <w:p w14:paraId="17737458">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排放源</w:t>
            </w:r>
          </w:p>
        </w:tc>
        <w:tc>
          <w:tcPr>
            <w:tcW w:w="1681" w:type="dxa"/>
            <w:vAlign w:val="center"/>
          </w:tcPr>
          <w:p w14:paraId="24F0253B">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污染源</w:t>
            </w:r>
          </w:p>
        </w:tc>
        <w:tc>
          <w:tcPr>
            <w:tcW w:w="1770" w:type="dxa"/>
            <w:vAlign w:val="center"/>
          </w:tcPr>
          <w:p w14:paraId="24C13ECF">
            <w:pPr>
              <w:autoSpaceDE w:val="0"/>
              <w:autoSpaceDN w:val="0"/>
              <w:jc w:val="center"/>
              <w:rPr>
                <w:rFonts w:ascii="Times New Roman" w:hAnsi="Times New Roman" w:eastAsia="宋体" w:cs="Times New Roman"/>
                <w:b/>
                <w:color w:val="auto"/>
                <w:szCs w:val="21"/>
                <w:u w:val="single" w:color="auto"/>
              </w:rPr>
            </w:pPr>
            <w:r>
              <w:rPr>
                <w:rFonts w:hint="eastAsia" w:ascii="Times New Roman" w:hAnsi="Times New Roman" w:eastAsia="宋体" w:cs="Times New Roman"/>
                <w:b/>
                <w:color w:val="auto"/>
                <w:szCs w:val="21"/>
                <w:u w:val="single" w:color="auto"/>
              </w:rPr>
              <w:t>排放速率（kg/h）</w:t>
            </w:r>
          </w:p>
        </w:tc>
        <w:tc>
          <w:tcPr>
            <w:tcW w:w="1770" w:type="dxa"/>
            <w:vAlign w:val="center"/>
          </w:tcPr>
          <w:p w14:paraId="16836470">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排放浓度（mg/m</w:t>
            </w:r>
            <w:r>
              <w:rPr>
                <w:rFonts w:ascii="Times New Roman" w:hAnsi="Times New Roman" w:eastAsia="宋体" w:cs="Times New Roman"/>
                <w:b/>
                <w:color w:val="auto"/>
                <w:szCs w:val="21"/>
                <w:u w:val="single" w:color="auto"/>
                <w:vertAlign w:val="superscript"/>
              </w:rPr>
              <w:t>3</w:t>
            </w:r>
            <w:r>
              <w:rPr>
                <w:rFonts w:ascii="Times New Roman" w:hAnsi="Times New Roman" w:eastAsia="宋体" w:cs="Times New Roman"/>
                <w:b/>
                <w:color w:val="auto"/>
                <w:szCs w:val="21"/>
                <w:u w:val="single" w:color="auto"/>
              </w:rPr>
              <w:t>）</w:t>
            </w:r>
          </w:p>
        </w:tc>
      </w:tr>
      <w:tr w14:paraId="549DE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Merge w:val="restart"/>
            <w:vAlign w:val="center"/>
          </w:tcPr>
          <w:p w14:paraId="76D084A3">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有组织</w:t>
            </w:r>
          </w:p>
        </w:tc>
        <w:tc>
          <w:tcPr>
            <w:tcW w:w="2099" w:type="dxa"/>
            <w:vAlign w:val="center"/>
          </w:tcPr>
          <w:p w14:paraId="1490CDEB">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w:t>
            </w:r>
            <w:r>
              <w:rPr>
                <w:rFonts w:hint="eastAsia" w:ascii="Times New Roman" w:hAnsi="Times New Roman" w:eastAsia="宋体" w:cs="Times New Roman"/>
                <w:color w:val="auto"/>
                <w:szCs w:val="21"/>
                <w:u w:val="single" w:color="auto"/>
                <w:lang w:val="en-US" w:eastAsia="zh-CN"/>
              </w:rPr>
              <w:t>001</w:t>
            </w:r>
            <w:r>
              <w:rPr>
                <w:rFonts w:ascii="Times New Roman" w:hAnsi="Times New Roman" w:eastAsia="宋体" w:cs="Times New Roman"/>
                <w:color w:val="auto"/>
                <w:szCs w:val="21"/>
                <w:u w:val="single" w:color="auto"/>
              </w:rPr>
              <w:t>排气筒</w:t>
            </w:r>
          </w:p>
        </w:tc>
        <w:tc>
          <w:tcPr>
            <w:tcW w:w="1681" w:type="dxa"/>
            <w:vAlign w:val="center"/>
          </w:tcPr>
          <w:p w14:paraId="1C23DE9E">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粉尘</w:t>
            </w:r>
          </w:p>
        </w:tc>
        <w:tc>
          <w:tcPr>
            <w:tcW w:w="1770" w:type="dxa"/>
            <w:vAlign w:val="center"/>
          </w:tcPr>
          <w:p w14:paraId="702BC7EA">
            <w:pPr>
              <w:widowControl/>
              <w:jc w:val="center"/>
              <w:textAlignment w:val="center"/>
              <w:rPr>
                <w:rFonts w:hint="default" w:ascii="Times New Roman" w:hAnsi="Times New Roman" w:eastAsia="宋体" w:cs="Times New Roman"/>
                <w:color w:val="auto"/>
                <w:szCs w:val="21"/>
                <w:u w:val="single" w:color="auto"/>
                <w:lang w:val="en-US" w:eastAsia="zh-CN"/>
              </w:rPr>
            </w:pPr>
          </w:p>
        </w:tc>
        <w:tc>
          <w:tcPr>
            <w:tcW w:w="1770" w:type="dxa"/>
            <w:vAlign w:val="center"/>
          </w:tcPr>
          <w:p w14:paraId="3BD4CEEC">
            <w:pPr>
              <w:widowControl/>
              <w:jc w:val="center"/>
              <w:textAlignment w:val="center"/>
              <w:rPr>
                <w:rFonts w:hint="default" w:ascii="Times New Roman" w:hAnsi="Times New Roman" w:eastAsia="宋体" w:cs="Times New Roman"/>
                <w:color w:val="auto"/>
                <w:szCs w:val="21"/>
                <w:u w:val="single" w:color="auto"/>
                <w:lang w:val="en-US" w:eastAsia="zh-CN"/>
              </w:rPr>
            </w:pPr>
          </w:p>
        </w:tc>
      </w:tr>
      <w:tr w14:paraId="18446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Merge w:val="continue"/>
            <w:vAlign w:val="center"/>
          </w:tcPr>
          <w:p w14:paraId="7E739D86">
            <w:pPr>
              <w:autoSpaceDE w:val="0"/>
              <w:autoSpaceDN w:val="0"/>
              <w:jc w:val="center"/>
              <w:rPr>
                <w:rFonts w:ascii="Times New Roman" w:hAnsi="Times New Roman" w:eastAsia="宋体" w:cs="Times New Roman"/>
                <w:color w:val="auto"/>
                <w:szCs w:val="21"/>
                <w:u w:val="single" w:color="auto"/>
              </w:rPr>
            </w:pPr>
            <w:bookmarkStart w:id="157" w:name="_Toc6858286"/>
            <w:bookmarkStart w:id="158" w:name="_Toc3728182"/>
          </w:p>
        </w:tc>
        <w:tc>
          <w:tcPr>
            <w:tcW w:w="2099" w:type="dxa"/>
            <w:vMerge w:val="restart"/>
            <w:vAlign w:val="center"/>
          </w:tcPr>
          <w:p w14:paraId="29E09812">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w:t>
            </w:r>
            <w:r>
              <w:rPr>
                <w:rFonts w:hint="eastAsia" w:ascii="Times New Roman" w:hAnsi="Times New Roman" w:eastAsia="宋体" w:cs="Times New Roman"/>
                <w:color w:val="auto"/>
                <w:szCs w:val="21"/>
                <w:u w:val="single" w:color="auto"/>
                <w:lang w:val="en-US" w:eastAsia="zh-CN"/>
              </w:rPr>
              <w:t>00</w:t>
            </w:r>
            <w:r>
              <w:rPr>
                <w:rFonts w:hint="eastAsia" w:ascii="Times New Roman" w:hAnsi="Times New Roman" w:eastAsia="宋体" w:cs="Times New Roman"/>
                <w:color w:val="auto"/>
                <w:szCs w:val="21"/>
                <w:u w:val="single" w:color="auto"/>
              </w:rPr>
              <w:t>2</w:t>
            </w:r>
            <w:r>
              <w:rPr>
                <w:rFonts w:ascii="Times New Roman" w:hAnsi="Times New Roman" w:eastAsia="宋体" w:cs="Times New Roman"/>
                <w:color w:val="auto"/>
                <w:szCs w:val="21"/>
                <w:u w:val="single" w:color="auto"/>
              </w:rPr>
              <w:t>排气筒</w:t>
            </w:r>
          </w:p>
        </w:tc>
        <w:tc>
          <w:tcPr>
            <w:tcW w:w="1681" w:type="dxa"/>
            <w:vAlign w:val="center"/>
          </w:tcPr>
          <w:p w14:paraId="2850B0D1">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漆雾</w:t>
            </w:r>
          </w:p>
        </w:tc>
        <w:tc>
          <w:tcPr>
            <w:tcW w:w="1770" w:type="dxa"/>
            <w:vAlign w:val="center"/>
          </w:tcPr>
          <w:p w14:paraId="7BB2EE51">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1770" w:type="dxa"/>
            <w:vAlign w:val="center"/>
          </w:tcPr>
          <w:p w14:paraId="32A3E8F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4A204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Merge w:val="continue"/>
            <w:vAlign w:val="center"/>
          </w:tcPr>
          <w:p w14:paraId="12A4137D">
            <w:pPr>
              <w:autoSpaceDE w:val="0"/>
              <w:autoSpaceDN w:val="0"/>
              <w:jc w:val="center"/>
              <w:rPr>
                <w:rFonts w:ascii="Times New Roman" w:hAnsi="Times New Roman" w:eastAsia="宋体" w:cs="Times New Roman"/>
                <w:color w:val="auto"/>
                <w:szCs w:val="21"/>
                <w:u w:val="single" w:color="auto"/>
              </w:rPr>
            </w:pPr>
          </w:p>
        </w:tc>
        <w:tc>
          <w:tcPr>
            <w:tcW w:w="2099" w:type="dxa"/>
            <w:vMerge w:val="continue"/>
            <w:vAlign w:val="center"/>
          </w:tcPr>
          <w:p w14:paraId="32EE7D89">
            <w:pPr>
              <w:autoSpaceDE w:val="0"/>
              <w:autoSpaceDN w:val="0"/>
              <w:jc w:val="center"/>
              <w:rPr>
                <w:rFonts w:ascii="Times New Roman" w:hAnsi="Times New Roman" w:eastAsia="宋体" w:cs="Times New Roman"/>
                <w:color w:val="auto"/>
                <w:szCs w:val="21"/>
                <w:u w:val="single" w:color="auto"/>
              </w:rPr>
            </w:pPr>
          </w:p>
        </w:tc>
        <w:tc>
          <w:tcPr>
            <w:tcW w:w="1681" w:type="dxa"/>
            <w:vAlign w:val="center"/>
          </w:tcPr>
          <w:p w14:paraId="7800DE22">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非甲烷总烃</w:t>
            </w:r>
          </w:p>
        </w:tc>
        <w:tc>
          <w:tcPr>
            <w:tcW w:w="1770" w:type="dxa"/>
            <w:vAlign w:val="center"/>
          </w:tcPr>
          <w:p w14:paraId="70C2C7CA">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c>
          <w:tcPr>
            <w:tcW w:w="1770" w:type="dxa"/>
            <w:vAlign w:val="center"/>
          </w:tcPr>
          <w:p w14:paraId="2B971590">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233B6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Merge w:val="continue"/>
            <w:vAlign w:val="center"/>
          </w:tcPr>
          <w:p w14:paraId="09D8828B">
            <w:pPr>
              <w:autoSpaceDE w:val="0"/>
              <w:autoSpaceDN w:val="0"/>
              <w:jc w:val="center"/>
              <w:rPr>
                <w:rFonts w:ascii="Times New Roman" w:hAnsi="Times New Roman" w:eastAsia="宋体" w:cs="Times New Roman"/>
                <w:color w:val="auto"/>
                <w:szCs w:val="21"/>
                <w:u w:val="single" w:color="auto"/>
              </w:rPr>
            </w:pPr>
          </w:p>
        </w:tc>
        <w:tc>
          <w:tcPr>
            <w:tcW w:w="2099" w:type="dxa"/>
            <w:vMerge w:val="continue"/>
            <w:vAlign w:val="center"/>
          </w:tcPr>
          <w:p w14:paraId="284B2777">
            <w:pPr>
              <w:autoSpaceDE w:val="0"/>
              <w:autoSpaceDN w:val="0"/>
              <w:jc w:val="center"/>
              <w:rPr>
                <w:rFonts w:ascii="Times New Roman" w:hAnsi="Times New Roman" w:eastAsia="宋体" w:cs="Times New Roman"/>
                <w:color w:val="auto"/>
                <w:szCs w:val="21"/>
                <w:u w:val="single" w:color="auto"/>
              </w:rPr>
            </w:pPr>
          </w:p>
        </w:tc>
        <w:tc>
          <w:tcPr>
            <w:tcW w:w="1681" w:type="dxa"/>
            <w:vAlign w:val="center"/>
          </w:tcPr>
          <w:p w14:paraId="12DBB634">
            <w:pPr>
              <w:widowControl/>
              <w:jc w:val="center"/>
              <w:textAlignment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kern w:val="0"/>
                <w:szCs w:val="21"/>
                <w:u w:val="single" w:color="auto"/>
                <w:lang w:bidi="ar"/>
              </w:rPr>
              <w:t>二甲苯</w:t>
            </w:r>
          </w:p>
        </w:tc>
        <w:tc>
          <w:tcPr>
            <w:tcW w:w="1770" w:type="dxa"/>
            <w:vAlign w:val="center"/>
          </w:tcPr>
          <w:p w14:paraId="2466E19A">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p>
        </w:tc>
        <w:tc>
          <w:tcPr>
            <w:tcW w:w="1770" w:type="dxa"/>
            <w:vAlign w:val="center"/>
          </w:tcPr>
          <w:p w14:paraId="26CCEBEB">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p>
        </w:tc>
      </w:tr>
      <w:tr w14:paraId="3A022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9" w:type="dxa"/>
            <w:vMerge w:val="continue"/>
            <w:vAlign w:val="center"/>
          </w:tcPr>
          <w:p w14:paraId="4BAA97CE">
            <w:pPr>
              <w:autoSpaceDE w:val="0"/>
              <w:autoSpaceDN w:val="0"/>
              <w:jc w:val="center"/>
              <w:rPr>
                <w:rFonts w:ascii="Times New Roman" w:hAnsi="Times New Roman" w:eastAsia="宋体" w:cs="Times New Roman"/>
                <w:color w:val="auto"/>
                <w:szCs w:val="21"/>
                <w:u w:val="single" w:color="auto"/>
              </w:rPr>
            </w:pPr>
          </w:p>
        </w:tc>
        <w:tc>
          <w:tcPr>
            <w:tcW w:w="2099" w:type="dxa"/>
            <w:vMerge w:val="continue"/>
            <w:vAlign w:val="center"/>
          </w:tcPr>
          <w:p w14:paraId="3084DB5E">
            <w:pPr>
              <w:autoSpaceDE w:val="0"/>
              <w:autoSpaceDN w:val="0"/>
              <w:jc w:val="center"/>
              <w:rPr>
                <w:rFonts w:ascii="Times New Roman" w:hAnsi="Times New Roman" w:eastAsia="宋体" w:cs="Times New Roman"/>
                <w:color w:val="auto"/>
                <w:szCs w:val="21"/>
                <w:u w:val="single" w:color="auto"/>
              </w:rPr>
            </w:pPr>
          </w:p>
        </w:tc>
        <w:tc>
          <w:tcPr>
            <w:tcW w:w="1681" w:type="dxa"/>
            <w:vAlign w:val="center"/>
          </w:tcPr>
          <w:p w14:paraId="556D1C3C">
            <w:pPr>
              <w:widowControl/>
              <w:jc w:val="center"/>
              <w:textAlignment w:val="center"/>
              <w:rPr>
                <w:rFonts w:ascii="Times New Roman" w:hAnsi="Times New Roman" w:eastAsia="宋体" w:cs="Times New Roman"/>
                <w:color w:val="auto"/>
                <w:kern w:val="0"/>
                <w:szCs w:val="21"/>
                <w:u w:val="single" w:color="auto"/>
                <w:lang w:bidi="ar"/>
              </w:rPr>
            </w:pPr>
            <w:r>
              <w:rPr>
                <w:rFonts w:ascii="Times New Roman" w:hAnsi="Times New Roman" w:eastAsia="宋体" w:cs="Times New Roman"/>
                <w:color w:val="auto"/>
                <w:kern w:val="0"/>
                <w:szCs w:val="21"/>
                <w:u w:val="single" w:color="auto"/>
                <w:lang w:bidi="ar"/>
              </w:rPr>
              <w:t>甲苯</w:t>
            </w:r>
          </w:p>
        </w:tc>
        <w:tc>
          <w:tcPr>
            <w:tcW w:w="1770" w:type="dxa"/>
            <w:vAlign w:val="center"/>
          </w:tcPr>
          <w:p w14:paraId="4D95138C">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bidi="ar"/>
              </w:rPr>
            </w:pPr>
          </w:p>
        </w:tc>
        <w:tc>
          <w:tcPr>
            <w:tcW w:w="1770" w:type="dxa"/>
            <w:vAlign w:val="center"/>
          </w:tcPr>
          <w:p w14:paraId="4D558387">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bidi="ar"/>
              </w:rPr>
            </w:pPr>
          </w:p>
        </w:tc>
      </w:tr>
    </w:tbl>
    <w:p w14:paraId="1EE94D54">
      <w:pPr>
        <w:autoSpaceDE w:val="0"/>
        <w:autoSpaceDN w:val="0"/>
        <w:snapToGrid w:val="0"/>
        <w:spacing w:before="312" w:beforeLines="100" w:line="360" w:lineRule="auto"/>
        <w:jc w:val="left"/>
        <w:outlineLvl w:val="1"/>
        <w:rPr>
          <w:rFonts w:ascii="Times New Roman" w:hAnsi="Times New Roman" w:eastAsia="宋体" w:cs="Times New Roman"/>
          <w:b/>
          <w:color w:val="auto"/>
          <w:kern w:val="0"/>
          <w:sz w:val="32"/>
          <w:szCs w:val="32"/>
          <w:u w:val="none" w:color="auto"/>
        </w:rPr>
      </w:pPr>
      <w:bookmarkStart w:id="159" w:name="_Toc327"/>
      <w:r>
        <w:rPr>
          <w:rFonts w:hint="eastAsia" w:ascii="Times New Roman" w:hAnsi="Times New Roman" w:eastAsia="宋体" w:cs="Times New Roman"/>
          <w:b/>
          <w:color w:val="auto"/>
          <w:kern w:val="0"/>
          <w:sz w:val="32"/>
          <w:szCs w:val="32"/>
          <w:u w:val="none" w:color="auto"/>
        </w:rPr>
        <w:t>2</w:t>
      </w:r>
      <w:r>
        <w:rPr>
          <w:rFonts w:ascii="Times New Roman" w:hAnsi="Times New Roman" w:eastAsia="宋体" w:cs="Times New Roman"/>
          <w:b/>
          <w:color w:val="auto"/>
          <w:kern w:val="0"/>
          <w:sz w:val="32"/>
          <w:szCs w:val="32"/>
          <w:u w:val="none" w:color="auto"/>
        </w:rPr>
        <w:t>.4污染物总量控制分析</w:t>
      </w:r>
      <w:bookmarkEnd w:id="157"/>
      <w:bookmarkEnd w:id="158"/>
      <w:bookmarkEnd w:id="159"/>
    </w:p>
    <w:p w14:paraId="77FC31B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60" w:name="_Toc3728183"/>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.4.1总量控制因子</w:t>
      </w:r>
      <w:bookmarkEnd w:id="160"/>
    </w:p>
    <w:p w14:paraId="20780321">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32"/>
          <w:u w:val="none" w:color="auto"/>
        </w:rPr>
      </w:pPr>
      <w:r>
        <w:rPr>
          <w:rFonts w:ascii="Times New Roman" w:hAnsi="Times New Roman" w:eastAsia="宋体" w:cs="Times New Roman"/>
          <w:color w:val="auto"/>
          <w:kern w:val="0"/>
          <w:sz w:val="24"/>
          <w:szCs w:val="32"/>
          <w:u w:val="none" w:color="auto"/>
        </w:rPr>
        <w:t>污染物排放总量控制是控制环境污染的重要手段，其主要内涵是：在追求较好的经济性和合理的空间布局基础上，实现区域环境污染的有效控制；在企业技术进步、采用世界先进生产设备和加强治理污染的前提下，争取达到增产不增污乃至增产减污的目标。</w:t>
      </w:r>
    </w:p>
    <w:p w14:paraId="4436B960">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32"/>
          <w:u w:val="none" w:color="auto"/>
        </w:rPr>
      </w:pPr>
      <w:r>
        <w:rPr>
          <w:rFonts w:ascii="Times New Roman" w:hAnsi="Times New Roman" w:eastAsia="宋体" w:cs="Times New Roman"/>
          <w:color w:val="auto"/>
          <w:kern w:val="0"/>
          <w:sz w:val="24"/>
          <w:szCs w:val="32"/>
          <w:u w:val="none" w:color="auto"/>
        </w:rPr>
        <w:t>根据</w:t>
      </w:r>
      <w:bookmarkStart w:id="161" w:name="OLE_LINK18"/>
      <w:bookmarkStart w:id="162" w:name="OLE_LINK17"/>
      <w:r>
        <w:rPr>
          <w:rFonts w:ascii="Times New Roman" w:hAnsi="Times New Roman" w:eastAsia="宋体" w:cs="Times New Roman"/>
          <w:color w:val="auto"/>
          <w:kern w:val="0"/>
          <w:sz w:val="24"/>
          <w:szCs w:val="32"/>
          <w:u w:val="none" w:color="auto"/>
        </w:rPr>
        <w:t>《建设项目主要污染物排放总量指标审核及管理暂行办法》</w:t>
      </w:r>
      <w:bookmarkEnd w:id="161"/>
      <w:bookmarkEnd w:id="162"/>
      <w:r>
        <w:rPr>
          <w:rFonts w:ascii="Times New Roman" w:hAnsi="Times New Roman" w:eastAsia="宋体" w:cs="Times New Roman"/>
          <w:color w:val="auto"/>
          <w:kern w:val="0"/>
          <w:sz w:val="24"/>
          <w:szCs w:val="32"/>
          <w:u w:val="none" w:color="auto"/>
        </w:rPr>
        <w:t>和广西壮族自治区环境保护</w:t>
      </w:r>
      <w:r>
        <w:rPr>
          <w:rFonts w:hint="eastAsia" w:ascii="Times New Roman" w:hAnsi="Times New Roman" w:eastAsia="宋体" w:cs="Times New Roman"/>
          <w:color w:val="auto"/>
          <w:kern w:val="0"/>
          <w:sz w:val="24"/>
          <w:szCs w:val="32"/>
          <w:u w:val="none" w:color="auto"/>
          <w:lang w:eastAsia="zh-CN"/>
        </w:rPr>
        <w:t>“十四五”规划</w:t>
      </w:r>
      <w:r>
        <w:rPr>
          <w:rFonts w:ascii="Times New Roman" w:hAnsi="Times New Roman" w:eastAsia="宋体" w:cs="Times New Roman"/>
          <w:color w:val="auto"/>
          <w:kern w:val="0"/>
          <w:sz w:val="24"/>
          <w:szCs w:val="32"/>
          <w:u w:val="none" w:color="auto"/>
        </w:rPr>
        <w:t>，并根据项目工程分析，本项目涉及的总量指标因子有COD、氨氮</w:t>
      </w:r>
      <w:r>
        <w:rPr>
          <w:rFonts w:hint="eastAsia" w:ascii="Times New Roman" w:hAnsi="Times New Roman" w:eastAsia="宋体" w:cs="Times New Roman"/>
          <w:color w:val="auto"/>
          <w:kern w:val="0"/>
          <w:sz w:val="24"/>
          <w:szCs w:val="32"/>
          <w:u w:val="none" w:color="auto"/>
        </w:rPr>
        <w:t>、非甲烷总烃</w:t>
      </w:r>
      <w:r>
        <w:rPr>
          <w:rFonts w:ascii="Times New Roman" w:hAnsi="Times New Roman" w:eastAsia="宋体" w:cs="Times New Roman"/>
          <w:color w:val="auto"/>
          <w:kern w:val="0"/>
          <w:sz w:val="24"/>
          <w:szCs w:val="32"/>
          <w:u w:val="none" w:color="auto"/>
        </w:rPr>
        <w:t>。</w:t>
      </w:r>
    </w:p>
    <w:p w14:paraId="2A01315E">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color w:val="auto"/>
          <w:kern w:val="0"/>
          <w:sz w:val="24"/>
          <w:szCs w:val="32"/>
          <w:u w:val="none" w:color="auto"/>
        </w:rPr>
      </w:pPr>
      <w:bookmarkStart w:id="163" w:name="_Toc3728184"/>
      <w:r>
        <w:rPr>
          <w:rFonts w:hint="eastAsia" w:ascii="Times New Roman" w:hAnsi="Times New Roman" w:eastAsia="宋体" w:cs="Times New Roman"/>
          <w:b/>
          <w:color w:val="auto"/>
          <w:kern w:val="0"/>
          <w:sz w:val="28"/>
          <w:szCs w:val="20"/>
          <w:u w:val="none" w:color="auto"/>
        </w:rPr>
        <w:t>2</w:t>
      </w:r>
      <w:r>
        <w:rPr>
          <w:rFonts w:ascii="Times New Roman" w:hAnsi="Times New Roman" w:eastAsia="宋体" w:cs="Times New Roman"/>
          <w:b/>
          <w:color w:val="auto"/>
          <w:kern w:val="0"/>
          <w:sz w:val="28"/>
          <w:szCs w:val="20"/>
          <w:u w:val="none" w:color="auto"/>
        </w:rPr>
        <w:t>.4.2本项目污染物排放总量核算</w:t>
      </w:r>
      <w:bookmarkEnd w:id="163"/>
    </w:p>
    <w:p w14:paraId="6D6B6326">
      <w:pPr>
        <w:autoSpaceDE w:val="0"/>
        <w:autoSpaceDN w:val="0"/>
        <w:spacing w:line="360" w:lineRule="auto"/>
        <w:ind w:firstLine="480" w:firstLineChars="200"/>
        <w:jc w:val="left"/>
        <w:rPr>
          <w:rFonts w:ascii="Times New Roman" w:hAnsi="Times New Roman" w:eastAsia="宋体" w:cs="Times New Roman"/>
          <w:color w:val="auto"/>
          <w:kern w:val="0"/>
          <w:sz w:val="24"/>
          <w:szCs w:val="32"/>
          <w:u w:val="single" w:color="auto"/>
        </w:rPr>
      </w:pPr>
      <w:r>
        <w:rPr>
          <w:rFonts w:ascii="Times New Roman" w:hAnsi="Times New Roman" w:eastAsia="宋体" w:cs="Times New Roman"/>
          <w:color w:val="auto"/>
          <w:kern w:val="0"/>
          <w:sz w:val="24"/>
          <w:szCs w:val="32"/>
          <w:u w:val="single" w:color="auto"/>
        </w:rPr>
        <w:t>通过工程分析可知，本项目完成后</w:t>
      </w:r>
      <w:bookmarkStart w:id="164" w:name="_Hlk522970827"/>
      <w:r>
        <w:rPr>
          <w:rFonts w:ascii="Times New Roman" w:hAnsi="Times New Roman" w:eastAsia="宋体" w:cs="Times New Roman"/>
          <w:color w:val="auto"/>
          <w:kern w:val="0"/>
          <w:sz w:val="24"/>
          <w:szCs w:val="32"/>
          <w:u w:val="single" w:color="auto"/>
        </w:rPr>
        <w:t>COD、氨氮</w:t>
      </w:r>
      <w:bookmarkEnd w:id="164"/>
      <w:bookmarkStart w:id="165" w:name="_Hlk522970890"/>
      <w:r>
        <w:rPr>
          <w:rFonts w:hint="eastAsia" w:ascii="Times New Roman" w:hAnsi="Times New Roman" w:eastAsia="宋体" w:cs="Times New Roman"/>
          <w:color w:val="auto"/>
          <w:kern w:val="0"/>
          <w:sz w:val="24"/>
          <w:szCs w:val="32"/>
          <w:u w:val="single" w:color="auto"/>
        </w:rPr>
        <w:t>、非甲烷总烃</w:t>
      </w:r>
      <w:r>
        <w:rPr>
          <w:rFonts w:ascii="Times New Roman" w:hAnsi="Times New Roman" w:eastAsia="宋体" w:cs="Times New Roman"/>
          <w:color w:val="auto"/>
          <w:kern w:val="0"/>
          <w:sz w:val="24"/>
          <w:szCs w:val="32"/>
          <w:u w:val="single" w:color="auto"/>
        </w:rPr>
        <w:t>放量分别为</w:t>
      </w:r>
      <w:r>
        <w:rPr>
          <w:rFonts w:hint="eastAsia" w:ascii="Times New Roman" w:hAnsi="Times New Roman" w:eastAsia="宋体" w:cs="Times New Roman"/>
          <w:color w:val="auto"/>
          <w:kern w:val="0"/>
          <w:sz w:val="24"/>
          <w:szCs w:val="32"/>
          <w:u w:val="single" w:color="auto"/>
        </w:rPr>
        <w:t>2.614</w:t>
      </w:r>
      <w:r>
        <w:rPr>
          <w:rFonts w:ascii="Times New Roman" w:hAnsi="Times New Roman" w:eastAsia="宋体" w:cs="Times New Roman"/>
          <w:color w:val="auto"/>
          <w:kern w:val="0"/>
          <w:sz w:val="24"/>
          <w:szCs w:val="32"/>
          <w:u w:val="single" w:color="auto"/>
        </w:rPr>
        <w:t>t/a、</w:t>
      </w:r>
      <w:r>
        <w:rPr>
          <w:rFonts w:hint="eastAsia" w:ascii="Times New Roman" w:hAnsi="Times New Roman" w:eastAsia="宋体" w:cs="Times New Roman"/>
          <w:color w:val="auto"/>
          <w:kern w:val="0"/>
          <w:sz w:val="24"/>
          <w:szCs w:val="32"/>
          <w:u w:val="single" w:color="auto"/>
        </w:rPr>
        <w:t>0.261</w:t>
      </w:r>
      <w:r>
        <w:rPr>
          <w:rFonts w:ascii="Times New Roman" w:hAnsi="Times New Roman" w:eastAsia="宋体" w:cs="Times New Roman"/>
          <w:color w:val="auto"/>
          <w:kern w:val="0"/>
          <w:sz w:val="24"/>
          <w:szCs w:val="32"/>
          <w:u w:val="single" w:color="auto"/>
        </w:rPr>
        <w:t>t/a、</w:t>
      </w:r>
      <w:r>
        <w:rPr>
          <w:rFonts w:hint="eastAsia" w:ascii="Times New Roman" w:hAnsi="Times New Roman" w:eastAsia="宋体" w:cs="Times New Roman"/>
          <w:color w:val="auto"/>
          <w:kern w:val="0"/>
          <w:sz w:val="24"/>
          <w:szCs w:val="32"/>
          <w:u w:val="single" w:color="auto"/>
          <w:lang w:val="en-US" w:eastAsia="zh-CN"/>
        </w:rPr>
        <w:t>10.5729</w:t>
      </w:r>
      <w:r>
        <w:rPr>
          <w:rFonts w:ascii="Times New Roman" w:hAnsi="Times New Roman" w:eastAsia="宋体" w:cs="Times New Roman"/>
          <w:color w:val="auto"/>
          <w:kern w:val="0"/>
          <w:sz w:val="24"/>
          <w:szCs w:val="32"/>
          <w:u w:val="single" w:color="auto"/>
        </w:rPr>
        <w:t>t/a。</w:t>
      </w:r>
    </w:p>
    <w:bookmarkEnd w:id="165"/>
    <w:p w14:paraId="610D8B9F">
      <w:pPr>
        <w:autoSpaceDE w:val="0"/>
        <w:autoSpaceDN w:val="0"/>
        <w:spacing w:line="360" w:lineRule="auto"/>
        <w:ind w:firstLine="480" w:firstLineChars="200"/>
        <w:jc w:val="left"/>
        <w:rPr>
          <w:rFonts w:hint="eastAsia" w:ascii="Times New Roman" w:hAnsi="Times New Roman" w:eastAsia="宋体" w:cs="Times New Roman"/>
          <w:color w:val="auto"/>
          <w:kern w:val="0"/>
          <w:sz w:val="24"/>
          <w:szCs w:val="32"/>
          <w:u w:val="single" w:color="auto"/>
        </w:rPr>
      </w:pPr>
      <w:r>
        <w:rPr>
          <w:rFonts w:hint="eastAsia" w:ascii="Times New Roman" w:hAnsi="Times New Roman" w:eastAsia="宋体" w:cs="Times New Roman"/>
          <w:color w:val="auto"/>
          <w:sz w:val="24"/>
          <w:szCs w:val="24"/>
          <w:u w:val="single" w:color="auto"/>
        </w:rPr>
        <w:t>本项目，生活污水经厂内三级化粪池预处理达到大榄坪污水处理厂</w:t>
      </w:r>
      <w:r>
        <w:rPr>
          <w:rFonts w:hint="eastAsia" w:ascii="Times New Roman" w:hAnsi="Times New Roman" w:eastAsia="宋体" w:cs="Times New Roman"/>
          <w:color w:val="auto"/>
          <w:sz w:val="24"/>
          <w:szCs w:val="24"/>
          <w:u w:val="single" w:color="auto"/>
          <w:lang w:val="en-US" w:eastAsia="zh-CN"/>
        </w:rPr>
        <w:t>纳管</w:t>
      </w:r>
      <w:r>
        <w:rPr>
          <w:rFonts w:hint="eastAsia" w:ascii="Times New Roman" w:hAnsi="Times New Roman" w:eastAsia="宋体" w:cs="Times New Roman"/>
          <w:color w:val="auto"/>
          <w:sz w:val="24"/>
          <w:szCs w:val="24"/>
          <w:u w:val="single" w:color="auto"/>
        </w:rPr>
        <w:t>标准要求后，经市政管网排入大榄坪污水处理厂。</w:t>
      </w:r>
      <w:r>
        <w:rPr>
          <w:rFonts w:ascii="Times New Roman" w:hAnsi="Times New Roman" w:eastAsia="宋体" w:cs="Times New Roman"/>
          <w:color w:val="auto"/>
          <w:kern w:val="0"/>
          <w:sz w:val="24"/>
          <w:szCs w:val="20"/>
          <w:u w:val="single" w:color="auto"/>
        </w:rPr>
        <w:t>因此，</w:t>
      </w:r>
      <w:r>
        <w:rPr>
          <w:rFonts w:ascii="Times New Roman" w:hAnsi="Times New Roman" w:eastAsia="宋体" w:cs="Times New Roman"/>
          <w:color w:val="auto"/>
          <w:kern w:val="0"/>
          <w:sz w:val="24"/>
          <w:szCs w:val="32"/>
          <w:u w:val="single" w:color="auto"/>
        </w:rPr>
        <w:t>COD、氨氮总量指标在</w:t>
      </w:r>
      <w:r>
        <w:rPr>
          <w:rFonts w:hint="eastAsia" w:ascii="Times New Roman" w:hAnsi="Times New Roman" w:eastAsia="宋体" w:cs="Times New Roman"/>
          <w:color w:val="auto"/>
          <w:sz w:val="24"/>
          <w:szCs w:val="24"/>
          <w:u w:val="single" w:color="auto"/>
        </w:rPr>
        <w:t>大榄坪污水处理厂</w:t>
      </w:r>
      <w:r>
        <w:rPr>
          <w:rFonts w:ascii="Times New Roman" w:hAnsi="Times New Roman" w:eastAsia="宋体" w:cs="Times New Roman"/>
          <w:color w:val="auto"/>
          <w:kern w:val="0"/>
          <w:sz w:val="24"/>
          <w:szCs w:val="32"/>
          <w:u w:val="single" w:color="auto"/>
        </w:rPr>
        <w:t>内平衡，</w:t>
      </w:r>
      <w:r>
        <w:rPr>
          <w:rFonts w:ascii="Times New Roman" w:hAnsi="Times New Roman" w:eastAsia="宋体" w:cs="Times New Roman"/>
          <w:color w:val="auto"/>
          <w:kern w:val="0"/>
          <w:sz w:val="24"/>
          <w:szCs w:val="20"/>
          <w:u w:val="single" w:color="auto"/>
        </w:rPr>
        <w:t>本项目不申请</w:t>
      </w:r>
      <w:r>
        <w:rPr>
          <w:rFonts w:ascii="Times New Roman" w:hAnsi="Times New Roman" w:eastAsia="宋体" w:cs="Times New Roman"/>
          <w:color w:val="auto"/>
          <w:kern w:val="0"/>
          <w:sz w:val="24"/>
          <w:szCs w:val="32"/>
          <w:u w:val="single" w:color="auto"/>
        </w:rPr>
        <w:t>COD、氨氮</w:t>
      </w:r>
      <w:r>
        <w:rPr>
          <w:rFonts w:ascii="Times New Roman" w:hAnsi="Times New Roman" w:eastAsia="宋体" w:cs="Times New Roman"/>
          <w:color w:val="auto"/>
          <w:kern w:val="0"/>
          <w:sz w:val="24"/>
          <w:szCs w:val="20"/>
          <w:u w:val="single" w:color="auto"/>
        </w:rPr>
        <w:t>总量指标。</w:t>
      </w:r>
      <w:r>
        <w:rPr>
          <w:rFonts w:hint="eastAsia" w:ascii="Times New Roman" w:hAnsi="Times New Roman" w:eastAsia="宋体" w:cs="Times New Roman"/>
          <w:color w:val="auto"/>
          <w:kern w:val="0"/>
          <w:sz w:val="24"/>
          <w:szCs w:val="20"/>
          <w:u w:val="single" w:color="auto"/>
        </w:rPr>
        <w:t>项目申请的</w:t>
      </w:r>
      <w:r>
        <w:rPr>
          <w:rFonts w:hint="eastAsia" w:ascii="Times New Roman" w:hAnsi="Times New Roman" w:eastAsia="宋体" w:cs="Times New Roman"/>
          <w:color w:val="auto"/>
          <w:kern w:val="0"/>
          <w:sz w:val="24"/>
          <w:szCs w:val="32"/>
          <w:u w:val="single" w:color="auto"/>
        </w:rPr>
        <w:t>非甲烷总烃总量指标为</w:t>
      </w:r>
      <w:r>
        <w:rPr>
          <w:rFonts w:hint="eastAsia" w:ascii="Times New Roman" w:hAnsi="Times New Roman" w:eastAsia="宋体" w:cs="Times New Roman"/>
          <w:color w:val="auto"/>
          <w:kern w:val="0"/>
          <w:sz w:val="24"/>
          <w:szCs w:val="32"/>
          <w:u w:val="single" w:color="auto"/>
          <w:lang w:val="en-US" w:eastAsia="zh-CN"/>
        </w:rPr>
        <w:t>9.3679t</w:t>
      </w:r>
      <w:r>
        <w:rPr>
          <w:rFonts w:ascii="Times New Roman" w:hAnsi="Times New Roman" w:eastAsia="宋体" w:cs="Times New Roman"/>
          <w:color w:val="auto"/>
          <w:kern w:val="0"/>
          <w:sz w:val="24"/>
          <w:szCs w:val="32"/>
          <w:u w:val="single" w:color="auto"/>
        </w:rPr>
        <w:t>/a</w:t>
      </w:r>
      <w:r>
        <w:rPr>
          <w:rFonts w:hint="eastAsia" w:ascii="Times New Roman" w:hAnsi="Times New Roman" w:eastAsia="宋体" w:cs="Times New Roman"/>
          <w:color w:val="auto"/>
          <w:kern w:val="0"/>
          <w:sz w:val="24"/>
          <w:szCs w:val="32"/>
          <w:u w:val="single" w:color="auto"/>
        </w:rPr>
        <w:t>。</w:t>
      </w:r>
    </w:p>
    <w:p w14:paraId="4ED05D8F">
      <w:pPr>
        <w:autoSpaceDE w:val="0"/>
        <w:autoSpaceDN w:val="0"/>
        <w:snapToGrid w:val="0"/>
        <w:spacing w:before="312" w:beforeLines="100" w:line="360" w:lineRule="auto"/>
        <w:jc w:val="left"/>
        <w:outlineLvl w:val="1"/>
        <w:rPr>
          <w:rFonts w:ascii="Times New Roman" w:hAnsi="Times New Roman" w:eastAsia="宋体" w:cs="Times New Roman"/>
          <w:b/>
          <w:color w:val="auto"/>
          <w:kern w:val="0"/>
          <w:sz w:val="32"/>
          <w:szCs w:val="32"/>
          <w:u w:val="none" w:color="auto"/>
        </w:rPr>
      </w:pPr>
      <w:bookmarkStart w:id="166" w:name="_Toc1121"/>
      <w:r>
        <w:rPr>
          <w:rFonts w:hint="eastAsia" w:ascii="Times New Roman" w:hAnsi="Times New Roman" w:eastAsia="宋体" w:cs="Times New Roman"/>
          <w:b/>
          <w:color w:val="auto"/>
          <w:kern w:val="0"/>
          <w:sz w:val="32"/>
          <w:szCs w:val="32"/>
          <w:u w:val="none" w:color="auto"/>
        </w:rPr>
        <w:t>2</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5</w:t>
      </w:r>
      <w:r>
        <w:rPr>
          <w:rFonts w:hint="eastAsia" w:ascii="Times New Roman" w:hAnsi="Times New Roman" w:eastAsia="宋体" w:cs="Times New Roman"/>
          <w:b/>
          <w:color w:val="auto"/>
          <w:kern w:val="0"/>
          <w:sz w:val="32"/>
          <w:szCs w:val="32"/>
          <w:u w:val="none" w:color="auto"/>
        </w:rPr>
        <w:t>交通运输移动源调查</w:t>
      </w:r>
      <w:bookmarkEnd w:id="166"/>
    </w:p>
    <w:p w14:paraId="1978FC73">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项目运输过程会产生车辆废气CO、NO</w:t>
      </w:r>
      <w:r>
        <w:rPr>
          <w:rFonts w:ascii="Times New Roman" w:hAnsi="Times New Roman" w:eastAsia="宋体" w:cs="Times New Roman"/>
          <w:color w:val="auto"/>
          <w:kern w:val="0"/>
          <w:sz w:val="24"/>
          <w:szCs w:val="20"/>
          <w:u w:val="none" w:color="auto"/>
          <w:vertAlign w:val="subscript"/>
        </w:rPr>
        <w:t>X</w:t>
      </w:r>
      <w:r>
        <w:rPr>
          <w:rFonts w:ascii="Times New Roman" w:hAnsi="Times New Roman" w:eastAsia="宋体" w:cs="Times New Roman"/>
          <w:color w:val="auto"/>
          <w:kern w:val="0"/>
          <w:sz w:val="24"/>
          <w:szCs w:val="20"/>
          <w:u w:val="none" w:color="auto"/>
        </w:rPr>
        <w:t>，目前车辆废气排放按照国六标准执行，项目原辅材料货车运输时以桶、钢瓶、编织袋包装，故运输过程中产生的废气主要为运输车辆燃烧0#柴油产生的废气，主要污染因子为一氧化碳(CO)、氮氧化合物(NO</w:t>
      </w:r>
      <w:r>
        <w:rPr>
          <w:rFonts w:ascii="Times New Roman" w:hAnsi="Times New Roman" w:eastAsia="宋体" w:cs="Times New Roman"/>
          <w:color w:val="auto"/>
          <w:kern w:val="0"/>
          <w:sz w:val="24"/>
          <w:szCs w:val="20"/>
          <w:u w:val="none" w:color="auto"/>
          <w:vertAlign w:val="subscript"/>
        </w:rPr>
        <w:t>X</w:t>
      </w:r>
      <w:r>
        <w:rPr>
          <w:rFonts w:ascii="Times New Roman" w:hAnsi="Times New Roman" w:eastAsia="宋体" w:cs="Times New Roman"/>
          <w:color w:val="auto"/>
          <w:kern w:val="0"/>
          <w:sz w:val="24"/>
          <w:szCs w:val="20"/>
          <w:u w:val="none" w:color="auto"/>
        </w:rPr>
        <w:t>)。项目运输车辆均为大型车，项目主要服务于本地并兼顾周边地区，本项目所需原辅料主要为</w:t>
      </w:r>
      <w:r>
        <w:rPr>
          <w:rFonts w:hint="eastAsia" w:ascii="Times New Roman" w:hAnsi="Times New Roman" w:eastAsia="宋体" w:cs="Times New Roman"/>
          <w:color w:val="auto"/>
          <w:kern w:val="0"/>
          <w:sz w:val="24"/>
          <w:szCs w:val="20"/>
          <w:u w:val="none" w:color="auto"/>
        </w:rPr>
        <w:t>钢材、法兰、焊条、丙烷气体、油漆</w:t>
      </w:r>
      <w:r>
        <w:rPr>
          <w:rFonts w:ascii="Times New Roman" w:hAnsi="Times New Roman" w:eastAsia="宋体" w:cs="Times New Roman"/>
          <w:color w:val="auto"/>
          <w:kern w:val="0"/>
          <w:sz w:val="24"/>
          <w:szCs w:val="20"/>
          <w:u w:val="none" w:color="auto"/>
        </w:rPr>
        <w:t>等，主要来自于</w:t>
      </w:r>
      <w:r>
        <w:rPr>
          <w:rFonts w:hint="eastAsia" w:ascii="Times New Roman" w:hAnsi="Times New Roman" w:eastAsia="宋体" w:cs="Times New Roman"/>
          <w:color w:val="auto"/>
          <w:kern w:val="0"/>
          <w:sz w:val="24"/>
          <w:szCs w:val="20"/>
          <w:u w:val="none" w:color="auto"/>
        </w:rPr>
        <w:t>钦州港区</w:t>
      </w:r>
      <w:r>
        <w:rPr>
          <w:rFonts w:ascii="Times New Roman" w:hAnsi="Times New Roman" w:eastAsia="宋体" w:cs="Times New Roman"/>
          <w:color w:val="auto"/>
          <w:kern w:val="0"/>
          <w:sz w:val="24"/>
          <w:szCs w:val="20"/>
          <w:u w:val="none" w:color="auto"/>
        </w:rPr>
        <w:t>内，运输方式主要为公路运输，由货车从</w:t>
      </w:r>
      <w:r>
        <w:rPr>
          <w:rFonts w:hint="eastAsia" w:ascii="Times New Roman" w:hAnsi="Times New Roman" w:eastAsia="宋体" w:cs="Times New Roman"/>
          <w:color w:val="auto"/>
          <w:kern w:val="0"/>
          <w:sz w:val="24"/>
          <w:szCs w:val="20"/>
          <w:u w:val="none" w:color="auto"/>
        </w:rPr>
        <w:t>原辅料销售地</w:t>
      </w:r>
      <w:r>
        <w:rPr>
          <w:rFonts w:ascii="Times New Roman" w:hAnsi="Times New Roman" w:eastAsia="宋体" w:cs="Times New Roman"/>
          <w:color w:val="auto"/>
          <w:kern w:val="0"/>
          <w:sz w:val="24"/>
          <w:szCs w:val="20"/>
          <w:u w:val="none" w:color="auto"/>
        </w:rPr>
        <w:t>运输至厂区内</w:t>
      </w:r>
      <w:r>
        <w:rPr>
          <w:rFonts w:hint="eastAsia" w:ascii="Times New Roman" w:hAnsi="Times New Roman" w:eastAsia="宋体" w:cs="Times New Roman"/>
          <w:color w:val="auto"/>
          <w:kern w:val="0"/>
          <w:sz w:val="24"/>
          <w:szCs w:val="20"/>
          <w:u w:val="none" w:color="auto"/>
        </w:rPr>
        <w:t>，车辆一次往返距离平均为10km，单车装载量为20t，总运输量约为20.6万t/a，则年总运输距离为20.6万km。则CO年产生量约为0.923t/a，NO</w:t>
      </w:r>
      <w:r>
        <w:rPr>
          <w:rFonts w:hint="eastAsia" w:ascii="Times New Roman" w:hAnsi="Times New Roman" w:eastAsia="宋体" w:cs="Times New Roman"/>
          <w:color w:val="auto"/>
          <w:kern w:val="0"/>
          <w:sz w:val="24"/>
          <w:szCs w:val="20"/>
          <w:u w:val="none" w:color="auto"/>
          <w:vertAlign w:val="subscript"/>
        </w:rPr>
        <w:t>X</w:t>
      </w:r>
      <w:r>
        <w:rPr>
          <w:rFonts w:hint="eastAsia" w:ascii="Times New Roman" w:hAnsi="Times New Roman" w:eastAsia="宋体" w:cs="Times New Roman"/>
          <w:color w:val="auto"/>
          <w:kern w:val="0"/>
          <w:sz w:val="24"/>
          <w:szCs w:val="20"/>
          <w:u w:val="none" w:color="auto"/>
        </w:rPr>
        <w:t>年产生量约为0.369t/a（大型车平均车速为60km/h，CO、NO</w:t>
      </w:r>
      <w:r>
        <w:rPr>
          <w:rFonts w:hint="eastAsia" w:ascii="Times New Roman" w:hAnsi="Times New Roman" w:eastAsia="宋体" w:cs="Times New Roman"/>
          <w:color w:val="auto"/>
          <w:kern w:val="0"/>
          <w:sz w:val="24"/>
          <w:szCs w:val="20"/>
          <w:u w:val="none" w:color="auto"/>
          <w:vertAlign w:val="subscript"/>
        </w:rPr>
        <w:t>X</w:t>
      </w:r>
      <w:r>
        <w:rPr>
          <w:rFonts w:hint="eastAsia" w:ascii="Times New Roman" w:hAnsi="Times New Roman" w:eastAsia="宋体" w:cs="Times New Roman"/>
          <w:color w:val="auto"/>
          <w:kern w:val="0"/>
          <w:sz w:val="24"/>
          <w:szCs w:val="20"/>
          <w:u w:val="none" w:color="auto"/>
        </w:rPr>
        <w:t>产生系数分别为4.48、1.79g/km辆）。项目运营期间车辆产生废气在运输过程易扩散，影响较小。</w:t>
      </w:r>
    </w:p>
    <w:p w14:paraId="4C7EB3F1">
      <w:pPr>
        <w:pStyle w:val="59"/>
        <w:rPr>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28546EF">
      <w:pPr>
        <w:pStyle w:val="2"/>
        <w:bidi w:val="0"/>
        <w:ind w:left="432" w:leftChars="0" w:hanging="432" w:firstLineChars="0"/>
        <w:rPr>
          <w:color w:val="auto"/>
          <w:u w:val="none" w:color="auto"/>
        </w:rPr>
      </w:pPr>
      <w:bookmarkStart w:id="167" w:name="_Toc3728189"/>
      <w:bookmarkStart w:id="168" w:name="_Toc5343"/>
      <w:r>
        <w:rPr>
          <w:color w:val="auto"/>
          <w:u w:val="none" w:color="auto"/>
        </w:rPr>
        <w:t>环境质量现状调查与评价</w:t>
      </w:r>
      <w:bookmarkEnd w:id="167"/>
      <w:bookmarkEnd w:id="168"/>
    </w:p>
    <w:p w14:paraId="066466BE">
      <w:pPr>
        <w:pStyle w:val="3"/>
        <w:bidi w:val="0"/>
        <w:ind w:left="0" w:leftChars="0" w:firstLine="0" w:firstLineChars="0"/>
        <w:rPr>
          <w:color w:val="auto"/>
          <w:u w:val="none" w:color="auto"/>
        </w:rPr>
      </w:pPr>
      <w:bookmarkStart w:id="169" w:name="_Toc4532"/>
      <w:bookmarkStart w:id="170" w:name="_Toc3728190"/>
      <w:r>
        <w:rPr>
          <w:color w:val="auto"/>
          <w:u w:val="none" w:color="auto"/>
        </w:rPr>
        <w:t>自然环境概况</w:t>
      </w:r>
      <w:bookmarkEnd w:id="169"/>
      <w:bookmarkEnd w:id="170"/>
    </w:p>
    <w:p w14:paraId="7D5340C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71" w:name="_Toc3728191"/>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.1.1地理位置</w:t>
      </w:r>
      <w:bookmarkEnd w:id="171"/>
    </w:p>
    <w:p w14:paraId="19E2227B">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钦州市位于广西壮族自治区南部沿海，濒临北部湾，东与合浦、玉林相连，西与防城、上思接壤，北与邕宁毗邻，南临北部湾陆地总面积10843km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，海岸线长520.8km,地理坐标为东经108°10′55″～109°09′12″，北纬 21°34′52″～22°28′01″。钦州</w:t>
      </w:r>
      <w:r>
        <w:rPr>
          <w:rFonts w:hint="eastAsia" w:ascii="Times New Roman" w:hAnsi="Times New Roman" w:eastAsia="宋体" w:cs="Times New Roman"/>
          <w:color w:val="auto"/>
          <w:sz w:val="24"/>
          <w:u w:val="none" w:color="auto"/>
          <w:lang w:eastAsia="zh-CN"/>
        </w:rPr>
        <w:t>是</w:t>
      </w:r>
      <w:r>
        <w:rPr>
          <w:rFonts w:ascii="Times New Roman" w:hAnsi="Times New Roman" w:eastAsia="宋体" w:cs="Times New Roman"/>
          <w:color w:val="auto"/>
          <w:sz w:val="24"/>
          <w:u w:val="none" w:color="auto"/>
        </w:rPr>
        <w:t>广西的沿海开放城市之一，也是广西区首府南宁通往北海、防城港的必经之道。钦州城区离南宁市119km，距北海市100km，距防城港市65km。市区规划面积258km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，已建成面积32km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，占规划面积的10.4%。</w:t>
      </w:r>
    </w:p>
    <w:p w14:paraId="5D323B9E">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钦州港位于我国南部沿海，处在北部湾的顶部、钦州湾的中部，三面环陆，一面向海，具有良好的天然深水水域和广阔的陆域，是我国西南海岸线的天然深水良港，是“南北钦防”环钦州湾沿海地区的中心枢纽和该区域“人”字型生产力布局的腰椎，其背靠大西南、面向东南亚，地理位置十分优越，是我国大西南最便捷的出海通道之一。 </w:t>
      </w:r>
    </w:p>
    <w:p w14:paraId="4B971AE7">
      <w:pPr>
        <w:autoSpaceDE w:val="0"/>
        <w:autoSpaceDN w:val="0"/>
        <w:spacing w:line="360" w:lineRule="auto"/>
        <w:ind w:firstLine="480" w:firstLineChars="200"/>
        <w:jc w:val="left"/>
        <w:rPr>
          <w:b/>
          <w:bCs/>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color w:val="auto"/>
          <w:kern w:val="0"/>
          <w:sz w:val="24"/>
          <w:szCs w:val="24"/>
          <w:u w:val="none" w:color="auto"/>
        </w:rPr>
        <w:t>本项目位于钦州港大榄坪港区作业区，具体位置见</w:t>
      </w:r>
      <w:r>
        <w:rPr>
          <w:rFonts w:hint="eastAsia" w:ascii="Times New Roman" w:hAnsi="Times New Roman" w:eastAsia="宋体" w:cs="Times New Roman"/>
          <w:color w:val="auto"/>
          <w:kern w:val="0"/>
          <w:sz w:val="24"/>
          <w:szCs w:val="24"/>
          <w:u w:val="none" w:color="auto"/>
        </w:rPr>
        <w:t>附图1</w:t>
      </w:r>
      <w:r>
        <w:rPr>
          <w:rFonts w:ascii="Times New Roman" w:hAnsi="Times New Roman" w:eastAsia="宋体" w:cs="Times New Roman"/>
          <w:color w:val="auto"/>
          <w:kern w:val="0"/>
          <w:sz w:val="24"/>
          <w:szCs w:val="24"/>
          <w:u w:val="none" w:color="auto"/>
        </w:rPr>
        <w:t>。</w:t>
      </w:r>
    </w:p>
    <w:p w14:paraId="12C5B846">
      <w:pPr>
        <w:widowControl/>
        <w:autoSpaceDE w:val="0"/>
        <w:autoSpaceDN w:val="0"/>
        <w:jc w:val="left"/>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1.2地形地貌</w:t>
      </w:r>
      <w:r>
        <w:rPr>
          <w:rFonts w:hint="eastAsia" w:ascii="Times New Roman" w:hAnsi="Times New Roman" w:eastAsia="宋体" w:cs="Times New Roman"/>
          <w:b/>
          <w:color w:val="auto"/>
          <w:kern w:val="0"/>
          <w:sz w:val="28"/>
          <w:szCs w:val="20"/>
          <w:u w:val="none" w:color="auto"/>
        </w:rPr>
        <w:t>及海湾</w:t>
      </w:r>
    </w:p>
    <w:p w14:paraId="77A6CEF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钦州湾湾口朝南，东、北、西三面丘陵环抱，是一个半封闭的天然海湾。该湾由内湾（茅尾海）、龙门水道和外湾（狭义的钦州湾）构成，其特点是，中间狭窄、两端宽阔。 钦州湾口门宽25km，纵深39km，自南向北逐渐减小，在北纬 21°42′～21°48′自西向东发育成龙门港～茅尾海、金鼓江、鹿耳环江等海汊，并以龙门港～茅尾海为主，实为钦州湾的内湾，全湾岸线长336krn。海湾面积约为380km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，其中滩涂面积为200km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。钦州市两条主要江河钦江和茅岭江，分别从东北、西北向汇入茅尾海。整个海湾呈低山丘陵、 微斜平原及海漫滩地貌。钦州湾由于受地质构造影响以及海水长期浸蚀，基本上没有大片宽阔平坦陆域，湾内大多为砂砾质岩岸。从青菜头至亚公山一带（即内湾南段）礁岛星罗棋布，港汊繁多，蜿蜒曲折，成为典型的台地溺谷。总的来说，该湾段分成东、西两汊，东汊为主，贯通全段，其陆岸为众多弯弯曲曲的小海汊分隔的低丘小岛，从岸线至钦州市约33km，多为低丘地貌，其间除零星散落一些村庄以外， 尚无</w:t>
      </w:r>
      <w:r>
        <w:rPr>
          <w:rFonts w:hint="eastAsia" w:ascii="Times New Roman" w:hAnsi="Times New Roman" w:eastAsia="宋体" w:cs="Times New Roman"/>
          <w:color w:val="auto"/>
          <w:sz w:val="24"/>
          <w:u w:val="none" w:color="auto"/>
          <w:lang w:eastAsia="zh-CN"/>
        </w:rPr>
        <w:t>其他重要</w:t>
      </w:r>
      <w:r>
        <w:rPr>
          <w:rFonts w:ascii="Times New Roman" w:hAnsi="Times New Roman" w:eastAsia="宋体" w:cs="Times New Roman"/>
          <w:color w:val="auto"/>
          <w:sz w:val="24"/>
          <w:u w:val="none" w:color="auto"/>
        </w:rPr>
        <w:t>建筑；西汊为支汊，在湾段以内分汊，较小而短，是现有龙门港之港址所在。其陆岸多为山丘地形，与企沙半岛毗连，岸线附近有龙门乡。</w:t>
      </w:r>
    </w:p>
    <w:p w14:paraId="3FFE4A7A">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亚公山以北即钦州湾内湾北段茅尾海，水域面积达113.4km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，其北部特别在茅岭江和钦江河口附近沉积发育大片泥沙浅滩，低潮时浅滩大部分露出水面，浅滩总面积约占茅尾海湾段面积 80%以上，被两江河口分流了的许多小支汊分割，形成典型的河口拦门沙。</w:t>
      </w:r>
    </w:p>
    <w:p w14:paraId="59E3B641">
      <w:pPr>
        <w:autoSpaceDE w:val="0"/>
        <w:autoSpaceDN w:val="0"/>
        <w:spacing w:line="360" w:lineRule="auto"/>
        <w:jc w:val="left"/>
        <w:rPr>
          <w:rFonts w:ascii="Times New Roman" w:hAnsi="Times New Roman" w:eastAsia="宋体" w:cs="Times New Roman"/>
          <w:b/>
          <w:color w:val="auto"/>
          <w:kern w:val="0"/>
          <w:sz w:val="28"/>
          <w:szCs w:val="20"/>
          <w:u w:val="none" w:color="auto"/>
        </w:rPr>
      </w:pPr>
      <w:bookmarkStart w:id="172" w:name="_Toc3728192"/>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.1.3</w:t>
      </w:r>
      <w:r>
        <w:rPr>
          <w:rFonts w:hint="eastAsia" w:ascii="Times New Roman" w:hAnsi="Times New Roman" w:eastAsia="宋体" w:cs="Times New Roman"/>
          <w:b/>
          <w:color w:val="auto"/>
          <w:kern w:val="0"/>
          <w:sz w:val="28"/>
          <w:szCs w:val="20"/>
          <w:u w:val="none" w:color="auto"/>
        </w:rPr>
        <w:t>地质概况</w:t>
      </w:r>
    </w:p>
    <w:p w14:paraId="6B9332E5">
      <w:pPr>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1、地层岩性</w:t>
      </w:r>
    </w:p>
    <w:p w14:paraId="068B28EE">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钦州市主要地层有：下志留统连滩群第二组（S1lnb）、下志留统连滩群第三组（S1lnc）、下志留统连滩群第四组（S1lnd）、下志留统连滩群第五组（S1lne）、下侏罗统（J1）、中侏罗统（J2）及现代海相沉积（Q4－2m）。岩性由老到新描述如下： </w:t>
      </w:r>
    </w:p>
    <w:p w14:paraId="54D35AA5">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下志留统连滩群第二组（S1lnb）：出露于钦州港石化区北部那丁断裂（18）以西丁屋－大白坟－鸡笼山一带，岩性为中至厚层状细粒岩屑质砂岩、粉砂岩，与薄层状泥质粉砂岩、页岩互层。厚度为2997m。 </w:t>
      </w:r>
    </w:p>
    <w:p w14:paraId="2F5C5A9E">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下志留统连滩群第三组（S1lnc）：出露于钦州港石化区北部、高桥麓－大番坡－白坟岭一带和规划区南部，岩性为中至厚层状细粒岩屑质砂岩为主，夹少量泥质粉砂岩、页岩。厚度为1150－＞1789m。 </w:t>
      </w:r>
    </w:p>
    <w:p w14:paraId="3BC02F8D">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下志留统连滩群第四组（S1lnd）：出露于钦州港石化区东部烟通岭－蚝蜊尾大岭－企山大岭一带，岩性为薄至厚层状细（中细）粒岩屑质砂岩为主，夹较多的泥质粉砂岩、页岩、泥岩。厚度为 1348－＞2231m。 </w:t>
      </w:r>
    </w:p>
    <w:p w14:paraId="2B17EDC1">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下志留统连滩群第五组（S1lne）：出露于钦州港石化区那丁断裂（18）以东中部大窝口－丹寮－水井坑一带，岩性为中至厚层状细（中细）粒岩屑质砂岩夹泥质粉砂岩、粉砂质页岩、页岩及少量石英砂岩。厚度为1837－1993m。 </w:t>
      </w:r>
    </w:p>
    <w:p w14:paraId="1A2B5EB4">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下侏罗统（J1）：出露于南侧鸡墩头及北西大番坡以西一带，岩性底部为厚层至块状石英质砾岩，局部夹炭质页岩；下部为中至厚层状含砾细砂岩、细砂岩、不等粒砂岩夹粉砂质泥岩或互层；上部为中至厚层状含粉砂钙质泥岩，夹少量细砂岩和泥质粉砂岩。厚度271－331m。 </w:t>
      </w:r>
    </w:p>
    <w:p w14:paraId="5BBB145F">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中侏罗统（J2）：出露于南侧鸡墩头及北西大番坡以西一带，岩性为薄至厚层状细粒岩屑质石英砂岩、细－中粒岩屑质长石砂岩、泥质粉砂岩夹粉砂质泥岩、泥岩。厚度为112－522m。 </w:t>
      </w:r>
    </w:p>
    <w:p w14:paraId="7D319874">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现代海相沉积（Q4－2m）：分布于钦州港石化区东部淡水湾、钦州湾一带沿海滩涂，主要为潮间带沉积，岩性为砂质淤泥或淤泥质砂层，厚度为2－5m。 </w:t>
      </w:r>
    </w:p>
    <w:p w14:paraId="0AB9CA2B">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根据调查，下志留统连滩群第二组（S1lnb）～第五组（S1lne）上部残坡积层一般厚2～5m，全风化带一般厚10m以上。侏罗系下统（J1）和中统（J2）上部残坡积层一般厚0～4m，全风化带一般厚5～10m。 </w:t>
      </w:r>
    </w:p>
    <w:p w14:paraId="64B3CF0E">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2、地质构造</w:t>
      </w:r>
    </w:p>
    <w:p w14:paraId="4B69B836">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根据区域地质资料，钦州位于新华夏系第二巨型沉降带</w:t>
      </w:r>
      <w:r>
        <w:rPr>
          <w:rFonts w:hint="eastAsia" w:ascii="Times New Roman" w:hAnsi="Times New Roman" w:eastAsia="宋体" w:cs="Times New Roman"/>
          <w:color w:val="auto"/>
          <w:sz w:val="24"/>
          <w:szCs w:val="24"/>
          <w:u w:val="none" w:color="auto"/>
          <w:lang w:eastAsia="zh-CN"/>
        </w:rPr>
        <w:t>的</w:t>
      </w:r>
      <w:r>
        <w:rPr>
          <w:rFonts w:ascii="Times New Roman" w:hAnsi="Times New Roman" w:eastAsia="宋体" w:cs="Times New Roman"/>
          <w:color w:val="auto"/>
          <w:sz w:val="24"/>
          <w:szCs w:val="24"/>
          <w:u w:val="none" w:color="auto"/>
        </w:rPr>
        <w:t xml:space="preserve">西南端与南岭纬向构造带的复合地带。 </w:t>
      </w:r>
    </w:p>
    <w:p w14:paraId="62D51220">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褶皱构造：分布于那丽－大番坡一带，长76km，宽4－13km，轴向略呈反“S”形东北－西南向展布，次级褶皱发育，呈紧密线状，倾角较陡，局部倒转。其中核部由下志留统连滩群第二组（S1lnb）组成、倾角40－70度，翼部由下志留统连滩群第三组（S1lnc）组成、倾角35－75度。 </w:t>
      </w:r>
    </w:p>
    <w:p w14:paraId="3B0E5EC8">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断裂构造：主要分布有那丁断裂○41，分布于那丽背斜南侧，倾向北、北北西，倾角46－80度，切割S－D1地层，断距5.7－8.4km，属压性逆断层，断裂带岩石挤压破碎、硅化，强烈拖褶，具斜冲擦痕。 </w:t>
      </w:r>
    </w:p>
    <w:p w14:paraId="1E6AE3ED">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3、</w:t>
      </w:r>
      <w:r>
        <w:rPr>
          <w:rFonts w:ascii="Times New Roman" w:hAnsi="Times New Roman" w:eastAsia="宋体" w:cs="Times New Roman"/>
          <w:color w:val="auto"/>
          <w:sz w:val="24"/>
          <w:szCs w:val="24"/>
          <w:u w:val="none" w:color="auto"/>
        </w:rPr>
        <w:t>地震及区域稳定性</w:t>
      </w:r>
    </w:p>
    <w:p w14:paraId="310FACCD">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据区域地质资料，有记载以来，测区范围内发生的3～443级弱震共有11次，自1980年至今，地震仪器记录到发生于本区及附近北部湾海域的地震均属微震及超微震。表明本区的区域稳定性基本良好。 </w:t>
      </w:r>
    </w:p>
    <w:p w14:paraId="2520818E">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根据《中国地震动参数区划图》（GB18306-2001）及《中国地震动参数区划图》（GB18306—2001），本区域被划属VI度基本烈度区，地震动峰值加速度系数为0.05g，地震动反映谱特征周期为0.35g，区域地壳稳定性较好。</w:t>
      </w:r>
    </w:p>
    <w:p w14:paraId="57022A3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.1.3气候特征</w:t>
      </w:r>
      <w:bookmarkEnd w:id="172"/>
    </w:p>
    <w:p w14:paraId="0AFD44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本工程所在地为钦州湾，属南亚亚热带海洋性季风气候。钦州湾的天气特点是：春季天气多变，多阴雨和强对流天气，偶有春旱；夏季高温多雨，多台风、雷暴；秋季多晴天、少雨，秋旱时有发生；冬季少旱少雨，气温较低。</w:t>
      </w:r>
    </w:p>
    <w:p w14:paraId="63A7E9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根据钦州市气象站近20年气候资料，项目所在区域的气象条件特征值如表</w:t>
      </w:r>
      <w:r>
        <w:rPr>
          <w:rFonts w:hint="eastAsia" w:ascii="Times New Roman" w:hAnsi="Times New Roman" w:eastAsia="宋体" w:cs="Times New Roman"/>
          <w:color w:val="auto"/>
          <w:sz w:val="24"/>
          <w:szCs w:val="24"/>
          <w:highlight w:val="none"/>
          <w:u w:val="single" w:color="auto"/>
          <w:lang w:val="en-US" w:eastAsia="zh-CN"/>
        </w:rPr>
        <w:t>3</w:t>
      </w:r>
      <w:r>
        <w:rPr>
          <w:rFonts w:hint="eastAsia" w:ascii="Times New Roman" w:hAnsi="Times New Roman" w:eastAsia="宋体" w:cs="Times New Roman"/>
          <w:color w:val="auto"/>
          <w:sz w:val="24"/>
          <w:szCs w:val="24"/>
          <w:highlight w:val="none"/>
          <w:u w:val="single" w:color="auto"/>
        </w:rPr>
        <w:t>.1-1。</w:t>
      </w:r>
    </w:p>
    <w:p w14:paraId="26A36F36">
      <w:pPr>
        <w:adjustRightInd w:val="0"/>
        <w:snapToGrid w:val="0"/>
        <w:jc w:val="center"/>
        <w:rPr>
          <w:rFonts w:ascii="Times New Roman" w:hAnsi="Times New Roman" w:cs="Times New Roman"/>
          <w:b/>
          <w:bCs/>
          <w:color w:val="auto"/>
          <w:sz w:val="24"/>
          <w:szCs w:val="24"/>
          <w:u w:val="none" w:color="auto"/>
        </w:rPr>
      </w:pPr>
      <w:r>
        <w:rPr>
          <w:rFonts w:hint="eastAsia" w:ascii="Times New Roman" w:hAnsi="Times New Roman" w:cs="Times New Roman"/>
          <w:b/>
          <w:bCs/>
          <w:color w:val="auto"/>
          <w:sz w:val="24"/>
          <w:szCs w:val="24"/>
          <w:u w:val="none" w:color="auto"/>
        </w:rPr>
        <w:t>表</w:t>
      </w:r>
      <w:r>
        <w:rPr>
          <w:rFonts w:hint="eastAsia" w:ascii="Times New Roman" w:hAnsi="Times New Roman" w:cs="Times New Roman"/>
          <w:b/>
          <w:bCs/>
          <w:color w:val="auto"/>
          <w:sz w:val="24"/>
          <w:szCs w:val="24"/>
          <w:u w:val="none" w:color="auto"/>
          <w:lang w:val="en-US" w:eastAsia="zh-CN"/>
        </w:rPr>
        <w:t>3</w:t>
      </w:r>
      <w:r>
        <w:rPr>
          <w:rFonts w:hint="eastAsia" w:ascii="Times New Roman" w:hAnsi="Times New Roman" w:cs="Times New Roman"/>
          <w:b/>
          <w:bCs/>
          <w:color w:val="auto"/>
          <w:sz w:val="24"/>
          <w:szCs w:val="24"/>
          <w:u w:val="none" w:color="auto"/>
        </w:rPr>
        <w:t>.1-1 气象条件特征值（钦州市气象站200</w:t>
      </w:r>
      <w:r>
        <w:rPr>
          <w:rFonts w:hint="eastAsia" w:ascii="Times New Roman" w:hAnsi="Times New Roman" w:cs="Times New Roman"/>
          <w:b/>
          <w:bCs/>
          <w:color w:val="auto"/>
          <w:sz w:val="24"/>
          <w:szCs w:val="24"/>
          <w:u w:val="none" w:color="auto"/>
          <w:lang w:val="en-US" w:eastAsia="zh-CN"/>
        </w:rPr>
        <w:t>4</w:t>
      </w:r>
      <w:r>
        <w:rPr>
          <w:rFonts w:hint="eastAsia" w:ascii="Times New Roman" w:hAnsi="Times New Roman" w:cs="Times New Roman"/>
          <w:b/>
          <w:bCs/>
          <w:color w:val="auto"/>
          <w:sz w:val="24"/>
          <w:szCs w:val="24"/>
          <w:u w:val="none" w:color="auto"/>
        </w:rPr>
        <w:t>~20</w:t>
      </w:r>
      <w:r>
        <w:rPr>
          <w:rFonts w:hint="eastAsia" w:ascii="Times New Roman" w:hAnsi="Times New Roman" w:cs="Times New Roman"/>
          <w:b/>
          <w:bCs/>
          <w:color w:val="auto"/>
          <w:sz w:val="24"/>
          <w:szCs w:val="24"/>
          <w:u w:val="none" w:color="auto"/>
          <w:lang w:val="en-US" w:eastAsia="zh-CN"/>
        </w:rPr>
        <w:t>23</w:t>
      </w:r>
      <w:r>
        <w:rPr>
          <w:rFonts w:hint="eastAsia" w:ascii="Times New Roman" w:hAnsi="Times New Roman" w:cs="Times New Roman"/>
          <w:b/>
          <w:bCs/>
          <w:color w:val="auto"/>
          <w:sz w:val="24"/>
          <w:szCs w:val="24"/>
          <w:u w:val="none" w:color="auto"/>
        </w:rPr>
        <w:t>年）</w:t>
      </w:r>
    </w:p>
    <w:tbl>
      <w:tblPr>
        <w:tblStyle w:val="37"/>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3619"/>
        <w:gridCol w:w="3731"/>
      </w:tblGrid>
      <w:tr w14:paraId="79844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tcBorders>
              <w:tl2br w:val="nil"/>
              <w:tr2bl w:val="nil"/>
            </w:tcBorders>
            <w:noWrap/>
            <w:vAlign w:val="center"/>
          </w:tcPr>
          <w:p w14:paraId="06CC42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u w:val="single" w:color="auto"/>
              </w:rPr>
            </w:pPr>
            <w:r>
              <w:rPr>
                <w:rFonts w:hint="default" w:ascii="Times New Roman" w:hAnsi="Times New Roman" w:eastAsia="宋体" w:cs="Times New Roman"/>
                <w:b/>
                <w:bCs/>
                <w:color w:val="auto"/>
                <w:kern w:val="0"/>
                <w:sz w:val="21"/>
                <w:szCs w:val="21"/>
                <w:highlight w:val="none"/>
                <w:u w:val="single" w:color="auto"/>
                <w:lang w:bidi="ar"/>
              </w:rPr>
              <w:t>气象条件</w:t>
            </w:r>
          </w:p>
        </w:tc>
        <w:tc>
          <w:tcPr>
            <w:tcW w:w="3619" w:type="dxa"/>
            <w:tcBorders>
              <w:tl2br w:val="nil"/>
              <w:tr2bl w:val="nil"/>
            </w:tcBorders>
            <w:noWrap/>
            <w:vAlign w:val="center"/>
          </w:tcPr>
          <w:p w14:paraId="56E81A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u w:val="single" w:color="auto"/>
              </w:rPr>
            </w:pPr>
            <w:r>
              <w:rPr>
                <w:rFonts w:hint="default" w:ascii="Times New Roman" w:hAnsi="Times New Roman" w:eastAsia="宋体" w:cs="Times New Roman"/>
                <w:b/>
                <w:bCs/>
                <w:color w:val="auto"/>
                <w:kern w:val="0"/>
                <w:sz w:val="21"/>
                <w:szCs w:val="21"/>
                <w:highlight w:val="none"/>
                <w:u w:val="single" w:color="auto"/>
                <w:lang w:bidi="ar"/>
              </w:rPr>
              <w:t>特征值</w:t>
            </w:r>
          </w:p>
        </w:tc>
        <w:tc>
          <w:tcPr>
            <w:tcW w:w="3731" w:type="dxa"/>
            <w:tcBorders>
              <w:tl2br w:val="nil"/>
              <w:tr2bl w:val="nil"/>
            </w:tcBorders>
            <w:noWrap/>
            <w:vAlign w:val="center"/>
          </w:tcPr>
          <w:p w14:paraId="1E4050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u w:val="single" w:color="auto"/>
              </w:rPr>
            </w:pPr>
            <w:r>
              <w:rPr>
                <w:rFonts w:hint="default" w:ascii="Times New Roman" w:hAnsi="Times New Roman" w:eastAsia="宋体" w:cs="Times New Roman"/>
                <w:b/>
                <w:bCs/>
                <w:color w:val="auto"/>
                <w:kern w:val="0"/>
                <w:sz w:val="21"/>
                <w:szCs w:val="21"/>
                <w:highlight w:val="none"/>
                <w:u w:val="single" w:color="auto"/>
                <w:lang w:bidi="ar"/>
              </w:rPr>
              <w:t>统计数据</w:t>
            </w:r>
          </w:p>
        </w:tc>
      </w:tr>
      <w:tr w14:paraId="5F385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restart"/>
            <w:tcBorders>
              <w:tl2br w:val="nil"/>
              <w:tr2bl w:val="nil"/>
            </w:tcBorders>
            <w:noWrap/>
            <w:vAlign w:val="center"/>
          </w:tcPr>
          <w:p w14:paraId="2F17C6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气温</w:t>
            </w:r>
          </w:p>
        </w:tc>
        <w:tc>
          <w:tcPr>
            <w:tcW w:w="3619" w:type="dxa"/>
            <w:tcBorders>
              <w:tl2br w:val="nil"/>
              <w:tr2bl w:val="nil"/>
            </w:tcBorders>
            <w:noWrap/>
            <w:vAlign w:val="center"/>
          </w:tcPr>
          <w:p w14:paraId="617132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全年平均气温</w:t>
            </w:r>
          </w:p>
        </w:tc>
        <w:tc>
          <w:tcPr>
            <w:tcW w:w="3731" w:type="dxa"/>
            <w:tcBorders>
              <w:tl2br w:val="nil"/>
              <w:tr2bl w:val="nil"/>
            </w:tcBorders>
            <w:noWrap/>
            <w:vAlign w:val="center"/>
          </w:tcPr>
          <w:p w14:paraId="23E7BFC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22.9℃</w:t>
            </w:r>
          </w:p>
        </w:tc>
      </w:tr>
      <w:tr w14:paraId="1718C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70C0B5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338947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极端最高气温及出现时间</w:t>
            </w:r>
          </w:p>
        </w:tc>
        <w:tc>
          <w:tcPr>
            <w:tcW w:w="3731" w:type="dxa"/>
            <w:tcBorders>
              <w:tl2br w:val="nil"/>
              <w:tr2bl w:val="nil"/>
            </w:tcBorders>
            <w:noWrap/>
            <w:vAlign w:val="center"/>
          </w:tcPr>
          <w:p w14:paraId="5AE8F8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37.9℃（出现时间：2005.7.19）</w:t>
            </w:r>
          </w:p>
        </w:tc>
      </w:tr>
      <w:tr w14:paraId="1EE99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4C3120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098B10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极端最低气温及出现时间</w:t>
            </w:r>
          </w:p>
        </w:tc>
        <w:tc>
          <w:tcPr>
            <w:tcW w:w="3731" w:type="dxa"/>
            <w:tcBorders>
              <w:tl2br w:val="nil"/>
              <w:tr2bl w:val="nil"/>
            </w:tcBorders>
            <w:noWrap/>
            <w:vAlign w:val="center"/>
          </w:tcPr>
          <w:p w14:paraId="0743C3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1.6℃（出现时间：2016.1.24）</w:t>
            </w:r>
          </w:p>
        </w:tc>
      </w:tr>
      <w:tr w14:paraId="628BB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79FCC04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7F9376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多年平均最高温</w:t>
            </w:r>
          </w:p>
        </w:tc>
        <w:tc>
          <w:tcPr>
            <w:tcW w:w="3731" w:type="dxa"/>
            <w:tcBorders>
              <w:tl2br w:val="nil"/>
              <w:tr2bl w:val="nil"/>
            </w:tcBorders>
            <w:noWrap/>
            <w:vAlign w:val="center"/>
          </w:tcPr>
          <w:p w14:paraId="3A3E66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37</w:t>
            </w:r>
            <w:r>
              <w:rPr>
                <w:rFonts w:hint="default" w:ascii="Times New Roman" w:hAnsi="Times New Roman" w:eastAsia="宋体" w:cs="Times New Roman"/>
                <w:color w:val="auto"/>
                <w:kern w:val="0"/>
                <w:sz w:val="21"/>
                <w:szCs w:val="21"/>
                <w:highlight w:val="none"/>
                <w:u w:val="single" w:color="auto"/>
                <w:lang w:bidi="ar"/>
              </w:rPr>
              <w:t>℃</w:t>
            </w:r>
          </w:p>
        </w:tc>
      </w:tr>
      <w:tr w14:paraId="2C99C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3E71E9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445325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多年平均最低温</w:t>
            </w:r>
          </w:p>
        </w:tc>
        <w:tc>
          <w:tcPr>
            <w:tcW w:w="3731" w:type="dxa"/>
            <w:tcBorders>
              <w:tl2br w:val="nil"/>
              <w:tr2bl w:val="nil"/>
            </w:tcBorders>
            <w:noWrap/>
            <w:vAlign w:val="center"/>
          </w:tcPr>
          <w:p w14:paraId="41285A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5.</w:t>
            </w:r>
            <w:r>
              <w:rPr>
                <w:rFonts w:hint="eastAsia" w:ascii="Times New Roman" w:hAnsi="Times New Roman" w:eastAsia="宋体" w:cs="Times New Roman"/>
                <w:color w:val="auto"/>
                <w:kern w:val="0"/>
                <w:sz w:val="21"/>
                <w:szCs w:val="21"/>
                <w:highlight w:val="none"/>
                <w:u w:val="single" w:color="auto"/>
                <w:lang w:val="en-US" w:eastAsia="zh-CN" w:bidi="ar"/>
              </w:rPr>
              <w:t>2</w:t>
            </w:r>
            <w:r>
              <w:rPr>
                <w:rFonts w:hint="default" w:ascii="Times New Roman" w:hAnsi="Times New Roman" w:eastAsia="宋体" w:cs="Times New Roman"/>
                <w:color w:val="auto"/>
                <w:kern w:val="0"/>
                <w:sz w:val="21"/>
                <w:szCs w:val="21"/>
                <w:highlight w:val="none"/>
                <w:u w:val="single" w:color="auto"/>
                <w:lang w:bidi="ar"/>
              </w:rPr>
              <w:t>℃</w:t>
            </w:r>
          </w:p>
        </w:tc>
      </w:tr>
      <w:tr w14:paraId="4AB7F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tcBorders>
              <w:tl2br w:val="nil"/>
              <w:tr2bl w:val="nil"/>
            </w:tcBorders>
            <w:noWrap/>
            <w:vAlign w:val="center"/>
          </w:tcPr>
          <w:p w14:paraId="19A266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气压</w:t>
            </w:r>
          </w:p>
        </w:tc>
        <w:tc>
          <w:tcPr>
            <w:tcW w:w="3619" w:type="dxa"/>
            <w:tcBorders>
              <w:tl2br w:val="nil"/>
              <w:tr2bl w:val="nil"/>
            </w:tcBorders>
            <w:noWrap/>
            <w:vAlign w:val="center"/>
          </w:tcPr>
          <w:p w14:paraId="4FD1B6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平均大气压</w:t>
            </w:r>
          </w:p>
        </w:tc>
        <w:tc>
          <w:tcPr>
            <w:tcW w:w="3731" w:type="dxa"/>
            <w:tcBorders>
              <w:tl2br w:val="nil"/>
              <w:tr2bl w:val="nil"/>
            </w:tcBorders>
            <w:noWrap/>
            <w:vAlign w:val="center"/>
          </w:tcPr>
          <w:p w14:paraId="0C4496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1009.5</w:t>
            </w:r>
            <w:r>
              <w:rPr>
                <w:rFonts w:hint="default" w:ascii="Times New Roman" w:hAnsi="Times New Roman" w:eastAsia="宋体" w:cs="Times New Roman"/>
                <w:color w:val="auto"/>
                <w:kern w:val="0"/>
                <w:sz w:val="21"/>
                <w:szCs w:val="21"/>
                <w:highlight w:val="none"/>
                <w:u w:val="single" w:color="auto"/>
                <w:lang w:bidi="ar"/>
              </w:rPr>
              <w:t>hpa</w:t>
            </w:r>
          </w:p>
        </w:tc>
      </w:tr>
      <w:tr w14:paraId="24FC6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tcBorders>
              <w:tl2br w:val="nil"/>
              <w:tr2bl w:val="nil"/>
            </w:tcBorders>
            <w:noWrap/>
            <w:vAlign w:val="center"/>
          </w:tcPr>
          <w:p w14:paraId="4E3D1E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空气湿度</w:t>
            </w:r>
          </w:p>
        </w:tc>
        <w:tc>
          <w:tcPr>
            <w:tcW w:w="3619" w:type="dxa"/>
            <w:tcBorders>
              <w:tl2br w:val="nil"/>
              <w:tr2bl w:val="nil"/>
            </w:tcBorders>
            <w:noWrap/>
            <w:vAlign w:val="center"/>
          </w:tcPr>
          <w:p w14:paraId="1853B8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年平均相对湿度</w:t>
            </w:r>
          </w:p>
        </w:tc>
        <w:tc>
          <w:tcPr>
            <w:tcW w:w="3731" w:type="dxa"/>
            <w:tcBorders>
              <w:tl2br w:val="nil"/>
              <w:tr2bl w:val="nil"/>
            </w:tcBorders>
            <w:noWrap/>
            <w:vAlign w:val="center"/>
          </w:tcPr>
          <w:p w14:paraId="5965DB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79.0</w:t>
            </w:r>
            <w:r>
              <w:rPr>
                <w:rFonts w:hint="default" w:ascii="Times New Roman" w:hAnsi="Times New Roman" w:eastAsia="宋体" w:cs="Times New Roman"/>
                <w:color w:val="auto"/>
                <w:kern w:val="0"/>
                <w:sz w:val="21"/>
                <w:szCs w:val="21"/>
                <w:highlight w:val="none"/>
                <w:u w:val="single" w:color="auto"/>
                <w:lang w:bidi="ar"/>
              </w:rPr>
              <w:t>%</w:t>
            </w:r>
          </w:p>
        </w:tc>
      </w:tr>
      <w:tr w14:paraId="5D353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restart"/>
            <w:tcBorders>
              <w:tl2br w:val="nil"/>
              <w:tr2bl w:val="nil"/>
            </w:tcBorders>
            <w:noWrap/>
            <w:vAlign w:val="center"/>
          </w:tcPr>
          <w:p w14:paraId="3E466D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降雨量</w:t>
            </w:r>
          </w:p>
        </w:tc>
        <w:tc>
          <w:tcPr>
            <w:tcW w:w="3619" w:type="dxa"/>
            <w:tcBorders>
              <w:tl2br w:val="nil"/>
              <w:tr2bl w:val="nil"/>
            </w:tcBorders>
            <w:noWrap/>
            <w:vAlign w:val="center"/>
          </w:tcPr>
          <w:p w14:paraId="349FF4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年平均降雨量</w:t>
            </w:r>
          </w:p>
        </w:tc>
        <w:tc>
          <w:tcPr>
            <w:tcW w:w="3731" w:type="dxa"/>
            <w:tcBorders>
              <w:tl2br w:val="nil"/>
              <w:tr2bl w:val="nil"/>
            </w:tcBorders>
            <w:noWrap/>
            <w:vAlign w:val="center"/>
          </w:tcPr>
          <w:p w14:paraId="4D1668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2117.5</w:t>
            </w:r>
            <w:r>
              <w:rPr>
                <w:rFonts w:hint="default" w:ascii="Times New Roman" w:hAnsi="Times New Roman" w:eastAsia="宋体" w:cs="Times New Roman"/>
                <w:color w:val="auto"/>
                <w:kern w:val="0"/>
                <w:sz w:val="21"/>
                <w:szCs w:val="21"/>
                <w:highlight w:val="none"/>
                <w:u w:val="single" w:color="auto"/>
                <w:lang w:bidi="ar"/>
              </w:rPr>
              <w:t>mm</w:t>
            </w:r>
          </w:p>
        </w:tc>
      </w:tr>
      <w:tr w14:paraId="50D78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488534F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333689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最大日降水量</w:t>
            </w:r>
          </w:p>
        </w:tc>
        <w:tc>
          <w:tcPr>
            <w:tcW w:w="3731" w:type="dxa"/>
            <w:tcBorders>
              <w:tl2br w:val="nil"/>
              <w:tr2bl w:val="nil"/>
            </w:tcBorders>
            <w:noWrap/>
            <w:vAlign w:val="center"/>
          </w:tcPr>
          <w:p w14:paraId="502255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380.5mm</w:t>
            </w:r>
          </w:p>
        </w:tc>
      </w:tr>
      <w:tr w14:paraId="154A2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3F41CA3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5F4647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最小年降水量</w:t>
            </w:r>
          </w:p>
        </w:tc>
        <w:tc>
          <w:tcPr>
            <w:tcW w:w="3731" w:type="dxa"/>
            <w:tcBorders>
              <w:tl2br w:val="nil"/>
              <w:tr2bl w:val="nil"/>
            </w:tcBorders>
            <w:noWrap/>
            <w:vAlign w:val="center"/>
          </w:tcPr>
          <w:p w14:paraId="28CB8E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1634.8mm</w:t>
            </w:r>
          </w:p>
        </w:tc>
      </w:tr>
      <w:tr w14:paraId="3051C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restart"/>
            <w:tcBorders>
              <w:tl2br w:val="nil"/>
              <w:tr2bl w:val="nil"/>
            </w:tcBorders>
            <w:noWrap/>
            <w:vAlign w:val="center"/>
          </w:tcPr>
          <w:p w14:paraId="0EE4E7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风向和频率</w:t>
            </w:r>
          </w:p>
        </w:tc>
        <w:tc>
          <w:tcPr>
            <w:tcW w:w="3619" w:type="dxa"/>
            <w:tcBorders>
              <w:tl2br w:val="nil"/>
              <w:tr2bl w:val="nil"/>
            </w:tcBorders>
            <w:noWrap/>
            <w:vAlign w:val="center"/>
          </w:tcPr>
          <w:p w14:paraId="17BB7B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全年主导风向和频率</w:t>
            </w:r>
          </w:p>
        </w:tc>
        <w:tc>
          <w:tcPr>
            <w:tcW w:w="3731" w:type="dxa"/>
            <w:tcBorders>
              <w:tl2br w:val="nil"/>
              <w:tr2bl w:val="nil"/>
            </w:tcBorders>
            <w:noWrap/>
            <w:vAlign w:val="center"/>
          </w:tcPr>
          <w:p w14:paraId="6D5374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N，</w:t>
            </w:r>
            <w:r>
              <w:rPr>
                <w:rFonts w:hint="eastAsia" w:ascii="Times New Roman" w:hAnsi="Times New Roman" w:eastAsia="宋体" w:cs="Times New Roman"/>
                <w:color w:val="auto"/>
                <w:kern w:val="0"/>
                <w:sz w:val="21"/>
                <w:szCs w:val="21"/>
                <w:highlight w:val="none"/>
                <w:u w:val="single" w:color="auto"/>
                <w:lang w:val="en-US" w:eastAsia="zh-CN" w:bidi="ar"/>
              </w:rPr>
              <w:t>17.2</w:t>
            </w:r>
            <w:r>
              <w:rPr>
                <w:rFonts w:hint="default" w:ascii="Times New Roman" w:hAnsi="Times New Roman" w:eastAsia="宋体" w:cs="Times New Roman"/>
                <w:color w:val="auto"/>
                <w:kern w:val="0"/>
                <w:sz w:val="21"/>
                <w:szCs w:val="21"/>
                <w:highlight w:val="none"/>
                <w:u w:val="single" w:color="auto"/>
                <w:lang w:bidi="ar"/>
              </w:rPr>
              <w:t>%</w:t>
            </w:r>
          </w:p>
        </w:tc>
      </w:tr>
      <w:tr w14:paraId="4316B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047529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18CA3F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静风频率</w:t>
            </w:r>
          </w:p>
        </w:tc>
        <w:tc>
          <w:tcPr>
            <w:tcW w:w="3731" w:type="dxa"/>
            <w:tcBorders>
              <w:tl2br w:val="nil"/>
              <w:tr2bl w:val="nil"/>
            </w:tcBorders>
            <w:noWrap/>
            <w:vAlign w:val="center"/>
          </w:tcPr>
          <w:p w14:paraId="6D3107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2.2</w:t>
            </w:r>
            <w:r>
              <w:rPr>
                <w:rFonts w:hint="default" w:ascii="Times New Roman" w:hAnsi="Times New Roman" w:eastAsia="宋体" w:cs="Times New Roman"/>
                <w:color w:val="auto"/>
                <w:kern w:val="0"/>
                <w:sz w:val="21"/>
                <w:szCs w:val="21"/>
                <w:highlight w:val="none"/>
                <w:u w:val="single" w:color="auto"/>
                <w:lang w:bidi="ar"/>
              </w:rPr>
              <w:t>%</w:t>
            </w:r>
          </w:p>
        </w:tc>
      </w:tr>
      <w:tr w14:paraId="334B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restart"/>
            <w:tcBorders>
              <w:tl2br w:val="nil"/>
              <w:tr2bl w:val="nil"/>
            </w:tcBorders>
            <w:noWrap/>
            <w:vAlign w:val="center"/>
          </w:tcPr>
          <w:p w14:paraId="2EC5A2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风速</w:t>
            </w:r>
          </w:p>
        </w:tc>
        <w:tc>
          <w:tcPr>
            <w:tcW w:w="3619" w:type="dxa"/>
            <w:tcBorders>
              <w:tl2br w:val="nil"/>
              <w:tr2bl w:val="nil"/>
            </w:tcBorders>
            <w:noWrap/>
            <w:vAlign w:val="center"/>
          </w:tcPr>
          <w:p w14:paraId="342B89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平均风速</w:t>
            </w:r>
          </w:p>
        </w:tc>
        <w:tc>
          <w:tcPr>
            <w:tcW w:w="3731" w:type="dxa"/>
            <w:tcBorders>
              <w:tl2br w:val="nil"/>
              <w:tr2bl w:val="nil"/>
            </w:tcBorders>
            <w:noWrap/>
            <w:vAlign w:val="center"/>
          </w:tcPr>
          <w:p w14:paraId="6E76EB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2.4</w:t>
            </w:r>
            <w:r>
              <w:rPr>
                <w:rFonts w:hint="default" w:ascii="Times New Roman" w:hAnsi="Times New Roman" w:eastAsia="宋体" w:cs="Times New Roman"/>
                <w:color w:val="auto"/>
                <w:kern w:val="0"/>
                <w:sz w:val="21"/>
                <w:szCs w:val="21"/>
                <w:highlight w:val="none"/>
                <w:u w:val="single" w:color="auto"/>
                <w:lang w:bidi="ar"/>
              </w:rPr>
              <w:t>m/s</w:t>
            </w:r>
          </w:p>
        </w:tc>
      </w:tr>
      <w:tr w14:paraId="1C957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50" w:type="dxa"/>
            <w:vMerge w:val="continue"/>
            <w:tcBorders>
              <w:tl2br w:val="nil"/>
              <w:tr2bl w:val="nil"/>
            </w:tcBorders>
            <w:noWrap/>
            <w:vAlign w:val="center"/>
          </w:tcPr>
          <w:p w14:paraId="136735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rPr>
            </w:pPr>
          </w:p>
        </w:tc>
        <w:tc>
          <w:tcPr>
            <w:tcW w:w="3619" w:type="dxa"/>
            <w:tcBorders>
              <w:tl2br w:val="nil"/>
              <w:tr2bl w:val="nil"/>
            </w:tcBorders>
            <w:noWrap/>
            <w:vAlign w:val="center"/>
          </w:tcPr>
          <w:p w14:paraId="687915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lang w:bidi="ar"/>
              </w:rPr>
              <w:t>极大风速及出现时间</w:t>
            </w:r>
          </w:p>
        </w:tc>
        <w:tc>
          <w:tcPr>
            <w:tcW w:w="3731" w:type="dxa"/>
            <w:tcBorders>
              <w:tl2br w:val="nil"/>
              <w:tr2bl w:val="nil"/>
            </w:tcBorders>
            <w:noWrap/>
            <w:vAlign w:val="center"/>
          </w:tcPr>
          <w:p w14:paraId="21C03C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bidi="ar"/>
              </w:rPr>
              <w:t>37.5</w:t>
            </w:r>
            <w:r>
              <w:rPr>
                <w:rFonts w:hint="default" w:ascii="Times New Roman" w:hAnsi="Times New Roman" w:eastAsia="宋体" w:cs="Times New Roman"/>
                <w:color w:val="auto"/>
                <w:kern w:val="0"/>
                <w:sz w:val="21"/>
                <w:szCs w:val="21"/>
                <w:highlight w:val="none"/>
                <w:u w:val="single" w:color="auto"/>
                <w:lang w:bidi="ar"/>
              </w:rPr>
              <w:t>m/s （出现时间：20</w:t>
            </w:r>
            <w:r>
              <w:rPr>
                <w:rFonts w:hint="eastAsia" w:ascii="Times New Roman" w:hAnsi="Times New Roman" w:eastAsia="宋体" w:cs="Times New Roman"/>
                <w:color w:val="auto"/>
                <w:kern w:val="0"/>
                <w:sz w:val="21"/>
                <w:szCs w:val="21"/>
                <w:highlight w:val="none"/>
                <w:u w:val="single" w:color="auto"/>
                <w:lang w:val="en-US" w:eastAsia="zh-CN" w:bidi="ar"/>
              </w:rPr>
              <w:t>22.6</w:t>
            </w:r>
            <w:r>
              <w:rPr>
                <w:rFonts w:hint="default" w:ascii="Times New Roman" w:hAnsi="Times New Roman" w:eastAsia="宋体" w:cs="Times New Roman"/>
                <w:color w:val="auto"/>
                <w:kern w:val="0"/>
                <w:sz w:val="21"/>
                <w:szCs w:val="21"/>
                <w:highlight w:val="none"/>
                <w:u w:val="single" w:color="auto"/>
                <w:lang w:bidi="ar"/>
              </w:rPr>
              <w:t>.</w:t>
            </w:r>
            <w:r>
              <w:rPr>
                <w:rFonts w:hint="eastAsia" w:ascii="Times New Roman" w:hAnsi="Times New Roman" w:eastAsia="宋体" w:cs="Times New Roman"/>
                <w:color w:val="auto"/>
                <w:kern w:val="0"/>
                <w:sz w:val="21"/>
                <w:szCs w:val="21"/>
                <w:highlight w:val="none"/>
                <w:u w:val="single" w:color="auto"/>
                <w:lang w:val="en-US" w:eastAsia="zh-CN" w:bidi="ar"/>
              </w:rPr>
              <w:t>23</w:t>
            </w:r>
            <w:r>
              <w:rPr>
                <w:rFonts w:hint="default" w:ascii="Times New Roman" w:hAnsi="Times New Roman" w:eastAsia="宋体" w:cs="Times New Roman"/>
                <w:color w:val="auto"/>
                <w:kern w:val="0"/>
                <w:sz w:val="21"/>
                <w:szCs w:val="21"/>
                <w:highlight w:val="none"/>
                <w:u w:val="single" w:color="auto"/>
                <w:lang w:bidi="ar"/>
              </w:rPr>
              <w:t>）</w:t>
            </w:r>
          </w:p>
        </w:tc>
      </w:tr>
    </w:tbl>
    <w:p w14:paraId="2F4835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（1）气温</w:t>
      </w:r>
    </w:p>
    <w:p w14:paraId="2E3B71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钦州市历年年平均气温为2</w:t>
      </w:r>
      <w:r>
        <w:rPr>
          <w:rFonts w:hint="eastAsia" w:ascii="Times New Roman" w:hAnsi="Times New Roman" w:eastAsia="宋体" w:cs="Times New Roman"/>
          <w:color w:val="auto"/>
          <w:sz w:val="24"/>
          <w:szCs w:val="24"/>
          <w:highlight w:val="none"/>
          <w:u w:val="single" w:color="auto"/>
          <w:lang w:val="en-US" w:eastAsia="zh-CN"/>
        </w:rPr>
        <w:t>2</w:t>
      </w:r>
      <w:r>
        <w:rPr>
          <w:rFonts w:hint="eastAsia" w:ascii="Times New Roman" w:hAnsi="Times New Roman" w:eastAsia="宋体" w:cs="Times New Roman"/>
          <w:color w:val="auto"/>
          <w:sz w:val="24"/>
          <w:szCs w:val="24"/>
          <w:highlight w:val="none"/>
          <w:u w:val="single" w:color="auto"/>
        </w:rPr>
        <w:t>℃～23℃，一月份最冷，月平均气温在13℃～14℃之间，极端最低气温为1.6℃，无霜期在350天以上；七月份最热，月平均气温在28℃～29℃之间极端最高气温为37.9℃。</w:t>
      </w:r>
    </w:p>
    <w:p w14:paraId="583176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（2）降水</w:t>
      </w:r>
    </w:p>
    <w:p w14:paraId="0428AE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钦州市多年平均降雨量为</w:t>
      </w:r>
      <w:r>
        <w:rPr>
          <w:rFonts w:hint="eastAsia" w:ascii="Times New Roman" w:hAnsi="Times New Roman" w:eastAsia="宋体" w:cs="Times New Roman"/>
          <w:color w:val="auto"/>
          <w:sz w:val="24"/>
          <w:szCs w:val="24"/>
          <w:highlight w:val="none"/>
          <w:u w:val="single" w:color="auto"/>
          <w:lang w:val="en-US" w:eastAsia="zh-CN"/>
        </w:rPr>
        <w:t>2117.5</w:t>
      </w:r>
      <w:r>
        <w:rPr>
          <w:rFonts w:hint="eastAsia" w:ascii="Times New Roman" w:hAnsi="Times New Roman" w:eastAsia="宋体" w:cs="Times New Roman"/>
          <w:color w:val="auto"/>
          <w:sz w:val="24"/>
          <w:szCs w:val="24"/>
          <w:highlight w:val="none"/>
          <w:u w:val="single" w:color="auto"/>
        </w:rPr>
        <w:t>mm。年内降雨多集中在汛期4～9月份，这段时间的雨量一般可占全年总降雨量的80%以上，月最大降雨量多出现在七、八月份。由于多种因素的影响，降雨量年际变化较大，变差系数CV值约为0.2，最大与最小雨量差值在1000mm以上。</w:t>
      </w:r>
    </w:p>
    <w:p w14:paraId="38DD29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w:t>
      </w:r>
      <w:r>
        <w:rPr>
          <w:rFonts w:hint="eastAsia" w:ascii="Times New Roman" w:hAnsi="Times New Roman" w:eastAsia="宋体" w:cs="Times New Roman"/>
          <w:color w:val="auto"/>
          <w:sz w:val="24"/>
          <w:szCs w:val="24"/>
          <w:highlight w:val="none"/>
          <w:u w:val="single" w:color="auto"/>
          <w:lang w:val="en-US" w:eastAsia="zh-CN"/>
        </w:rPr>
        <w:t>3</w:t>
      </w:r>
      <w:r>
        <w:rPr>
          <w:rFonts w:hint="eastAsia" w:ascii="Times New Roman" w:hAnsi="Times New Roman" w:eastAsia="宋体" w:cs="Times New Roman"/>
          <w:color w:val="auto"/>
          <w:sz w:val="24"/>
          <w:szCs w:val="24"/>
          <w:highlight w:val="none"/>
          <w:u w:val="single" w:color="auto"/>
        </w:rPr>
        <w:t>）风况</w:t>
      </w:r>
    </w:p>
    <w:p w14:paraId="68E677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hint="eastAsia" w:ascii="Times New Roman" w:hAnsi="Times New Roman" w:eastAsia="宋体" w:cs="Times New Roman"/>
          <w:color w:val="auto"/>
          <w:sz w:val="24"/>
          <w:szCs w:val="24"/>
          <w:highlight w:val="none"/>
          <w:u w:val="single" w:color="auto"/>
        </w:rPr>
        <w:t>钦州市年主导风向为北风，频率为</w:t>
      </w:r>
      <w:r>
        <w:rPr>
          <w:rFonts w:hint="eastAsia" w:ascii="Times New Roman" w:hAnsi="Times New Roman" w:eastAsia="宋体" w:cs="Times New Roman"/>
          <w:color w:val="auto"/>
          <w:sz w:val="24"/>
          <w:szCs w:val="24"/>
          <w:highlight w:val="none"/>
          <w:u w:val="single" w:color="auto"/>
          <w:lang w:val="en-US" w:eastAsia="zh-CN"/>
        </w:rPr>
        <w:t>17.2</w:t>
      </w:r>
      <w:r>
        <w:rPr>
          <w:rFonts w:hint="eastAsia" w:ascii="Times New Roman" w:hAnsi="Times New Roman" w:eastAsia="宋体" w:cs="Times New Roman"/>
          <w:color w:val="auto"/>
          <w:sz w:val="24"/>
          <w:szCs w:val="24"/>
          <w:highlight w:val="none"/>
          <w:u w:val="single" w:color="auto"/>
        </w:rPr>
        <w:t>%。多年平均风速2.</w:t>
      </w:r>
      <w:r>
        <w:rPr>
          <w:rFonts w:hint="eastAsia" w:ascii="Times New Roman" w:hAnsi="Times New Roman" w:eastAsia="宋体" w:cs="Times New Roman"/>
          <w:color w:val="auto"/>
          <w:sz w:val="24"/>
          <w:szCs w:val="24"/>
          <w:highlight w:val="none"/>
          <w:u w:val="single" w:color="auto"/>
          <w:lang w:val="en-US" w:eastAsia="zh-CN"/>
        </w:rPr>
        <w:t>4</w:t>
      </w:r>
      <w:r>
        <w:rPr>
          <w:rFonts w:hint="eastAsia" w:ascii="Times New Roman" w:hAnsi="Times New Roman" w:eastAsia="宋体" w:cs="Times New Roman"/>
          <w:color w:val="auto"/>
          <w:sz w:val="24"/>
          <w:szCs w:val="24"/>
          <w:highlight w:val="none"/>
          <w:u w:val="single" w:color="auto"/>
        </w:rPr>
        <w:t>m/s，极大风速</w:t>
      </w:r>
      <w:r>
        <w:rPr>
          <w:rFonts w:hint="eastAsia" w:ascii="Times New Roman" w:hAnsi="Times New Roman" w:eastAsia="宋体" w:cs="Times New Roman"/>
          <w:color w:val="auto"/>
          <w:sz w:val="24"/>
          <w:szCs w:val="24"/>
          <w:highlight w:val="none"/>
          <w:u w:val="single" w:color="auto"/>
          <w:lang w:val="en-US" w:eastAsia="zh-CN"/>
        </w:rPr>
        <w:t>37.5</w:t>
      </w:r>
      <w:r>
        <w:rPr>
          <w:rFonts w:hint="eastAsia" w:ascii="Times New Roman" w:hAnsi="Times New Roman" w:eastAsia="宋体" w:cs="Times New Roman"/>
          <w:color w:val="auto"/>
          <w:sz w:val="24"/>
          <w:szCs w:val="24"/>
          <w:highlight w:val="none"/>
          <w:u w:val="single" w:color="auto"/>
        </w:rPr>
        <w:t>m/s。</w:t>
      </w:r>
    </w:p>
    <w:p w14:paraId="0069633E">
      <w:pPr>
        <w:adjustRightInd/>
        <w:snapToGrid/>
        <w:ind w:firstLine="422"/>
        <w:jc w:val="center"/>
        <w:rPr>
          <w:rFonts w:ascii="Times New Roman" w:hAnsi="Times New Roman" w:eastAsia="宋体" w:cs="Times New Roman"/>
          <w:color w:val="auto"/>
          <w:szCs w:val="24"/>
          <w:highlight w:val="none"/>
          <w:u w:val="single" w:color="auto"/>
        </w:rPr>
      </w:pPr>
      <w:r>
        <w:rPr>
          <w:rFonts w:ascii="Times New Roman" w:hAnsi="Times New Roman" w:eastAsia="宋体" w:cs="Times New Roman"/>
          <w:color w:val="auto"/>
          <w:szCs w:val="24"/>
          <w:highlight w:val="none"/>
          <w:u w:val="single" w:color="auto"/>
        </w:rPr>
        <w:drawing>
          <wp:inline distT="0" distB="0" distL="114300" distR="114300">
            <wp:extent cx="4306570" cy="3748405"/>
            <wp:effectExtent l="0" t="0" r="8255"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5"/>
                    <a:srcRect l="2753" t="12144"/>
                    <a:stretch>
                      <a:fillRect/>
                    </a:stretch>
                  </pic:blipFill>
                  <pic:spPr>
                    <a:xfrm>
                      <a:off x="0" y="0"/>
                      <a:ext cx="4306570" cy="3748405"/>
                    </a:xfrm>
                    <a:prstGeom prst="rect">
                      <a:avLst/>
                    </a:prstGeom>
                    <a:noFill/>
                    <a:ln>
                      <a:noFill/>
                    </a:ln>
                  </pic:spPr>
                </pic:pic>
              </a:graphicData>
            </a:graphic>
          </wp:inline>
        </w:drawing>
      </w:r>
    </w:p>
    <w:p w14:paraId="0C368014">
      <w:pPr>
        <w:autoSpaceDE w:val="0"/>
        <w:autoSpaceDN w:val="0"/>
        <w:spacing w:line="360" w:lineRule="auto"/>
        <w:jc w:val="center"/>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single" w:color="auto"/>
        </w:rPr>
        <w:t>图</w:t>
      </w:r>
      <w:r>
        <w:rPr>
          <w:rFonts w:hint="eastAsia" w:ascii="Times New Roman" w:hAnsi="Times New Roman" w:eastAsia="宋体" w:cs="Times New Roman"/>
          <w:b/>
          <w:bCs/>
          <w:color w:val="auto"/>
          <w:sz w:val="24"/>
          <w:szCs w:val="24"/>
          <w:u w:val="single" w:color="auto"/>
          <w:lang w:val="en-US" w:eastAsia="zh-CN"/>
        </w:rPr>
        <w:t>3</w:t>
      </w:r>
      <w:r>
        <w:rPr>
          <w:rFonts w:hint="eastAsia" w:ascii="Times New Roman" w:hAnsi="Times New Roman" w:eastAsia="宋体" w:cs="Times New Roman"/>
          <w:b/>
          <w:bCs/>
          <w:color w:val="auto"/>
          <w:sz w:val="24"/>
          <w:szCs w:val="24"/>
          <w:u w:val="single" w:color="auto"/>
        </w:rPr>
        <w:t>.1-</w:t>
      </w:r>
      <w:r>
        <w:rPr>
          <w:rFonts w:hint="eastAsia" w:ascii="Times New Roman" w:hAnsi="Times New Roman" w:eastAsia="宋体" w:cs="Times New Roman"/>
          <w:b/>
          <w:bCs/>
          <w:color w:val="auto"/>
          <w:sz w:val="24"/>
          <w:szCs w:val="24"/>
          <w:u w:val="single" w:color="auto"/>
          <w:lang w:val="en-US" w:eastAsia="zh-CN"/>
        </w:rPr>
        <w:t xml:space="preserve">1 </w:t>
      </w:r>
      <w:r>
        <w:rPr>
          <w:rFonts w:hint="eastAsia" w:ascii="Times New Roman" w:hAnsi="Times New Roman" w:eastAsia="宋体" w:cs="Times New Roman"/>
          <w:b/>
          <w:bCs/>
          <w:color w:val="auto"/>
          <w:sz w:val="24"/>
          <w:szCs w:val="24"/>
          <w:u w:val="single" w:color="auto"/>
        </w:rPr>
        <w:t>钦州市风玫瑰图（统计年限：200</w:t>
      </w:r>
      <w:r>
        <w:rPr>
          <w:rFonts w:hint="eastAsia" w:ascii="Times New Roman" w:hAnsi="Times New Roman" w:eastAsia="宋体" w:cs="Times New Roman"/>
          <w:b/>
          <w:bCs/>
          <w:color w:val="auto"/>
          <w:sz w:val="24"/>
          <w:szCs w:val="24"/>
          <w:u w:val="single" w:color="auto"/>
          <w:lang w:val="en-US" w:eastAsia="zh-CN"/>
        </w:rPr>
        <w:t>4</w:t>
      </w:r>
      <w:r>
        <w:rPr>
          <w:rFonts w:hint="eastAsia" w:ascii="Times New Roman" w:hAnsi="Times New Roman" w:eastAsia="宋体" w:cs="Times New Roman"/>
          <w:b/>
          <w:bCs/>
          <w:color w:val="auto"/>
          <w:sz w:val="24"/>
          <w:szCs w:val="24"/>
          <w:u w:val="single" w:color="auto"/>
        </w:rPr>
        <w:t>~20</w:t>
      </w:r>
      <w:r>
        <w:rPr>
          <w:rFonts w:hint="eastAsia" w:ascii="Times New Roman" w:hAnsi="Times New Roman" w:eastAsia="宋体" w:cs="Times New Roman"/>
          <w:b/>
          <w:bCs/>
          <w:color w:val="auto"/>
          <w:sz w:val="24"/>
          <w:szCs w:val="24"/>
          <w:u w:val="single" w:color="auto"/>
          <w:lang w:val="en-US" w:eastAsia="zh-CN"/>
        </w:rPr>
        <w:t>23</w:t>
      </w:r>
      <w:r>
        <w:rPr>
          <w:rFonts w:hint="eastAsia" w:ascii="Times New Roman" w:hAnsi="Times New Roman" w:eastAsia="宋体" w:cs="Times New Roman"/>
          <w:b/>
          <w:bCs/>
          <w:color w:val="auto"/>
          <w:sz w:val="24"/>
          <w:szCs w:val="24"/>
          <w:u w:val="single" w:color="auto"/>
        </w:rPr>
        <w:t>年）</w:t>
      </w:r>
    </w:p>
    <w:p w14:paraId="29DFA768">
      <w:pPr>
        <w:adjustRightInd/>
        <w:snapToGrid/>
        <w:ind w:firstLine="422"/>
        <w:jc w:val="center"/>
        <w:rPr>
          <w:rFonts w:ascii="Times New Roman" w:hAnsi="Times New Roman" w:eastAsia="宋体" w:cs="Times New Roman"/>
          <w:color w:val="auto"/>
          <w:szCs w:val="24"/>
          <w:highlight w:val="none"/>
          <w:u w:val="single" w:color="auto"/>
        </w:rPr>
      </w:pPr>
    </w:p>
    <w:p w14:paraId="450E0BC1">
      <w:pPr>
        <w:jc w:val="center"/>
        <w:rPr>
          <w:rFonts w:ascii="Times New Roman" w:hAnsi="Times New Roman"/>
          <w:color w:val="auto"/>
          <w:highlight w:val="none"/>
          <w:u w:val="single" w:color="auto"/>
        </w:rPr>
        <w:sectPr>
          <w:footerReference r:id="rId6" w:type="default"/>
          <w:headerReference r:id="rId5" w:type="even"/>
          <w:pgSz w:w="11906" w:h="16838"/>
          <w:pgMar w:top="1418" w:right="1418" w:bottom="1418" w:left="1418" w:header="851" w:footer="850" w:gutter="0"/>
          <w:pgBorders>
            <w:top w:val="none" w:sz="0" w:space="0"/>
            <w:left w:val="none" w:sz="0" w:space="0"/>
            <w:bottom w:val="none" w:sz="0" w:space="0"/>
            <w:right w:val="none" w:sz="0" w:space="0"/>
          </w:pgBorders>
          <w:pgNumType w:fmt="decimal"/>
          <w:cols w:space="720" w:num="1"/>
          <w:docGrid w:type="lines" w:linePitch="312" w:charSpace="0"/>
        </w:sectPr>
      </w:pPr>
    </w:p>
    <w:p w14:paraId="641C0FDD">
      <w:pPr>
        <w:adjustRightInd w:val="0"/>
        <w:snapToGrid w:val="0"/>
        <w:jc w:val="center"/>
        <w:rPr>
          <w:rFonts w:hint="eastAsia" w:ascii="Times New Roman" w:hAnsi="Times New Roman" w:cs="Times New Roman"/>
          <w:b/>
          <w:bCs/>
          <w:color w:val="auto"/>
          <w:sz w:val="24"/>
          <w:szCs w:val="24"/>
          <w:u w:val="none" w:color="auto"/>
        </w:rPr>
      </w:pPr>
      <w:r>
        <w:rPr>
          <w:rFonts w:hint="eastAsia" w:ascii="Times New Roman" w:hAnsi="Times New Roman" w:cs="Times New Roman"/>
          <w:b/>
          <w:bCs/>
          <w:color w:val="auto"/>
          <w:sz w:val="24"/>
          <w:szCs w:val="24"/>
          <w:u w:val="none" w:color="auto"/>
        </w:rPr>
        <w:t>表</w:t>
      </w:r>
      <w:r>
        <w:rPr>
          <w:rFonts w:hint="eastAsia" w:ascii="Times New Roman" w:hAnsi="Times New Roman" w:cs="Times New Roman"/>
          <w:b/>
          <w:bCs/>
          <w:color w:val="auto"/>
          <w:sz w:val="24"/>
          <w:szCs w:val="24"/>
          <w:u w:val="none" w:color="auto"/>
          <w:lang w:val="en-US" w:eastAsia="zh-CN"/>
        </w:rPr>
        <w:t>3</w:t>
      </w:r>
      <w:r>
        <w:rPr>
          <w:rFonts w:hint="eastAsia" w:ascii="Times New Roman" w:hAnsi="Times New Roman" w:cs="Times New Roman"/>
          <w:b/>
          <w:bCs/>
          <w:color w:val="auto"/>
          <w:sz w:val="24"/>
          <w:szCs w:val="24"/>
          <w:u w:val="none" w:color="auto"/>
        </w:rPr>
        <w:t>.1-2 钦州市累年各风向频率  单位：%</w:t>
      </w:r>
    </w:p>
    <w:tbl>
      <w:tblPr>
        <w:tblStyle w:val="37"/>
        <w:tblW w:w="12383"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8"/>
        <w:gridCol w:w="789"/>
        <w:gridCol w:w="790"/>
        <w:gridCol w:w="686"/>
        <w:gridCol w:w="790"/>
        <w:gridCol w:w="790"/>
        <w:gridCol w:w="686"/>
        <w:gridCol w:w="686"/>
        <w:gridCol w:w="790"/>
        <w:gridCol w:w="701"/>
        <w:gridCol w:w="701"/>
        <w:gridCol w:w="790"/>
        <w:gridCol w:w="796"/>
        <w:gridCol w:w="790"/>
        <w:gridCol w:w="859"/>
        <w:gridCol w:w="686"/>
        <w:gridCol w:w="894"/>
        <w:gridCol w:w="686"/>
      </w:tblGrid>
      <w:tr w14:paraId="47BEB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216" w:type="dxa"/>
            <w:noWrap/>
            <w:vAlign w:val="center"/>
          </w:tcPr>
          <w:p w14:paraId="3487E5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年份</w:t>
            </w:r>
          </w:p>
        </w:tc>
        <w:tc>
          <w:tcPr>
            <w:tcW w:w="704" w:type="dxa"/>
            <w:noWrap/>
            <w:vAlign w:val="center"/>
          </w:tcPr>
          <w:p w14:paraId="273F20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N</w:t>
            </w:r>
          </w:p>
        </w:tc>
        <w:tc>
          <w:tcPr>
            <w:tcW w:w="704" w:type="dxa"/>
            <w:noWrap/>
            <w:vAlign w:val="center"/>
          </w:tcPr>
          <w:p w14:paraId="113ECA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NNE</w:t>
            </w:r>
          </w:p>
        </w:tc>
        <w:tc>
          <w:tcPr>
            <w:tcW w:w="576" w:type="dxa"/>
            <w:noWrap/>
            <w:vAlign w:val="center"/>
          </w:tcPr>
          <w:p w14:paraId="35CEBC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NE</w:t>
            </w:r>
          </w:p>
        </w:tc>
        <w:tc>
          <w:tcPr>
            <w:tcW w:w="640" w:type="dxa"/>
            <w:noWrap/>
            <w:vAlign w:val="center"/>
          </w:tcPr>
          <w:p w14:paraId="534282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ENE</w:t>
            </w:r>
          </w:p>
        </w:tc>
        <w:tc>
          <w:tcPr>
            <w:tcW w:w="576" w:type="dxa"/>
            <w:noWrap/>
            <w:vAlign w:val="center"/>
          </w:tcPr>
          <w:p w14:paraId="03622B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E</w:t>
            </w:r>
          </w:p>
        </w:tc>
        <w:tc>
          <w:tcPr>
            <w:tcW w:w="576" w:type="dxa"/>
            <w:noWrap/>
            <w:vAlign w:val="center"/>
          </w:tcPr>
          <w:p w14:paraId="1BF086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ESE</w:t>
            </w:r>
          </w:p>
        </w:tc>
        <w:tc>
          <w:tcPr>
            <w:tcW w:w="576" w:type="dxa"/>
            <w:noWrap/>
            <w:vAlign w:val="center"/>
          </w:tcPr>
          <w:p w14:paraId="17F227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SE</w:t>
            </w:r>
          </w:p>
        </w:tc>
        <w:tc>
          <w:tcPr>
            <w:tcW w:w="576" w:type="dxa"/>
            <w:noWrap/>
            <w:vAlign w:val="center"/>
          </w:tcPr>
          <w:p w14:paraId="3296FC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SSE</w:t>
            </w:r>
          </w:p>
        </w:tc>
        <w:tc>
          <w:tcPr>
            <w:tcW w:w="704" w:type="dxa"/>
            <w:noWrap/>
            <w:vAlign w:val="center"/>
          </w:tcPr>
          <w:p w14:paraId="4CF20B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S</w:t>
            </w:r>
          </w:p>
        </w:tc>
        <w:tc>
          <w:tcPr>
            <w:tcW w:w="704" w:type="dxa"/>
            <w:noWrap/>
            <w:vAlign w:val="center"/>
          </w:tcPr>
          <w:p w14:paraId="25229E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SSW</w:t>
            </w:r>
          </w:p>
        </w:tc>
        <w:tc>
          <w:tcPr>
            <w:tcW w:w="576" w:type="dxa"/>
            <w:noWrap/>
            <w:vAlign w:val="center"/>
          </w:tcPr>
          <w:p w14:paraId="3368A3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SW</w:t>
            </w:r>
          </w:p>
        </w:tc>
        <w:tc>
          <w:tcPr>
            <w:tcW w:w="800" w:type="dxa"/>
            <w:noWrap/>
            <w:vAlign w:val="center"/>
          </w:tcPr>
          <w:p w14:paraId="7CDBA7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WSW</w:t>
            </w:r>
          </w:p>
        </w:tc>
        <w:tc>
          <w:tcPr>
            <w:tcW w:w="576" w:type="dxa"/>
            <w:noWrap/>
            <w:vAlign w:val="center"/>
          </w:tcPr>
          <w:p w14:paraId="21FFEC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W</w:t>
            </w:r>
          </w:p>
        </w:tc>
        <w:tc>
          <w:tcPr>
            <w:tcW w:w="864" w:type="dxa"/>
            <w:noWrap/>
            <w:vAlign w:val="center"/>
          </w:tcPr>
          <w:p w14:paraId="5F9D16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WNW</w:t>
            </w:r>
          </w:p>
        </w:tc>
        <w:tc>
          <w:tcPr>
            <w:tcW w:w="624" w:type="dxa"/>
            <w:noWrap/>
            <w:vAlign w:val="center"/>
          </w:tcPr>
          <w:p w14:paraId="0DEA80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NW</w:t>
            </w:r>
          </w:p>
        </w:tc>
        <w:tc>
          <w:tcPr>
            <w:tcW w:w="816" w:type="dxa"/>
            <w:noWrap/>
            <w:vAlign w:val="center"/>
          </w:tcPr>
          <w:p w14:paraId="0DF195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NNW</w:t>
            </w:r>
          </w:p>
        </w:tc>
        <w:tc>
          <w:tcPr>
            <w:tcW w:w="576" w:type="dxa"/>
            <w:noWrap/>
            <w:vAlign w:val="center"/>
          </w:tcPr>
          <w:p w14:paraId="0F5D2B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C</w:t>
            </w:r>
          </w:p>
        </w:tc>
      </w:tr>
      <w:tr w14:paraId="7163B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175EE1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2004</w:t>
            </w:r>
          </w:p>
        </w:tc>
        <w:tc>
          <w:tcPr>
            <w:tcW w:w="0" w:type="auto"/>
            <w:noWrap/>
            <w:vAlign w:val="center"/>
          </w:tcPr>
          <w:p w14:paraId="4B2741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296A3A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w:t>
            </w:r>
          </w:p>
        </w:tc>
        <w:tc>
          <w:tcPr>
            <w:tcW w:w="0" w:type="auto"/>
            <w:noWrap/>
            <w:vAlign w:val="center"/>
          </w:tcPr>
          <w:p w14:paraId="5DFB0E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70BB36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94A1A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11F7CE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6A76DF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221D0D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23B402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55AB92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1E590E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51D3DA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6C046E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w:t>
            </w:r>
          </w:p>
        </w:tc>
        <w:tc>
          <w:tcPr>
            <w:tcW w:w="0" w:type="auto"/>
            <w:noWrap/>
            <w:vAlign w:val="center"/>
          </w:tcPr>
          <w:p w14:paraId="5EE069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1F9590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105EEF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4615C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w:t>
            </w:r>
          </w:p>
        </w:tc>
      </w:tr>
      <w:tr w14:paraId="56120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252862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2005</w:t>
            </w:r>
          </w:p>
        </w:tc>
        <w:tc>
          <w:tcPr>
            <w:tcW w:w="0" w:type="auto"/>
            <w:noWrap/>
            <w:vAlign w:val="center"/>
          </w:tcPr>
          <w:p w14:paraId="570246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4E9ED7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2D72AA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6B94EB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484D5D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00E8FB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1E2813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2DC298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621A32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15CD6C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0FA839F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DB591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8DFEA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18FACC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4A072E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0CDFA8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20208A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r>
      <w:tr w14:paraId="2789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3D3A6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2006</w:t>
            </w:r>
          </w:p>
        </w:tc>
        <w:tc>
          <w:tcPr>
            <w:tcW w:w="0" w:type="auto"/>
            <w:noWrap/>
            <w:vAlign w:val="center"/>
          </w:tcPr>
          <w:p w14:paraId="646E1A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69E809B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244701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3FB6D2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A2C02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7875C2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0ED98B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4857B8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68AB44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706C37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6C23C2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58DACF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4A12E5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7DD69D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2B2CE9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443AD4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32A8BA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r>
      <w:tr w14:paraId="449FC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7600AE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2007</w:t>
            </w:r>
          </w:p>
        </w:tc>
        <w:tc>
          <w:tcPr>
            <w:tcW w:w="0" w:type="auto"/>
            <w:noWrap/>
            <w:vAlign w:val="center"/>
          </w:tcPr>
          <w:p w14:paraId="7AD9E7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7F283E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3FAD3B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08065B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448C8F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5949F3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72E2B5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0A59DF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6E741A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02E698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05C965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222D2C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13F762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3E718F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8D886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2449EE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0B5FC0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14D2E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216D2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2008</w:t>
            </w:r>
          </w:p>
        </w:tc>
        <w:tc>
          <w:tcPr>
            <w:tcW w:w="0" w:type="auto"/>
            <w:noWrap/>
            <w:vAlign w:val="center"/>
          </w:tcPr>
          <w:p w14:paraId="54D2637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4724EC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41791D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58C8CC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432928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6EB2B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6BC431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2BED72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482A5D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28EE18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0F6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295283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64B63B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606443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3B6D89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286B87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0644FD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54094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699966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2009</w:t>
            </w:r>
          </w:p>
        </w:tc>
        <w:tc>
          <w:tcPr>
            <w:tcW w:w="0" w:type="auto"/>
            <w:noWrap/>
            <w:vAlign w:val="center"/>
          </w:tcPr>
          <w:p w14:paraId="4CE856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16</w:t>
            </w:r>
          </w:p>
        </w:tc>
        <w:tc>
          <w:tcPr>
            <w:tcW w:w="0" w:type="auto"/>
            <w:noWrap/>
            <w:vAlign w:val="center"/>
          </w:tcPr>
          <w:p w14:paraId="79DB64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36578E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1C762C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408DEC7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009FBB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149FE4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30B727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73E68E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3750074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6855B81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65FA6C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5C56FE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4424D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C46C0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5C828D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244E1D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r>
      <w:tr w14:paraId="1A082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1D5456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2010</w:t>
            </w:r>
          </w:p>
        </w:tc>
        <w:tc>
          <w:tcPr>
            <w:tcW w:w="0" w:type="auto"/>
            <w:noWrap/>
            <w:vAlign w:val="center"/>
          </w:tcPr>
          <w:p w14:paraId="35337E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2B256A6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56ECAA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46738F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0A1874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05B6994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5A9E5C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5BA2B8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10878B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7804C7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71C071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8BE75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08197F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38B985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4AD4D5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55F95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64AC35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r>
      <w:tr w14:paraId="2015C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D3186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2011</w:t>
            </w:r>
          </w:p>
        </w:tc>
        <w:tc>
          <w:tcPr>
            <w:tcW w:w="0" w:type="auto"/>
            <w:noWrap/>
            <w:vAlign w:val="center"/>
          </w:tcPr>
          <w:p w14:paraId="1845A1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w:t>
            </w:r>
          </w:p>
        </w:tc>
        <w:tc>
          <w:tcPr>
            <w:tcW w:w="0" w:type="auto"/>
            <w:noWrap/>
            <w:vAlign w:val="center"/>
          </w:tcPr>
          <w:p w14:paraId="3A343F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0A8B4E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EFC05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0DCCEA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3358EA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0D43BB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41FFBC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68BA8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5A4376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158637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501C92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430E85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003937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5651AF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0B73ED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w:t>
            </w:r>
          </w:p>
        </w:tc>
        <w:tc>
          <w:tcPr>
            <w:tcW w:w="0" w:type="auto"/>
            <w:noWrap/>
            <w:vAlign w:val="center"/>
          </w:tcPr>
          <w:p w14:paraId="2F783E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r>
      <w:tr w14:paraId="09597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2A71F5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2012</w:t>
            </w:r>
          </w:p>
        </w:tc>
        <w:tc>
          <w:tcPr>
            <w:tcW w:w="0" w:type="auto"/>
            <w:noWrap/>
            <w:vAlign w:val="center"/>
          </w:tcPr>
          <w:p w14:paraId="0AF54F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21</w:t>
            </w:r>
          </w:p>
        </w:tc>
        <w:tc>
          <w:tcPr>
            <w:tcW w:w="0" w:type="auto"/>
            <w:noWrap/>
            <w:vAlign w:val="center"/>
          </w:tcPr>
          <w:p w14:paraId="07BE22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4FEBFB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7621E6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2D145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53EB92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5AC867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01B89F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067759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7AB75B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679D12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719FDE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34C6D5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5C71B8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3B01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2503C5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229416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43824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013E266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2013</w:t>
            </w:r>
          </w:p>
        </w:tc>
        <w:tc>
          <w:tcPr>
            <w:tcW w:w="0" w:type="auto"/>
            <w:noWrap/>
            <w:vAlign w:val="center"/>
          </w:tcPr>
          <w:p w14:paraId="76900E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01DADA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599D35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5D16F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629606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1F752E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0E70B9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B708E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2D9E18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68BA55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5D21CB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76FAB9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468B2D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27CD28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067037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1EB6687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w:t>
            </w:r>
          </w:p>
        </w:tc>
        <w:tc>
          <w:tcPr>
            <w:tcW w:w="0" w:type="auto"/>
            <w:noWrap/>
            <w:vAlign w:val="center"/>
          </w:tcPr>
          <w:p w14:paraId="4EB4D4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5C97A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43A61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2014</w:t>
            </w:r>
          </w:p>
        </w:tc>
        <w:tc>
          <w:tcPr>
            <w:tcW w:w="0" w:type="auto"/>
            <w:noWrap/>
            <w:vAlign w:val="center"/>
          </w:tcPr>
          <w:p w14:paraId="0F89B4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16</w:t>
            </w:r>
          </w:p>
        </w:tc>
        <w:tc>
          <w:tcPr>
            <w:tcW w:w="0" w:type="auto"/>
            <w:noWrap/>
            <w:vAlign w:val="center"/>
          </w:tcPr>
          <w:p w14:paraId="4208F4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17175B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3EC540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17DBBE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78A244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3AECC0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138012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2B43AD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13A576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35A7DB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3E9FCE1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58822F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2275D8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16650B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224790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10B4DE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17656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3734E1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2015</w:t>
            </w:r>
          </w:p>
        </w:tc>
        <w:tc>
          <w:tcPr>
            <w:tcW w:w="0" w:type="auto"/>
            <w:noWrap/>
            <w:vAlign w:val="center"/>
          </w:tcPr>
          <w:p w14:paraId="095045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w:t>
            </w:r>
          </w:p>
        </w:tc>
        <w:tc>
          <w:tcPr>
            <w:tcW w:w="0" w:type="auto"/>
            <w:noWrap/>
            <w:vAlign w:val="center"/>
          </w:tcPr>
          <w:p w14:paraId="4C6C9D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w:t>
            </w:r>
          </w:p>
        </w:tc>
        <w:tc>
          <w:tcPr>
            <w:tcW w:w="0" w:type="auto"/>
            <w:noWrap/>
            <w:vAlign w:val="center"/>
          </w:tcPr>
          <w:p w14:paraId="2BF8EC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5C9CA5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79951A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3B8531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43E11D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w:t>
            </w:r>
          </w:p>
        </w:tc>
        <w:tc>
          <w:tcPr>
            <w:tcW w:w="0" w:type="auto"/>
            <w:noWrap/>
            <w:vAlign w:val="center"/>
          </w:tcPr>
          <w:p w14:paraId="45F63C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750853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w:t>
            </w:r>
          </w:p>
        </w:tc>
        <w:tc>
          <w:tcPr>
            <w:tcW w:w="0" w:type="auto"/>
            <w:noWrap/>
            <w:vAlign w:val="center"/>
          </w:tcPr>
          <w:p w14:paraId="35B348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1966EAF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5C0D60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0CE368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332D9F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7825C3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2AF1D1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4EEC09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6937A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1356F6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2016</w:t>
            </w:r>
          </w:p>
        </w:tc>
        <w:tc>
          <w:tcPr>
            <w:tcW w:w="0" w:type="auto"/>
            <w:noWrap/>
            <w:vAlign w:val="center"/>
          </w:tcPr>
          <w:p w14:paraId="7D0DDF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16.1</w:t>
            </w:r>
          </w:p>
        </w:tc>
        <w:tc>
          <w:tcPr>
            <w:tcW w:w="0" w:type="auto"/>
            <w:noWrap/>
            <w:vAlign w:val="center"/>
          </w:tcPr>
          <w:p w14:paraId="6FB633D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12.4</w:t>
            </w:r>
          </w:p>
        </w:tc>
        <w:tc>
          <w:tcPr>
            <w:tcW w:w="0" w:type="auto"/>
            <w:noWrap/>
            <w:vAlign w:val="center"/>
          </w:tcPr>
          <w:p w14:paraId="13AA4E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7.9</w:t>
            </w:r>
          </w:p>
        </w:tc>
        <w:tc>
          <w:tcPr>
            <w:tcW w:w="0" w:type="auto"/>
            <w:noWrap/>
            <w:vAlign w:val="center"/>
          </w:tcPr>
          <w:p w14:paraId="1DCA95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4.4</w:t>
            </w:r>
          </w:p>
        </w:tc>
        <w:tc>
          <w:tcPr>
            <w:tcW w:w="0" w:type="auto"/>
            <w:noWrap/>
            <w:vAlign w:val="center"/>
          </w:tcPr>
          <w:p w14:paraId="1AFA96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w:t>
            </w:r>
          </w:p>
        </w:tc>
        <w:tc>
          <w:tcPr>
            <w:tcW w:w="0" w:type="auto"/>
            <w:noWrap/>
            <w:vAlign w:val="center"/>
          </w:tcPr>
          <w:p w14:paraId="7D9ACD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4.6</w:t>
            </w:r>
          </w:p>
        </w:tc>
        <w:tc>
          <w:tcPr>
            <w:tcW w:w="0" w:type="auto"/>
            <w:noWrap/>
            <w:vAlign w:val="center"/>
          </w:tcPr>
          <w:p w14:paraId="684C8E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3.4</w:t>
            </w:r>
          </w:p>
        </w:tc>
        <w:tc>
          <w:tcPr>
            <w:tcW w:w="0" w:type="auto"/>
            <w:noWrap/>
            <w:vAlign w:val="center"/>
          </w:tcPr>
          <w:p w14:paraId="08C572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5.6</w:t>
            </w:r>
          </w:p>
        </w:tc>
        <w:tc>
          <w:tcPr>
            <w:tcW w:w="0" w:type="auto"/>
            <w:noWrap/>
            <w:vAlign w:val="center"/>
          </w:tcPr>
          <w:p w14:paraId="1EA8B6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3.3</w:t>
            </w:r>
          </w:p>
        </w:tc>
        <w:tc>
          <w:tcPr>
            <w:tcW w:w="0" w:type="auto"/>
            <w:noWrap/>
            <w:vAlign w:val="center"/>
          </w:tcPr>
          <w:p w14:paraId="6C40B4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13.8</w:t>
            </w:r>
          </w:p>
        </w:tc>
        <w:tc>
          <w:tcPr>
            <w:tcW w:w="0" w:type="auto"/>
            <w:noWrap/>
            <w:vAlign w:val="center"/>
          </w:tcPr>
          <w:p w14:paraId="228A64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5.1</w:t>
            </w:r>
          </w:p>
        </w:tc>
        <w:tc>
          <w:tcPr>
            <w:tcW w:w="0" w:type="auto"/>
            <w:noWrap/>
            <w:vAlign w:val="center"/>
          </w:tcPr>
          <w:p w14:paraId="244DC5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3.4</w:t>
            </w:r>
          </w:p>
        </w:tc>
        <w:tc>
          <w:tcPr>
            <w:tcW w:w="0" w:type="auto"/>
            <w:noWrap/>
            <w:vAlign w:val="center"/>
          </w:tcPr>
          <w:p w14:paraId="68BDE3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0.5</w:t>
            </w:r>
          </w:p>
        </w:tc>
        <w:tc>
          <w:tcPr>
            <w:tcW w:w="0" w:type="auto"/>
            <w:noWrap/>
            <w:vAlign w:val="center"/>
          </w:tcPr>
          <w:p w14:paraId="6CF0C3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w:t>
            </w:r>
          </w:p>
        </w:tc>
        <w:tc>
          <w:tcPr>
            <w:tcW w:w="0" w:type="auto"/>
            <w:noWrap/>
            <w:vAlign w:val="center"/>
          </w:tcPr>
          <w:p w14:paraId="445BC1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456B54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13.2</w:t>
            </w:r>
          </w:p>
        </w:tc>
        <w:tc>
          <w:tcPr>
            <w:tcW w:w="0" w:type="auto"/>
            <w:noWrap/>
            <w:vAlign w:val="center"/>
          </w:tcPr>
          <w:p w14:paraId="6CB3E5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0.5</w:t>
            </w:r>
          </w:p>
        </w:tc>
      </w:tr>
      <w:tr w14:paraId="60C29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78249A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2017</w:t>
            </w:r>
          </w:p>
        </w:tc>
        <w:tc>
          <w:tcPr>
            <w:tcW w:w="0" w:type="auto"/>
            <w:noWrap/>
            <w:vAlign w:val="center"/>
          </w:tcPr>
          <w:p w14:paraId="0790DD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15.1</w:t>
            </w:r>
          </w:p>
        </w:tc>
        <w:tc>
          <w:tcPr>
            <w:tcW w:w="0" w:type="auto"/>
            <w:noWrap/>
            <w:vAlign w:val="center"/>
          </w:tcPr>
          <w:p w14:paraId="2B80DF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13.6</w:t>
            </w:r>
          </w:p>
        </w:tc>
        <w:tc>
          <w:tcPr>
            <w:tcW w:w="0" w:type="auto"/>
            <w:noWrap/>
            <w:vAlign w:val="center"/>
          </w:tcPr>
          <w:p w14:paraId="6BFCC3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8.4</w:t>
            </w:r>
          </w:p>
        </w:tc>
        <w:tc>
          <w:tcPr>
            <w:tcW w:w="0" w:type="auto"/>
            <w:noWrap/>
            <w:vAlign w:val="center"/>
          </w:tcPr>
          <w:p w14:paraId="1D250F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4.2</w:t>
            </w:r>
          </w:p>
        </w:tc>
        <w:tc>
          <w:tcPr>
            <w:tcW w:w="0" w:type="auto"/>
            <w:noWrap/>
            <w:vAlign w:val="center"/>
          </w:tcPr>
          <w:p w14:paraId="1E485F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w:t>
            </w:r>
          </w:p>
        </w:tc>
        <w:tc>
          <w:tcPr>
            <w:tcW w:w="0" w:type="auto"/>
            <w:noWrap/>
            <w:vAlign w:val="center"/>
          </w:tcPr>
          <w:p w14:paraId="5C4EA1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4.3</w:t>
            </w:r>
          </w:p>
        </w:tc>
        <w:tc>
          <w:tcPr>
            <w:tcW w:w="0" w:type="auto"/>
            <w:noWrap/>
            <w:vAlign w:val="center"/>
          </w:tcPr>
          <w:p w14:paraId="669C42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3.5</w:t>
            </w:r>
          </w:p>
        </w:tc>
        <w:tc>
          <w:tcPr>
            <w:tcW w:w="0" w:type="auto"/>
            <w:noWrap/>
            <w:vAlign w:val="center"/>
          </w:tcPr>
          <w:p w14:paraId="3E4341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6.8</w:t>
            </w:r>
          </w:p>
        </w:tc>
        <w:tc>
          <w:tcPr>
            <w:tcW w:w="0" w:type="auto"/>
            <w:noWrap/>
            <w:vAlign w:val="center"/>
          </w:tcPr>
          <w:p w14:paraId="008A7A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4.5</w:t>
            </w:r>
          </w:p>
        </w:tc>
        <w:tc>
          <w:tcPr>
            <w:tcW w:w="0" w:type="auto"/>
            <w:noWrap/>
            <w:vAlign w:val="center"/>
          </w:tcPr>
          <w:p w14:paraId="40997C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11.5</w:t>
            </w:r>
          </w:p>
        </w:tc>
        <w:tc>
          <w:tcPr>
            <w:tcW w:w="0" w:type="auto"/>
            <w:noWrap/>
            <w:vAlign w:val="center"/>
          </w:tcPr>
          <w:p w14:paraId="3FEEC5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3.4</w:t>
            </w:r>
          </w:p>
        </w:tc>
        <w:tc>
          <w:tcPr>
            <w:tcW w:w="0" w:type="auto"/>
            <w:noWrap/>
            <w:vAlign w:val="center"/>
          </w:tcPr>
          <w:p w14:paraId="554844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2.5</w:t>
            </w:r>
          </w:p>
        </w:tc>
        <w:tc>
          <w:tcPr>
            <w:tcW w:w="0" w:type="auto"/>
            <w:noWrap/>
            <w:vAlign w:val="center"/>
          </w:tcPr>
          <w:p w14:paraId="006E96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0.4</w:t>
            </w:r>
          </w:p>
        </w:tc>
        <w:tc>
          <w:tcPr>
            <w:tcW w:w="0" w:type="auto"/>
            <w:noWrap/>
            <w:vAlign w:val="center"/>
          </w:tcPr>
          <w:p w14:paraId="7CB671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w:t>
            </w:r>
          </w:p>
        </w:tc>
        <w:tc>
          <w:tcPr>
            <w:tcW w:w="0" w:type="auto"/>
            <w:noWrap/>
            <w:vAlign w:val="center"/>
          </w:tcPr>
          <w:p w14:paraId="241067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7A07D9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15.3</w:t>
            </w:r>
          </w:p>
        </w:tc>
        <w:tc>
          <w:tcPr>
            <w:tcW w:w="0" w:type="auto"/>
            <w:noWrap/>
            <w:vAlign w:val="center"/>
          </w:tcPr>
          <w:p w14:paraId="230530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0.6</w:t>
            </w:r>
          </w:p>
        </w:tc>
      </w:tr>
      <w:tr w14:paraId="5A1AF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70E6B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2018</w:t>
            </w:r>
          </w:p>
        </w:tc>
        <w:tc>
          <w:tcPr>
            <w:tcW w:w="0" w:type="auto"/>
            <w:noWrap/>
            <w:vAlign w:val="center"/>
          </w:tcPr>
          <w:p w14:paraId="6CC357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13.7</w:t>
            </w:r>
          </w:p>
        </w:tc>
        <w:tc>
          <w:tcPr>
            <w:tcW w:w="0" w:type="auto"/>
            <w:noWrap/>
            <w:vAlign w:val="center"/>
          </w:tcPr>
          <w:p w14:paraId="06F747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12.2</w:t>
            </w:r>
          </w:p>
        </w:tc>
        <w:tc>
          <w:tcPr>
            <w:tcW w:w="0" w:type="auto"/>
            <w:noWrap/>
            <w:vAlign w:val="center"/>
          </w:tcPr>
          <w:p w14:paraId="4CDEB5C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8.5</w:t>
            </w:r>
          </w:p>
        </w:tc>
        <w:tc>
          <w:tcPr>
            <w:tcW w:w="0" w:type="auto"/>
            <w:noWrap/>
            <w:vAlign w:val="center"/>
          </w:tcPr>
          <w:p w14:paraId="2E881F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5.2</w:t>
            </w:r>
          </w:p>
        </w:tc>
        <w:tc>
          <w:tcPr>
            <w:tcW w:w="0" w:type="auto"/>
            <w:noWrap/>
            <w:vAlign w:val="center"/>
          </w:tcPr>
          <w:p w14:paraId="0A8305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w:t>
            </w:r>
          </w:p>
        </w:tc>
        <w:tc>
          <w:tcPr>
            <w:tcW w:w="0" w:type="auto"/>
            <w:noWrap/>
            <w:vAlign w:val="center"/>
          </w:tcPr>
          <w:p w14:paraId="1B3AAA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781F65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3.2</w:t>
            </w:r>
          </w:p>
        </w:tc>
        <w:tc>
          <w:tcPr>
            <w:tcW w:w="0" w:type="auto"/>
            <w:noWrap/>
            <w:vAlign w:val="center"/>
          </w:tcPr>
          <w:p w14:paraId="411558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6.2</w:t>
            </w:r>
          </w:p>
        </w:tc>
        <w:tc>
          <w:tcPr>
            <w:tcW w:w="0" w:type="auto"/>
            <w:noWrap/>
            <w:vAlign w:val="center"/>
          </w:tcPr>
          <w:p w14:paraId="5F55AC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4.2</w:t>
            </w:r>
          </w:p>
        </w:tc>
        <w:tc>
          <w:tcPr>
            <w:tcW w:w="0" w:type="auto"/>
            <w:noWrap/>
            <w:vAlign w:val="center"/>
          </w:tcPr>
          <w:p w14:paraId="69AAC9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14.2</w:t>
            </w:r>
          </w:p>
        </w:tc>
        <w:tc>
          <w:tcPr>
            <w:tcW w:w="0" w:type="auto"/>
            <w:noWrap/>
            <w:vAlign w:val="center"/>
          </w:tcPr>
          <w:p w14:paraId="7B8F22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6F423C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2.9</w:t>
            </w:r>
          </w:p>
        </w:tc>
        <w:tc>
          <w:tcPr>
            <w:tcW w:w="0" w:type="auto"/>
            <w:noWrap/>
            <w:vAlign w:val="center"/>
          </w:tcPr>
          <w:p w14:paraId="4E0E3B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0.6</w:t>
            </w:r>
          </w:p>
        </w:tc>
        <w:tc>
          <w:tcPr>
            <w:tcW w:w="0" w:type="auto"/>
            <w:noWrap/>
            <w:vAlign w:val="center"/>
          </w:tcPr>
          <w:p w14:paraId="1C3A1C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w:t>
            </w:r>
          </w:p>
        </w:tc>
        <w:tc>
          <w:tcPr>
            <w:tcW w:w="0" w:type="auto"/>
            <w:noWrap/>
            <w:vAlign w:val="center"/>
          </w:tcPr>
          <w:p w14:paraId="61770C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w:t>
            </w:r>
          </w:p>
        </w:tc>
        <w:tc>
          <w:tcPr>
            <w:tcW w:w="0" w:type="auto"/>
            <w:noWrap/>
            <w:vAlign w:val="center"/>
          </w:tcPr>
          <w:p w14:paraId="7D27CF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12.5</w:t>
            </w:r>
          </w:p>
        </w:tc>
        <w:tc>
          <w:tcPr>
            <w:tcW w:w="0" w:type="auto"/>
            <w:noWrap/>
            <w:vAlign w:val="center"/>
          </w:tcPr>
          <w:p w14:paraId="5F9EBB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r>
      <w:tr w14:paraId="32617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72F7FD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2019</w:t>
            </w:r>
          </w:p>
        </w:tc>
        <w:tc>
          <w:tcPr>
            <w:tcW w:w="0" w:type="auto"/>
            <w:noWrap/>
            <w:vAlign w:val="center"/>
          </w:tcPr>
          <w:p w14:paraId="106881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19.9</w:t>
            </w:r>
          </w:p>
        </w:tc>
        <w:tc>
          <w:tcPr>
            <w:tcW w:w="0" w:type="auto"/>
            <w:noWrap/>
            <w:vAlign w:val="center"/>
          </w:tcPr>
          <w:p w14:paraId="52F4676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12.7</w:t>
            </w:r>
          </w:p>
        </w:tc>
        <w:tc>
          <w:tcPr>
            <w:tcW w:w="0" w:type="auto"/>
            <w:noWrap/>
            <w:vAlign w:val="center"/>
          </w:tcPr>
          <w:p w14:paraId="494926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7.2</w:t>
            </w:r>
          </w:p>
        </w:tc>
        <w:tc>
          <w:tcPr>
            <w:tcW w:w="0" w:type="auto"/>
            <w:noWrap/>
            <w:vAlign w:val="center"/>
          </w:tcPr>
          <w:p w14:paraId="6355DA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w:t>
            </w:r>
          </w:p>
        </w:tc>
        <w:tc>
          <w:tcPr>
            <w:tcW w:w="0" w:type="auto"/>
            <w:noWrap/>
            <w:vAlign w:val="center"/>
          </w:tcPr>
          <w:p w14:paraId="013211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0" w:type="auto"/>
            <w:noWrap/>
            <w:vAlign w:val="center"/>
          </w:tcPr>
          <w:p w14:paraId="24DA00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2.3</w:t>
            </w:r>
          </w:p>
        </w:tc>
        <w:tc>
          <w:tcPr>
            <w:tcW w:w="0" w:type="auto"/>
            <w:noWrap/>
            <w:vAlign w:val="center"/>
          </w:tcPr>
          <w:p w14:paraId="634E2D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2.9</w:t>
            </w:r>
          </w:p>
        </w:tc>
        <w:tc>
          <w:tcPr>
            <w:tcW w:w="0" w:type="auto"/>
            <w:noWrap/>
            <w:vAlign w:val="center"/>
          </w:tcPr>
          <w:p w14:paraId="15855D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w:t>
            </w:r>
          </w:p>
        </w:tc>
        <w:tc>
          <w:tcPr>
            <w:tcW w:w="0" w:type="auto"/>
            <w:noWrap/>
            <w:vAlign w:val="center"/>
          </w:tcPr>
          <w:p w14:paraId="4310EA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11.8</w:t>
            </w:r>
          </w:p>
        </w:tc>
        <w:tc>
          <w:tcPr>
            <w:tcW w:w="0" w:type="auto"/>
            <w:noWrap/>
            <w:vAlign w:val="center"/>
          </w:tcPr>
          <w:p w14:paraId="0F42D0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w:t>
            </w:r>
          </w:p>
        </w:tc>
        <w:tc>
          <w:tcPr>
            <w:tcW w:w="0" w:type="auto"/>
            <w:noWrap/>
            <w:vAlign w:val="center"/>
          </w:tcPr>
          <w:p w14:paraId="4EEA2E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0" w:type="auto"/>
            <w:noWrap/>
            <w:vAlign w:val="center"/>
          </w:tcPr>
          <w:p w14:paraId="5C0557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6EAEB9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0.6</w:t>
            </w:r>
          </w:p>
        </w:tc>
        <w:tc>
          <w:tcPr>
            <w:tcW w:w="0" w:type="auto"/>
            <w:noWrap/>
            <w:vAlign w:val="center"/>
          </w:tcPr>
          <w:p w14:paraId="78CCDE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w:t>
            </w:r>
          </w:p>
        </w:tc>
        <w:tc>
          <w:tcPr>
            <w:tcW w:w="0" w:type="auto"/>
            <w:noWrap/>
            <w:vAlign w:val="center"/>
          </w:tcPr>
          <w:p w14:paraId="5D1488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2.9</w:t>
            </w:r>
          </w:p>
        </w:tc>
        <w:tc>
          <w:tcPr>
            <w:tcW w:w="0" w:type="auto"/>
            <w:noWrap/>
            <w:vAlign w:val="center"/>
          </w:tcPr>
          <w:p w14:paraId="638131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14.2</w:t>
            </w:r>
          </w:p>
        </w:tc>
        <w:tc>
          <w:tcPr>
            <w:tcW w:w="0" w:type="auto"/>
            <w:noWrap/>
            <w:vAlign w:val="center"/>
          </w:tcPr>
          <w:p w14:paraId="05CC72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0.8</w:t>
            </w:r>
          </w:p>
        </w:tc>
      </w:tr>
      <w:tr w14:paraId="15D72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3C1903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2020</w:t>
            </w:r>
          </w:p>
        </w:tc>
        <w:tc>
          <w:tcPr>
            <w:tcW w:w="0" w:type="auto"/>
            <w:noWrap/>
            <w:vAlign w:val="center"/>
          </w:tcPr>
          <w:p w14:paraId="7E23CC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18.6</w:t>
            </w:r>
          </w:p>
        </w:tc>
        <w:tc>
          <w:tcPr>
            <w:tcW w:w="0" w:type="auto"/>
            <w:noWrap/>
            <w:vAlign w:val="center"/>
          </w:tcPr>
          <w:p w14:paraId="6E5ADE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8.6</w:t>
            </w:r>
          </w:p>
        </w:tc>
        <w:tc>
          <w:tcPr>
            <w:tcW w:w="0" w:type="auto"/>
            <w:noWrap/>
            <w:vAlign w:val="center"/>
          </w:tcPr>
          <w:p w14:paraId="1D92AF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5.8</w:t>
            </w:r>
          </w:p>
        </w:tc>
        <w:tc>
          <w:tcPr>
            <w:tcW w:w="0" w:type="auto"/>
            <w:noWrap/>
            <w:vAlign w:val="center"/>
          </w:tcPr>
          <w:p w14:paraId="72BD31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w:t>
            </w:r>
          </w:p>
        </w:tc>
        <w:tc>
          <w:tcPr>
            <w:tcW w:w="0" w:type="auto"/>
            <w:noWrap/>
            <w:vAlign w:val="center"/>
          </w:tcPr>
          <w:p w14:paraId="708ED2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2.7</w:t>
            </w:r>
          </w:p>
        </w:tc>
        <w:tc>
          <w:tcPr>
            <w:tcW w:w="0" w:type="auto"/>
            <w:noWrap/>
            <w:vAlign w:val="center"/>
          </w:tcPr>
          <w:p w14:paraId="4003FA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2.5</w:t>
            </w:r>
          </w:p>
        </w:tc>
        <w:tc>
          <w:tcPr>
            <w:tcW w:w="0" w:type="auto"/>
            <w:noWrap/>
            <w:vAlign w:val="center"/>
          </w:tcPr>
          <w:p w14:paraId="07B358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3.7</w:t>
            </w:r>
          </w:p>
        </w:tc>
        <w:tc>
          <w:tcPr>
            <w:tcW w:w="0" w:type="auto"/>
            <w:noWrap/>
            <w:vAlign w:val="center"/>
          </w:tcPr>
          <w:p w14:paraId="11B03C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5.8</w:t>
            </w:r>
          </w:p>
        </w:tc>
        <w:tc>
          <w:tcPr>
            <w:tcW w:w="0" w:type="auto"/>
            <w:noWrap/>
            <w:vAlign w:val="center"/>
          </w:tcPr>
          <w:p w14:paraId="03FCDB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16.1</w:t>
            </w:r>
          </w:p>
        </w:tc>
        <w:tc>
          <w:tcPr>
            <w:tcW w:w="0" w:type="auto"/>
            <w:noWrap/>
            <w:vAlign w:val="center"/>
          </w:tcPr>
          <w:p w14:paraId="4383F6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9.8</w:t>
            </w:r>
          </w:p>
        </w:tc>
        <w:tc>
          <w:tcPr>
            <w:tcW w:w="0" w:type="auto"/>
            <w:noWrap/>
            <w:vAlign w:val="center"/>
          </w:tcPr>
          <w:p w14:paraId="7C0895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w:t>
            </w:r>
          </w:p>
        </w:tc>
        <w:tc>
          <w:tcPr>
            <w:tcW w:w="0" w:type="auto"/>
            <w:noWrap/>
            <w:vAlign w:val="center"/>
          </w:tcPr>
          <w:p w14:paraId="7FEACA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w:t>
            </w:r>
          </w:p>
        </w:tc>
        <w:tc>
          <w:tcPr>
            <w:tcW w:w="0" w:type="auto"/>
            <w:noWrap/>
            <w:vAlign w:val="center"/>
          </w:tcPr>
          <w:p w14:paraId="690128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0.8</w:t>
            </w:r>
          </w:p>
        </w:tc>
        <w:tc>
          <w:tcPr>
            <w:tcW w:w="0" w:type="auto"/>
            <w:noWrap/>
            <w:vAlign w:val="center"/>
          </w:tcPr>
          <w:p w14:paraId="43E4904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71B618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49408C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12.8</w:t>
            </w:r>
          </w:p>
        </w:tc>
        <w:tc>
          <w:tcPr>
            <w:tcW w:w="0" w:type="auto"/>
            <w:noWrap/>
            <w:vAlign w:val="center"/>
          </w:tcPr>
          <w:p w14:paraId="495880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r>
      <w:tr w14:paraId="5EC3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0AF0CE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2021</w:t>
            </w:r>
          </w:p>
        </w:tc>
        <w:tc>
          <w:tcPr>
            <w:tcW w:w="0" w:type="auto"/>
            <w:noWrap/>
            <w:vAlign w:val="center"/>
          </w:tcPr>
          <w:p w14:paraId="32BDD8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21.6</w:t>
            </w:r>
          </w:p>
        </w:tc>
        <w:tc>
          <w:tcPr>
            <w:tcW w:w="0" w:type="auto"/>
            <w:noWrap/>
            <w:vAlign w:val="center"/>
          </w:tcPr>
          <w:p w14:paraId="1AB04A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4C036F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9.2</w:t>
            </w:r>
          </w:p>
        </w:tc>
        <w:tc>
          <w:tcPr>
            <w:tcW w:w="0" w:type="auto"/>
            <w:noWrap/>
            <w:vAlign w:val="center"/>
          </w:tcPr>
          <w:p w14:paraId="500591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w:t>
            </w:r>
          </w:p>
        </w:tc>
        <w:tc>
          <w:tcPr>
            <w:tcW w:w="0" w:type="auto"/>
            <w:noWrap/>
            <w:vAlign w:val="center"/>
          </w:tcPr>
          <w:p w14:paraId="37006E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2.3</w:t>
            </w:r>
          </w:p>
        </w:tc>
        <w:tc>
          <w:tcPr>
            <w:tcW w:w="0" w:type="auto"/>
            <w:noWrap/>
            <w:vAlign w:val="center"/>
          </w:tcPr>
          <w:p w14:paraId="0D635A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w:t>
            </w:r>
          </w:p>
        </w:tc>
        <w:tc>
          <w:tcPr>
            <w:tcW w:w="0" w:type="auto"/>
            <w:noWrap/>
            <w:vAlign w:val="center"/>
          </w:tcPr>
          <w:p w14:paraId="4599F3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3.5</w:t>
            </w:r>
          </w:p>
        </w:tc>
        <w:tc>
          <w:tcPr>
            <w:tcW w:w="0" w:type="auto"/>
            <w:noWrap/>
            <w:vAlign w:val="center"/>
          </w:tcPr>
          <w:p w14:paraId="6D934C9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4.7</w:t>
            </w:r>
          </w:p>
        </w:tc>
        <w:tc>
          <w:tcPr>
            <w:tcW w:w="0" w:type="auto"/>
            <w:noWrap/>
            <w:vAlign w:val="center"/>
          </w:tcPr>
          <w:p w14:paraId="43287F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10.5</w:t>
            </w:r>
          </w:p>
        </w:tc>
        <w:tc>
          <w:tcPr>
            <w:tcW w:w="0" w:type="auto"/>
            <w:noWrap/>
            <w:vAlign w:val="center"/>
          </w:tcPr>
          <w:p w14:paraId="4AED16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8.5</w:t>
            </w:r>
          </w:p>
        </w:tc>
        <w:tc>
          <w:tcPr>
            <w:tcW w:w="0" w:type="auto"/>
            <w:noWrap/>
            <w:vAlign w:val="center"/>
          </w:tcPr>
          <w:p w14:paraId="4D2438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4.2</w:t>
            </w:r>
          </w:p>
        </w:tc>
        <w:tc>
          <w:tcPr>
            <w:tcW w:w="0" w:type="auto"/>
            <w:noWrap/>
            <w:vAlign w:val="center"/>
          </w:tcPr>
          <w:p w14:paraId="63489B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w:t>
            </w:r>
          </w:p>
        </w:tc>
        <w:tc>
          <w:tcPr>
            <w:tcW w:w="0" w:type="auto"/>
            <w:noWrap/>
            <w:vAlign w:val="center"/>
          </w:tcPr>
          <w:p w14:paraId="132371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0.9</w:t>
            </w:r>
          </w:p>
        </w:tc>
        <w:tc>
          <w:tcPr>
            <w:tcW w:w="0" w:type="auto"/>
            <w:noWrap/>
            <w:vAlign w:val="center"/>
          </w:tcPr>
          <w:p w14:paraId="1E89E9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w:t>
            </w:r>
          </w:p>
        </w:tc>
        <w:tc>
          <w:tcPr>
            <w:tcW w:w="0" w:type="auto"/>
            <w:noWrap/>
            <w:vAlign w:val="center"/>
          </w:tcPr>
          <w:p w14:paraId="64EBDD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2.5</w:t>
            </w:r>
          </w:p>
        </w:tc>
        <w:tc>
          <w:tcPr>
            <w:tcW w:w="0" w:type="auto"/>
            <w:noWrap/>
            <w:vAlign w:val="center"/>
          </w:tcPr>
          <w:p w14:paraId="50FC27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10.1</w:t>
            </w:r>
          </w:p>
        </w:tc>
        <w:tc>
          <w:tcPr>
            <w:tcW w:w="0" w:type="auto"/>
            <w:noWrap/>
            <w:vAlign w:val="center"/>
          </w:tcPr>
          <w:p w14:paraId="0CDFD0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w:t>
            </w:r>
          </w:p>
        </w:tc>
      </w:tr>
      <w:tr w14:paraId="71E83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890CB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2022</w:t>
            </w:r>
          </w:p>
        </w:tc>
        <w:tc>
          <w:tcPr>
            <w:tcW w:w="0" w:type="auto"/>
            <w:noWrap/>
            <w:vAlign w:val="center"/>
          </w:tcPr>
          <w:p w14:paraId="3D62D6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23.8</w:t>
            </w:r>
          </w:p>
        </w:tc>
        <w:tc>
          <w:tcPr>
            <w:tcW w:w="0" w:type="auto"/>
            <w:noWrap/>
            <w:vAlign w:val="center"/>
          </w:tcPr>
          <w:p w14:paraId="358B39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10.8</w:t>
            </w:r>
          </w:p>
        </w:tc>
        <w:tc>
          <w:tcPr>
            <w:tcW w:w="0" w:type="auto"/>
            <w:noWrap/>
            <w:vAlign w:val="center"/>
          </w:tcPr>
          <w:p w14:paraId="02DE12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6.1</w:t>
            </w:r>
          </w:p>
        </w:tc>
        <w:tc>
          <w:tcPr>
            <w:tcW w:w="0" w:type="auto"/>
            <w:noWrap/>
            <w:vAlign w:val="center"/>
          </w:tcPr>
          <w:p w14:paraId="0876C4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2.4</w:t>
            </w:r>
          </w:p>
        </w:tc>
        <w:tc>
          <w:tcPr>
            <w:tcW w:w="0" w:type="auto"/>
            <w:noWrap/>
            <w:vAlign w:val="center"/>
          </w:tcPr>
          <w:p w14:paraId="5D223A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3.1</w:t>
            </w:r>
          </w:p>
        </w:tc>
        <w:tc>
          <w:tcPr>
            <w:tcW w:w="0" w:type="auto"/>
            <w:noWrap/>
            <w:vAlign w:val="center"/>
          </w:tcPr>
          <w:p w14:paraId="5E10DF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2.8</w:t>
            </w:r>
          </w:p>
        </w:tc>
        <w:tc>
          <w:tcPr>
            <w:tcW w:w="0" w:type="auto"/>
            <w:noWrap/>
            <w:vAlign w:val="center"/>
          </w:tcPr>
          <w:p w14:paraId="5981DE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3.6</w:t>
            </w:r>
          </w:p>
        </w:tc>
        <w:tc>
          <w:tcPr>
            <w:tcW w:w="0" w:type="auto"/>
            <w:noWrap/>
            <w:vAlign w:val="center"/>
          </w:tcPr>
          <w:p w14:paraId="1F21CD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4.5</w:t>
            </w:r>
          </w:p>
        </w:tc>
        <w:tc>
          <w:tcPr>
            <w:tcW w:w="0" w:type="auto"/>
            <w:noWrap/>
            <w:vAlign w:val="center"/>
          </w:tcPr>
          <w:p w14:paraId="746B837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12.7</w:t>
            </w:r>
          </w:p>
        </w:tc>
        <w:tc>
          <w:tcPr>
            <w:tcW w:w="0" w:type="auto"/>
            <w:noWrap/>
            <w:vAlign w:val="center"/>
          </w:tcPr>
          <w:p w14:paraId="4F301B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w:t>
            </w:r>
          </w:p>
        </w:tc>
        <w:tc>
          <w:tcPr>
            <w:tcW w:w="0" w:type="auto"/>
            <w:noWrap/>
            <w:vAlign w:val="center"/>
          </w:tcPr>
          <w:p w14:paraId="34B4ED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4.2</w:t>
            </w:r>
          </w:p>
        </w:tc>
        <w:tc>
          <w:tcPr>
            <w:tcW w:w="0" w:type="auto"/>
            <w:noWrap/>
            <w:vAlign w:val="center"/>
          </w:tcPr>
          <w:p w14:paraId="74D091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7DC57DD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0" w:type="auto"/>
            <w:noWrap/>
            <w:vAlign w:val="center"/>
          </w:tcPr>
          <w:p w14:paraId="6773A5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1.8</w:t>
            </w:r>
          </w:p>
        </w:tc>
        <w:tc>
          <w:tcPr>
            <w:tcW w:w="0" w:type="auto"/>
            <w:noWrap/>
            <w:vAlign w:val="center"/>
          </w:tcPr>
          <w:p w14:paraId="0675EC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2.7</w:t>
            </w:r>
          </w:p>
        </w:tc>
        <w:tc>
          <w:tcPr>
            <w:tcW w:w="0" w:type="auto"/>
            <w:noWrap/>
            <w:vAlign w:val="center"/>
          </w:tcPr>
          <w:p w14:paraId="2503CC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9.1</w:t>
            </w:r>
          </w:p>
        </w:tc>
        <w:tc>
          <w:tcPr>
            <w:tcW w:w="0" w:type="auto"/>
            <w:noWrap/>
            <w:vAlign w:val="center"/>
          </w:tcPr>
          <w:p w14:paraId="5E7805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w:t>
            </w:r>
          </w:p>
        </w:tc>
      </w:tr>
      <w:tr w14:paraId="06BE3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571C75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2023</w:t>
            </w:r>
          </w:p>
        </w:tc>
        <w:tc>
          <w:tcPr>
            <w:tcW w:w="0" w:type="auto"/>
            <w:noWrap/>
            <w:vAlign w:val="center"/>
          </w:tcPr>
          <w:p w14:paraId="6433FE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15.54</w:t>
            </w:r>
          </w:p>
        </w:tc>
        <w:tc>
          <w:tcPr>
            <w:tcW w:w="0" w:type="auto"/>
            <w:noWrap/>
            <w:vAlign w:val="center"/>
          </w:tcPr>
          <w:p w14:paraId="39B4EF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11.04</w:t>
            </w:r>
          </w:p>
        </w:tc>
        <w:tc>
          <w:tcPr>
            <w:tcW w:w="0" w:type="auto"/>
            <w:noWrap/>
            <w:vAlign w:val="center"/>
          </w:tcPr>
          <w:p w14:paraId="5B61E9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6.72</w:t>
            </w:r>
          </w:p>
        </w:tc>
        <w:tc>
          <w:tcPr>
            <w:tcW w:w="0" w:type="auto"/>
            <w:noWrap/>
            <w:vAlign w:val="center"/>
          </w:tcPr>
          <w:p w14:paraId="545C94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2.01</w:t>
            </w:r>
          </w:p>
        </w:tc>
        <w:tc>
          <w:tcPr>
            <w:tcW w:w="0" w:type="auto"/>
            <w:noWrap/>
            <w:vAlign w:val="center"/>
          </w:tcPr>
          <w:p w14:paraId="02D3FA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2.33</w:t>
            </w:r>
          </w:p>
        </w:tc>
        <w:tc>
          <w:tcPr>
            <w:tcW w:w="0" w:type="auto"/>
            <w:noWrap/>
            <w:vAlign w:val="center"/>
          </w:tcPr>
          <w:p w14:paraId="3EAD7F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2.66</w:t>
            </w:r>
          </w:p>
        </w:tc>
        <w:tc>
          <w:tcPr>
            <w:tcW w:w="0" w:type="auto"/>
            <w:noWrap/>
            <w:vAlign w:val="center"/>
          </w:tcPr>
          <w:p w14:paraId="4F1D36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4.32</w:t>
            </w:r>
          </w:p>
        </w:tc>
        <w:tc>
          <w:tcPr>
            <w:tcW w:w="0" w:type="auto"/>
            <w:noWrap/>
            <w:vAlign w:val="center"/>
          </w:tcPr>
          <w:p w14:paraId="6B0D91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6.43</w:t>
            </w:r>
          </w:p>
        </w:tc>
        <w:tc>
          <w:tcPr>
            <w:tcW w:w="0" w:type="auto"/>
            <w:noWrap/>
            <w:vAlign w:val="center"/>
          </w:tcPr>
          <w:p w14:paraId="375FCE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13.58</w:t>
            </w:r>
          </w:p>
        </w:tc>
        <w:tc>
          <w:tcPr>
            <w:tcW w:w="0" w:type="auto"/>
            <w:noWrap/>
            <w:vAlign w:val="center"/>
          </w:tcPr>
          <w:p w14:paraId="6A7151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7.58</w:t>
            </w:r>
          </w:p>
        </w:tc>
        <w:tc>
          <w:tcPr>
            <w:tcW w:w="0" w:type="auto"/>
            <w:noWrap/>
            <w:vAlign w:val="center"/>
          </w:tcPr>
          <w:p w14:paraId="6078F5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3.15</w:t>
            </w:r>
          </w:p>
        </w:tc>
        <w:tc>
          <w:tcPr>
            <w:tcW w:w="0" w:type="auto"/>
            <w:noWrap/>
            <w:vAlign w:val="center"/>
          </w:tcPr>
          <w:p w14:paraId="75E26B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1.56</w:t>
            </w:r>
          </w:p>
        </w:tc>
        <w:tc>
          <w:tcPr>
            <w:tcW w:w="0" w:type="auto"/>
            <w:noWrap/>
            <w:vAlign w:val="center"/>
          </w:tcPr>
          <w:p w14:paraId="551AE2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0.87</w:t>
            </w:r>
          </w:p>
        </w:tc>
        <w:tc>
          <w:tcPr>
            <w:tcW w:w="0" w:type="auto"/>
            <w:noWrap/>
            <w:vAlign w:val="center"/>
          </w:tcPr>
          <w:p w14:paraId="499F47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1.48</w:t>
            </w:r>
          </w:p>
        </w:tc>
        <w:tc>
          <w:tcPr>
            <w:tcW w:w="0" w:type="auto"/>
            <w:noWrap/>
            <w:vAlign w:val="center"/>
          </w:tcPr>
          <w:p w14:paraId="5C0D9F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2.92</w:t>
            </w:r>
          </w:p>
        </w:tc>
        <w:tc>
          <w:tcPr>
            <w:tcW w:w="0" w:type="auto"/>
            <w:noWrap/>
            <w:vAlign w:val="center"/>
          </w:tcPr>
          <w:p w14:paraId="77F7E4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16.27</w:t>
            </w:r>
          </w:p>
        </w:tc>
        <w:tc>
          <w:tcPr>
            <w:tcW w:w="0" w:type="auto"/>
            <w:noWrap/>
            <w:vAlign w:val="center"/>
          </w:tcPr>
          <w:p w14:paraId="698F7D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1.54</w:t>
            </w:r>
          </w:p>
        </w:tc>
      </w:tr>
      <w:tr w14:paraId="5E905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noWrap/>
            <w:vAlign w:val="center"/>
          </w:tcPr>
          <w:p w14:paraId="1592AE0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平均值</w:t>
            </w:r>
          </w:p>
        </w:tc>
        <w:tc>
          <w:tcPr>
            <w:tcW w:w="0" w:type="auto"/>
            <w:noWrap/>
            <w:vAlign w:val="center"/>
          </w:tcPr>
          <w:p w14:paraId="79DA80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17.167</w:t>
            </w:r>
          </w:p>
        </w:tc>
        <w:tc>
          <w:tcPr>
            <w:tcW w:w="0" w:type="auto"/>
            <w:noWrap/>
            <w:vAlign w:val="center"/>
          </w:tcPr>
          <w:p w14:paraId="0DE184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10.617</w:t>
            </w:r>
          </w:p>
        </w:tc>
        <w:tc>
          <w:tcPr>
            <w:tcW w:w="0" w:type="auto"/>
            <w:noWrap/>
            <w:vAlign w:val="center"/>
          </w:tcPr>
          <w:p w14:paraId="349755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6.641</w:t>
            </w:r>
          </w:p>
        </w:tc>
        <w:tc>
          <w:tcPr>
            <w:tcW w:w="0" w:type="auto"/>
            <w:noWrap/>
            <w:vAlign w:val="center"/>
          </w:tcPr>
          <w:p w14:paraId="60A60A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3.5905</w:t>
            </w:r>
          </w:p>
        </w:tc>
        <w:tc>
          <w:tcPr>
            <w:tcW w:w="0" w:type="auto"/>
            <w:noWrap/>
            <w:vAlign w:val="center"/>
          </w:tcPr>
          <w:p w14:paraId="55C6A0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3.7315</w:t>
            </w:r>
          </w:p>
        </w:tc>
        <w:tc>
          <w:tcPr>
            <w:tcW w:w="0" w:type="auto"/>
            <w:noWrap/>
            <w:vAlign w:val="center"/>
          </w:tcPr>
          <w:p w14:paraId="7FB9F1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4.618</w:t>
            </w:r>
          </w:p>
        </w:tc>
        <w:tc>
          <w:tcPr>
            <w:tcW w:w="0" w:type="auto"/>
            <w:noWrap/>
            <w:vAlign w:val="center"/>
          </w:tcPr>
          <w:p w14:paraId="69528E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4.656</w:t>
            </w:r>
          </w:p>
        </w:tc>
        <w:tc>
          <w:tcPr>
            <w:tcW w:w="0" w:type="auto"/>
            <w:noWrap/>
            <w:vAlign w:val="center"/>
          </w:tcPr>
          <w:p w14:paraId="58D53B4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6.2015</w:t>
            </w:r>
          </w:p>
        </w:tc>
        <w:tc>
          <w:tcPr>
            <w:tcW w:w="0" w:type="auto"/>
            <w:noWrap/>
            <w:vAlign w:val="center"/>
          </w:tcPr>
          <w:p w14:paraId="0D15CB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8.634</w:t>
            </w:r>
          </w:p>
        </w:tc>
        <w:tc>
          <w:tcPr>
            <w:tcW w:w="0" w:type="auto"/>
            <w:noWrap/>
            <w:vAlign w:val="center"/>
          </w:tcPr>
          <w:p w14:paraId="6F44F8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8.619</w:t>
            </w:r>
          </w:p>
        </w:tc>
        <w:tc>
          <w:tcPr>
            <w:tcW w:w="0" w:type="auto"/>
            <w:noWrap/>
            <w:vAlign w:val="center"/>
          </w:tcPr>
          <w:p w14:paraId="34B681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3.3525</w:t>
            </w:r>
          </w:p>
        </w:tc>
        <w:tc>
          <w:tcPr>
            <w:tcW w:w="0" w:type="auto"/>
            <w:noWrap/>
            <w:vAlign w:val="center"/>
          </w:tcPr>
          <w:p w14:paraId="21106E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1.938</w:t>
            </w:r>
          </w:p>
        </w:tc>
        <w:tc>
          <w:tcPr>
            <w:tcW w:w="0" w:type="auto"/>
            <w:noWrap/>
            <w:vAlign w:val="center"/>
          </w:tcPr>
          <w:p w14:paraId="16510F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1.0835</w:t>
            </w:r>
          </w:p>
        </w:tc>
        <w:tc>
          <w:tcPr>
            <w:tcW w:w="0" w:type="auto"/>
            <w:noWrap/>
            <w:vAlign w:val="center"/>
          </w:tcPr>
          <w:p w14:paraId="3A159C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1.779</w:t>
            </w:r>
          </w:p>
        </w:tc>
        <w:tc>
          <w:tcPr>
            <w:tcW w:w="0" w:type="auto"/>
            <w:noWrap/>
            <w:vAlign w:val="center"/>
          </w:tcPr>
          <w:p w14:paraId="09FA37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3.376</w:t>
            </w:r>
          </w:p>
        </w:tc>
        <w:tc>
          <w:tcPr>
            <w:tcW w:w="0" w:type="auto"/>
            <w:noWrap/>
            <w:vAlign w:val="center"/>
          </w:tcPr>
          <w:p w14:paraId="10B2D9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11.3235</w:t>
            </w:r>
          </w:p>
        </w:tc>
        <w:tc>
          <w:tcPr>
            <w:tcW w:w="0" w:type="auto"/>
            <w:noWrap/>
            <w:vAlign w:val="center"/>
          </w:tcPr>
          <w:p w14:paraId="28E73F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2.247</w:t>
            </w:r>
          </w:p>
        </w:tc>
      </w:tr>
    </w:tbl>
    <w:p w14:paraId="2185B08F">
      <w:pPr>
        <w:adjustRightInd/>
        <w:snapToGrid/>
        <w:spacing w:line="440" w:lineRule="exact"/>
        <w:ind w:firstLine="422" w:firstLineChars="200"/>
        <w:rPr>
          <w:rFonts w:hint="eastAsia" w:ascii="Times New Roman" w:hAnsi="Times New Roman" w:eastAsia="宋体" w:cs="Times New Roman"/>
          <w:b/>
          <w:bCs/>
          <w:color w:val="auto"/>
          <w:szCs w:val="20"/>
          <w:highlight w:val="none"/>
          <w:u w:val="single" w:color="auto"/>
        </w:rPr>
      </w:pPr>
    </w:p>
    <w:p w14:paraId="43BA5A06">
      <w:pPr>
        <w:adjustRightInd/>
        <w:snapToGrid/>
        <w:spacing w:line="440" w:lineRule="exact"/>
        <w:ind w:firstLine="422" w:firstLineChars="200"/>
        <w:rPr>
          <w:rFonts w:hint="eastAsia" w:ascii="Times New Roman" w:hAnsi="Times New Roman" w:eastAsia="宋体" w:cs="Times New Roman"/>
          <w:b/>
          <w:bCs/>
          <w:color w:val="auto"/>
          <w:szCs w:val="20"/>
          <w:highlight w:val="none"/>
          <w:u w:val="single" w:color="auto"/>
        </w:rPr>
      </w:pPr>
    </w:p>
    <w:p w14:paraId="5ED2E8E0">
      <w:pPr>
        <w:spacing w:before="156" w:beforeLines="50" w:after="156" w:afterLines="50" w:line="440" w:lineRule="exact"/>
        <w:ind w:firstLine="480" w:firstLineChars="200"/>
        <w:rPr>
          <w:rFonts w:ascii="Times New Roman" w:hAnsi="Times New Roman"/>
          <w:color w:val="auto"/>
          <w:sz w:val="24"/>
          <w:highlight w:val="none"/>
          <w:u w:val="single" w:color="auto"/>
        </w:rPr>
        <w:sectPr>
          <w:pgSz w:w="16838" w:h="11906" w:orient="landscape"/>
          <w:pgMar w:top="1418" w:right="1418" w:bottom="1418" w:left="1418" w:header="851" w:footer="850" w:gutter="0"/>
          <w:pgBorders>
            <w:top w:val="none" w:sz="0" w:space="0"/>
            <w:left w:val="none" w:sz="0" w:space="0"/>
            <w:bottom w:val="none" w:sz="0" w:space="0"/>
            <w:right w:val="none" w:sz="0" w:space="0"/>
          </w:pgBorders>
          <w:pgNumType w:fmt="decimal"/>
          <w:cols w:space="720" w:num="1"/>
          <w:docGrid w:type="lines" w:linePitch="312" w:charSpace="0"/>
        </w:sectPr>
      </w:pPr>
    </w:p>
    <w:p w14:paraId="4C88DDC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single" w:color="auto"/>
        </w:rPr>
      </w:pPr>
      <w:bookmarkStart w:id="173" w:name="_Toc3728193"/>
      <w:r>
        <w:rPr>
          <w:rFonts w:hint="eastAsia" w:ascii="Times New Roman" w:hAnsi="Times New Roman" w:eastAsia="宋体" w:cs="Times New Roman"/>
          <w:b/>
          <w:color w:val="auto"/>
          <w:kern w:val="0"/>
          <w:sz w:val="28"/>
          <w:szCs w:val="20"/>
          <w:u w:val="single" w:color="auto"/>
        </w:rPr>
        <w:t>3</w:t>
      </w:r>
      <w:r>
        <w:rPr>
          <w:rFonts w:ascii="Times New Roman" w:hAnsi="Times New Roman" w:eastAsia="宋体" w:cs="Times New Roman"/>
          <w:b/>
          <w:color w:val="auto"/>
          <w:kern w:val="0"/>
          <w:sz w:val="28"/>
          <w:szCs w:val="20"/>
          <w:u w:val="single" w:color="auto"/>
        </w:rPr>
        <w:t>.1.4水文</w:t>
      </w:r>
      <w:bookmarkEnd w:id="173"/>
    </w:p>
    <w:p w14:paraId="0C8CCC14">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（1）地表水</w:t>
      </w:r>
    </w:p>
    <w:p w14:paraId="309E5B92">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钦州境内有大小河流32条，河流总长2794km，河网密度0.6km/km</w:t>
      </w:r>
      <w:r>
        <w:rPr>
          <w:rFonts w:ascii="Times New Roman" w:hAnsi="Times New Roman" w:eastAsia="宋体" w:cs="Times New Roman"/>
          <w:color w:val="auto"/>
          <w:sz w:val="24"/>
          <w:u w:val="single" w:color="auto"/>
          <w:vertAlign w:val="superscript"/>
        </w:rPr>
        <w:t>2</w:t>
      </w:r>
      <w:r>
        <w:rPr>
          <w:rFonts w:ascii="Times New Roman" w:hAnsi="Times New Roman" w:eastAsia="宋体" w:cs="Times New Roman"/>
          <w:color w:val="auto"/>
          <w:sz w:val="24"/>
          <w:u w:val="single" w:color="auto"/>
        </w:rPr>
        <w:t>，流域面积在1800km</w:t>
      </w:r>
      <w:r>
        <w:rPr>
          <w:rFonts w:ascii="Times New Roman" w:hAnsi="Times New Roman" w:eastAsia="宋体" w:cs="Times New Roman"/>
          <w:color w:val="auto"/>
          <w:sz w:val="24"/>
          <w:u w:val="single" w:color="auto"/>
          <w:vertAlign w:val="superscript"/>
        </w:rPr>
        <w:t>2</w:t>
      </w:r>
      <w:r>
        <w:rPr>
          <w:rFonts w:ascii="Times New Roman" w:hAnsi="Times New Roman" w:eastAsia="宋体" w:cs="Times New Roman"/>
          <w:color w:val="auto"/>
          <w:sz w:val="24"/>
          <w:u w:val="single" w:color="auto"/>
        </w:rPr>
        <w:t>以上的较大河流有三条，即钦江、茅岭江、大风江。年均径流在850～990mm之间，三条江均自东北流向西南，大体平行分布境内，向南流注入钦州湾，属桂南沿海入海水系。流入钦州湾的河流有钦江、茅岭江、金鼓江、鹿耳环江等。其中，钦江和茅岭江为流入钦州湾的主要河流，且为常年河流，它们分别从东北、西北向汇入钦州湾海域，对钦州湾及其邻近水域的泥沙来源、航道、污染和水文环境等都有重要的影响。金鼓江、鹿耳环江为海岔，其水文状况受海洋潮汐影响极大。钦州多年平均降水量1764.5mm，其中钦南、钦北区2100mm，年降水量107×10</w:t>
      </w:r>
      <w:r>
        <w:rPr>
          <w:rFonts w:ascii="Times New Roman" w:hAnsi="Times New Roman" w:eastAsia="宋体" w:cs="Times New Roman"/>
          <w:color w:val="auto"/>
          <w:sz w:val="24"/>
          <w:u w:val="single" w:color="auto"/>
          <w:vertAlign w:val="superscript"/>
        </w:rPr>
        <w:t>8</w:t>
      </w:r>
      <w:r>
        <w:rPr>
          <w:rFonts w:ascii="Times New Roman" w:hAnsi="Times New Roman" w:eastAsia="宋体" w:cs="Times New Roman"/>
          <w:color w:val="auto"/>
          <w:sz w:val="24"/>
          <w:u w:val="single" w:color="auto"/>
        </w:rPr>
        <w:t>m</w:t>
      </w:r>
      <w:r>
        <w:rPr>
          <w:rFonts w:ascii="Times New Roman" w:hAnsi="Times New Roman" w:eastAsia="宋体" w:cs="Times New Roman"/>
          <w:color w:val="auto"/>
          <w:sz w:val="24"/>
          <w:u w:val="single" w:color="auto"/>
          <w:vertAlign w:val="superscript"/>
        </w:rPr>
        <w:t>3</w:t>
      </w:r>
      <w:r>
        <w:rPr>
          <w:rFonts w:ascii="Times New Roman" w:hAnsi="Times New Roman" w:eastAsia="宋体" w:cs="Times New Roman"/>
          <w:color w:val="auto"/>
          <w:sz w:val="24"/>
          <w:u w:val="single" w:color="auto"/>
        </w:rPr>
        <w:t>，钦州市多年平均地表水资源总量为104.2×10</w:t>
      </w:r>
      <w:r>
        <w:rPr>
          <w:rFonts w:ascii="Times New Roman" w:hAnsi="Times New Roman" w:eastAsia="宋体" w:cs="Times New Roman"/>
          <w:color w:val="auto"/>
          <w:sz w:val="24"/>
          <w:u w:val="single" w:color="auto"/>
          <w:vertAlign w:val="superscript"/>
        </w:rPr>
        <w:t>8</w:t>
      </w:r>
      <w:r>
        <w:rPr>
          <w:rFonts w:ascii="Times New Roman" w:hAnsi="Times New Roman" w:eastAsia="宋体" w:cs="Times New Roman"/>
          <w:color w:val="auto"/>
          <w:sz w:val="24"/>
          <w:u w:val="single" w:color="auto"/>
        </w:rPr>
        <w:t>m</w:t>
      </w:r>
      <w:r>
        <w:rPr>
          <w:rFonts w:ascii="Times New Roman" w:hAnsi="Times New Roman" w:eastAsia="宋体" w:cs="Times New Roman"/>
          <w:color w:val="auto"/>
          <w:sz w:val="24"/>
          <w:u w:val="single" w:color="auto"/>
          <w:vertAlign w:val="superscript"/>
        </w:rPr>
        <w:t>3</w:t>
      </w:r>
      <w:r>
        <w:rPr>
          <w:rFonts w:ascii="Times New Roman" w:hAnsi="Times New Roman" w:eastAsia="宋体" w:cs="Times New Roman"/>
          <w:color w:val="auto"/>
          <w:sz w:val="24"/>
          <w:u w:val="single" w:color="auto"/>
        </w:rPr>
        <w:t>，平均年泾流量60×10</w:t>
      </w:r>
      <w:r>
        <w:rPr>
          <w:rFonts w:ascii="Times New Roman" w:hAnsi="Times New Roman" w:eastAsia="宋体" w:cs="Times New Roman"/>
          <w:color w:val="auto"/>
          <w:sz w:val="24"/>
          <w:u w:val="single" w:color="auto"/>
          <w:vertAlign w:val="superscript"/>
        </w:rPr>
        <w:t>8</w:t>
      </w:r>
      <w:r>
        <w:rPr>
          <w:rFonts w:ascii="Times New Roman" w:hAnsi="Times New Roman" w:eastAsia="宋体" w:cs="Times New Roman"/>
          <w:color w:val="auto"/>
          <w:sz w:val="24"/>
          <w:u w:val="single" w:color="auto"/>
        </w:rPr>
        <w:t>m</w:t>
      </w:r>
      <w:r>
        <w:rPr>
          <w:rFonts w:ascii="Times New Roman" w:hAnsi="Times New Roman" w:eastAsia="宋体" w:cs="Times New Roman"/>
          <w:color w:val="auto"/>
          <w:sz w:val="24"/>
          <w:u w:val="single" w:color="auto"/>
          <w:vertAlign w:val="superscript"/>
        </w:rPr>
        <w:t>3</w:t>
      </w:r>
      <w:r>
        <w:rPr>
          <w:rFonts w:ascii="Times New Roman" w:hAnsi="Times New Roman" w:eastAsia="宋体" w:cs="Times New Roman"/>
          <w:color w:val="auto"/>
          <w:sz w:val="24"/>
          <w:u w:val="single" w:color="auto"/>
        </w:rPr>
        <w:t>，目前仅使用18.2％。本项目区紧邻金鼓江入海口，区内主要河道有金鼓江及望鸦江，两者汇合流入钦州湾。金鼓江属感潮河段，河水明显受钦州湾潮汐影响。</w:t>
      </w:r>
    </w:p>
    <w:p w14:paraId="0D35E5A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（2）海水水文</w:t>
      </w:r>
    </w:p>
    <w:p w14:paraId="5BC44D72">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lang w:val="zh-CN"/>
        </w:rPr>
      </w:pPr>
      <w:r>
        <w:rPr>
          <w:rFonts w:hint="eastAsia" w:ascii="Times New Roman" w:hAnsi="Times New Roman" w:eastAsia="宋体" w:cs="Times New Roman"/>
          <w:color w:val="auto"/>
          <w:sz w:val="24"/>
          <w:szCs w:val="24"/>
          <w:highlight w:val="none"/>
          <w:u w:val="single" w:color="auto"/>
          <w:lang w:val="en-US" w:eastAsia="zh-CN"/>
        </w:rPr>
        <w:t>①</w:t>
      </w:r>
      <w:r>
        <w:rPr>
          <w:rFonts w:ascii="Times New Roman" w:hAnsi="Times New Roman" w:eastAsia="宋体" w:cs="Times New Roman"/>
          <w:color w:val="auto"/>
          <w:sz w:val="24"/>
          <w:szCs w:val="24"/>
          <w:highlight w:val="none"/>
          <w:u w:val="single" w:color="auto"/>
          <w:lang w:val="zh-CN"/>
        </w:rPr>
        <w:t>潮位</w:t>
      </w:r>
    </w:p>
    <w:p w14:paraId="365CBA65">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北部湾地区是我国典型的全日潮海区，根据钦州龙门验潮站资料分析（HK1+KO1）/HM2=4.6，钦州湾潮汐性质属正规全日潮，湾内潮汐日不等现象明显，每月约有19~25日出现一天（一个太阳日，下同）一次涨、落潮过程，涨潮历时长，落潮历时短，落潮流速大于涨潮流速；其余时间出现一天二次涨、落潮过程，涨、落历时接近，涨、落流速相差不大。</w:t>
      </w:r>
    </w:p>
    <w:p w14:paraId="45D478F1">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基准面：本报告书除特别说明外，潮位特征值高程均以国家海洋局钦州海洋监测站水尺零点为零点，该基面与</w:t>
      </w:r>
      <w:r>
        <w:rPr>
          <w:rFonts w:hint="eastAsia" w:ascii="Times New Roman" w:hAnsi="Times New Roman" w:eastAsia="宋体" w:cs="Times New Roman"/>
          <w:color w:val="auto"/>
          <w:sz w:val="24"/>
          <w:szCs w:val="24"/>
          <w:highlight w:val="none"/>
          <w:u w:val="single" w:color="auto"/>
          <w:lang w:eastAsia="zh-CN"/>
        </w:rPr>
        <w:t>其他</w:t>
      </w:r>
      <w:r>
        <w:rPr>
          <w:rFonts w:ascii="Times New Roman" w:hAnsi="Times New Roman" w:eastAsia="宋体" w:cs="Times New Roman"/>
          <w:color w:val="auto"/>
          <w:sz w:val="24"/>
          <w:szCs w:val="24"/>
          <w:highlight w:val="none"/>
          <w:u w:val="single" w:color="auto"/>
        </w:rPr>
        <w:t>基准面之间的换算关系详见图</w:t>
      </w:r>
      <w:r>
        <w:rPr>
          <w:rFonts w:hint="eastAsia" w:ascii="Times New Roman" w:hAnsi="Times New Roman" w:eastAsia="宋体" w:cs="Times New Roman"/>
          <w:color w:val="auto"/>
          <w:sz w:val="24"/>
          <w:szCs w:val="24"/>
          <w:highlight w:val="none"/>
          <w:u w:val="single" w:color="auto"/>
          <w:lang w:val="en-US" w:eastAsia="zh-CN"/>
        </w:rPr>
        <w:t>3</w:t>
      </w:r>
      <w:r>
        <w:rPr>
          <w:rFonts w:hint="eastAsia" w:ascii="Times New Roman" w:hAnsi="Times New Roman" w:eastAsia="宋体" w:cs="Times New Roman"/>
          <w:color w:val="auto"/>
          <w:sz w:val="24"/>
          <w:szCs w:val="24"/>
          <w:highlight w:val="none"/>
          <w:u w:val="single" w:color="auto"/>
        </w:rPr>
        <w:t>.1-</w:t>
      </w:r>
      <w:r>
        <w:rPr>
          <w:rFonts w:hint="eastAsia" w:ascii="Times New Roman" w:hAnsi="Times New Roman" w:eastAsia="宋体" w:cs="Times New Roman"/>
          <w:color w:val="auto"/>
          <w:sz w:val="24"/>
          <w:szCs w:val="24"/>
          <w:highlight w:val="none"/>
          <w:u w:val="single" w:color="auto"/>
          <w:lang w:val="en-US" w:eastAsia="zh-CN"/>
        </w:rPr>
        <w:t>2</w:t>
      </w:r>
      <w:r>
        <w:rPr>
          <w:rFonts w:ascii="Times New Roman" w:hAnsi="Times New Roman" w:eastAsia="宋体" w:cs="Times New Roman"/>
          <w:color w:val="auto"/>
          <w:sz w:val="24"/>
          <w:szCs w:val="24"/>
          <w:highlight w:val="none"/>
          <w:u w:val="single" w:color="auto"/>
        </w:rPr>
        <w:t>。</w:t>
      </w:r>
    </w:p>
    <w:p w14:paraId="76793A44">
      <w:pPr>
        <w:adjustRightInd/>
        <w:snapToGrid/>
        <w:ind w:firstLine="422"/>
        <w:jc w:val="center"/>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drawing>
          <wp:inline distT="0" distB="0" distL="114300" distR="114300">
            <wp:extent cx="3257550" cy="1758950"/>
            <wp:effectExtent l="0" t="0" r="0" b="317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6"/>
                    <a:stretch>
                      <a:fillRect/>
                    </a:stretch>
                  </pic:blipFill>
                  <pic:spPr>
                    <a:xfrm>
                      <a:off x="0" y="0"/>
                      <a:ext cx="3257550" cy="1758950"/>
                    </a:xfrm>
                    <a:prstGeom prst="rect">
                      <a:avLst/>
                    </a:prstGeom>
                    <a:noFill/>
                    <a:ln>
                      <a:noFill/>
                    </a:ln>
                  </pic:spPr>
                </pic:pic>
              </a:graphicData>
            </a:graphic>
          </wp:inline>
        </w:drawing>
      </w:r>
    </w:p>
    <w:p w14:paraId="47051887">
      <w:pPr>
        <w:autoSpaceDE w:val="0"/>
        <w:autoSpaceDN w:val="0"/>
        <w:spacing w:line="360" w:lineRule="auto"/>
        <w:jc w:val="center"/>
        <w:rPr>
          <w:rFonts w:ascii="Times New Roman" w:hAnsi="Times New Roman" w:eastAsia="宋体" w:cs="Times New Roman"/>
          <w:b/>
          <w:bCs/>
          <w:color w:val="auto"/>
          <w:sz w:val="24"/>
          <w:szCs w:val="24"/>
          <w:u w:val="single" w:color="auto"/>
        </w:rPr>
      </w:pPr>
      <w:r>
        <w:rPr>
          <w:rFonts w:ascii="Times New Roman" w:hAnsi="Times New Roman" w:eastAsia="宋体" w:cs="Times New Roman"/>
          <w:b/>
          <w:bCs/>
          <w:color w:val="auto"/>
          <w:sz w:val="24"/>
          <w:szCs w:val="24"/>
          <w:u w:val="single" w:color="auto"/>
        </w:rPr>
        <w:t>图</w:t>
      </w:r>
      <w:r>
        <w:rPr>
          <w:rFonts w:hint="eastAsia" w:ascii="Times New Roman" w:hAnsi="Times New Roman" w:eastAsia="宋体" w:cs="Times New Roman"/>
          <w:b/>
          <w:bCs/>
          <w:color w:val="auto"/>
          <w:sz w:val="24"/>
          <w:szCs w:val="24"/>
          <w:u w:val="single" w:color="auto"/>
          <w:lang w:val="en-US" w:eastAsia="zh-CN"/>
        </w:rPr>
        <w:t>3</w:t>
      </w:r>
      <w:r>
        <w:rPr>
          <w:rFonts w:ascii="Times New Roman" w:hAnsi="Times New Roman" w:eastAsia="宋体" w:cs="Times New Roman"/>
          <w:b/>
          <w:bCs/>
          <w:color w:val="auto"/>
          <w:sz w:val="24"/>
          <w:szCs w:val="24"/>
          <w:u w:val="single" w:color="auto"/>
        </w:rPr>
        <w:t>.1-</w:t>
      </w:r>
      <w:r>
        <w:rPr>
          <w:rFonts w:hint="eastAsia" w:ascii="Times New Roman" w:hAnsi="Times New Roman" w:eastAsia="宋体" w:cs="Times New Roman"/>
          <w:b/>
          <w:bCs/>
          <w:color w:val="auto"/>
          <w:sz w:val="24"/>
          <w:szCs w:val="24"/>
          <w:u w:val="single" w:color="auto"/>
          <w:lang w:val="en-US" w:eastAsia="zh-CN"/>
        </w:rPr>
        <w:t>2</w:t>
      </w:r>
      <w:r>
        <w:rPr>
          <w:rFonts w:ascii="Times New Roman" w:hAnsi="Times New Roman" w:eastAsia="宋体" w:cs="Times New Roman"/>
          <w:b/>
          <w:bCs/>
          <w:color w:val="auto"/>
          <w:sz w:val="24"/>
          <w:szCs w:val="24"/>
          <w:u w:val="single" w:color="auto"/>
        </w:rPr>
        <w:t xml:space="preserve"> 钦州港潮位特征值与</w:t>
      </w:r>
      <w:r>
        <w:rPr>
          <w:rFonts w:hint="eastAsia" w:ascii="Times New Roman" w:hAnsi="Times New Roman" w:eastAsia="宋体" w:cs="Times New Roman"/>
          <w:b/>
          <w:bCs/>
          <w:color w:val="auto"/>
          <w:sz w:val="24"/>
          <w:szCs w:val="24"/>
          <w:u w:val="single" w:color="auto"/>
          <w:lang w:eastAsia="zh-CN"/>
        </w:rPr>
        <w:t>其他</w:t>
      </w:r>
      <w:r>
        <w:rPr>
          <w:rFonts w:ascii="Times New Roman" w:hAnsi="Times New Roman" w:eastAsia="宋体" w:cs="Times New Roman"/>
          <w:b/>
          <w:bCs/>
          <w:color w:val="auto"/>
          <w:sz w:val="24"/>
          <w:szCs w:val="24"/>
          <w:u w:val="single" w:color="auto"/>
        </w:rPr>
        <w:t>基面的高程关系</w:t>
      </w:r>
    </w:p>
    <w:p w14:paraId="6FA659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潮位特征值采用国家海洋局钦州海洋监测站 2008-2014 年实测潮位，统计如下：</w:t>
      </w:r>
    </w:p>
    <w:p w14:paraId="299EE6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历年最高潮位：6.39m（2013年）；历年最低潮位：0.50m（2010年）；平均潮位值：3.27m；平均高潮位：4.69m；平均低潮位：2.06m；最大潮差值：5.47m；平均潮差值：2.63m。</w:t>
      </w:r>
    </w:p>
    <w:p w14:paraId="7D3CE2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lang w:val="zh-CN"/>
        </w:rPr>
      </w:pPr>
      <w:r>
        <w:rPr>
          <w:rFonts w:hint="eastAsia" w:ascii="Times New Roman" w:hAnsi="Times New Roman" w:eastAsia="宋体" w:cs="Times New Roman"/>
          <w:color w:val="auto"/>
          <w:sz w:val="24"/>
          <w:szCs w:val="24"/>
          <w:highlight w:val="none"/>
          <w:u w:val="single" w:color="auto"/>
          <w:lang w:val="en-US" w:eastAsia="zh-CN"/>
        </w:rPr>
        <w:t>②</w:t>
      </w:r>
      <w:r>
        <w:rPr>
          <w:rFonts w:ascii="Times New Roman" w:hAnsi="Times New Roman" w:eastAsia="宋体" w:cs="Times New Roman"/>
          <w:color w:val="auto"/>
          <w:sz w:val="24"/>
          <w:szCs w:val="24"/>
          <w:highlight w:val="none"/>
          <w:u w:val="single" w:color="auto"/>
          <w:lang w:val="zh-CN"/>
        </w:rPr>
        <w:t>潮流</w:t>
      </w:r>
    </w:p>
    <w:p w14:paraId="3291BB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钦州湾潮流呈往复流，涨潮近似于前进波，落潮则接近驻波。钦州湾外海涨潮流向东北、落潮流向西南；湾内涨潮方向指北，涨潮流由西南进入湾内后，受东岸边界影响在三墩附近呈NNW向进入青菜头，并沿潮汐通道进入茅尾海，落潮方向相反。涨落潮流均与航道走向大体一致，流向较稳定，落潮流速大于涨潮流速，落潮历时小于涨潮历时，落潮潮流可携带泥沙向外海推移，有利于航道水深的维持。潮流流速的分布为西部大于东部，近岸大于外海，表层大于底层；湾外流速较小，湾内流速较大，青菜头及潮汐通道附近因受地形影响流速最大。涨潮平均流速为0.08m/s～0.28m/s，最大为0.54m/s。落潮平均流速为0.09m/s～0.55m/s，最大流速为0.95m/s。内湾茅尾海纳潮量大，潮汐通道潮流强劲，是维持钦州湾冲淤平衡的主要原因；无大的风浪，最大涨潮流速为1m/s，最大落潮流速为1.7m/s。</w:t>
      </w:r>
    </w:p>
    <w:p w14:paraId="254808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lang w:val="zh-CN"/>
        </w:rPr>
      </w:pPr>
      <w:r>
        <w:rPr>
          <w:rFonts w:hint="eastAsia" w:ascii="Times New Roman" w:hAnsi="Times New Roman" w:eastAsia="宋体" w:cs="Times New Roman"/>
          <w:color w:val="auto"/>
          <w:sz w:val="24"/>
          <w:szCs w:val="24"/>
          <w:highlight w:val="none"/>
          <w:u w:val="single" w:color="auto"/>
          <w:lang w:val="en-US" w:eastAsia="zh-CN"/>
        </w:rPr>
        <w:t>③</w:t>
      </w:r>
      <w:r>
        <w:rPr>
          <w:rFonts w:ascii="Times New Roman" w:hAnsi="Times New Roman" w:eastAsia="宋体" w:cs="Times New Roman"/>
          <w:color w:val="auto"/>
          <w:sz w:val="24"/>
          <w:szCs w:val="24"/>
          <w:highlight w:val="none"/>
          <w:u w:val="single" w:color="auto"/>
          <w:lang w:val="zh-CN"/>
        </w:rPr>
        <w:t>波浪</w:t>
      </w:r>
    </w:p>
    <w:p w14:paraId="2306C9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钦州湾位于北部湾的中部，北部湾海域北面为大陆，东南受雷州半岛和海南岛掩护，西面为中南半岛，海域掩护条件较好，波能动力相对较弱。本工程采用天科所在三墩外作业区设立的波浪观测站得到的观测资料进行分析，以表征钦州湾口波浪特性。</w:t>
      </w:r>
    </w:p>
    <w:p w14:paraId="7F0BAC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u w:val="single" w:color="auto"/>
        </w:rPr>
      </w:pPr>
      <w:r>
        <w:rPr>
          <w:rFonts w:ascii="Times New Roman" w:hAnsi="Times New Roman" w:eastAsia="宋体" w:cs="Times New Roman"/>
          <w:color w:val="auto"/>
          <w:sz w:val="24"/>
          <w:szCs w:val="24"/>
          <w:highlight w:val="none"/>
          <w:u w:val="single" w:color="auto"/>
        </w:rPr>
        <w:t>通过三墩站H</w:t>
      </w:r>
      <w:r>
        <w:rPr>
          <w:rFonts w:ascii="Times New Roman" w:hAnsi="Times New Roman" w:eastAsia="宋体" w:cs="Times New Roman"/>
          <w:color w:val="auto"/>
          <w:sz w:val="24"/>
          <w:szCs w:val="24"/>
          <w:highlight w:val="none"/>
          <w:u w:val="single" w:color="auto"/>
          <w:vertAlign w:val="subscript"/>
        </w:rPr>
        <w:t>1/10</w:t>
      </w:r>
      <w:r>
        <w:rPr>
          <w:rFonts w:ascii="Times New Roman" w:hAnsi="Times New Roman" w:eastAsia="宋体" w:cs="Times New Roman"/>
          <w:color w:val="auto"/>
          <w:sz w:val="24"/>
          <w:szCs w:val="24"/>
          <w:highlight w:val="none"/>
          <w:u w:val="single" w:color="auto"/>
        </w:rPr>
        <w:t>波高频率玫瑰图以及统计表可以看出：三墩站常浪向为N，频率占16.54%，次常浪向为S，频率为15.45%；强浪向为SE、SSE，H</w:t>
      </w:r>
      <w:r>
        <w:rPr>
          <w:rFonts w:ascii="Times New Roman" w:hAnsi="Times New Roman" w:eastAsia="宋体" w:cs="Times New Roman"/>
          <w:color w:val="auto"/>
          <w:sz w:val="24"/>
          <w:szCs w:val="24"/>
          <w:highlight w:val="none"/>
          <w:u w:val="single" w:color="auto"/>
          <w:vertAlign w:val="subscript"/>
        </w:rPr>
        <w:t>1/10</w:t>
      </w:r>
      <w:r>
        <w:rPr>
          <w:rFonts w:ascii="Times New Roman" w:hAnsi="Times New Roman" w:eastAsia="宋体" w:cs="Times New Roman"/>
          <w:color w:val="auto"/>
          <w:sz w:val="24"/>
          <w:szCs w:val="24"/>
          <w:highlight w:val="none"/>
          <w:u w:val="single" w:color="auto"/>
        </w:rPr>
        <w:t>波高最大值2.4m，次强浪向为ESE，H</w:t>
      </w:r>
      <w:r>
        <w:rPr>
          <w:rFonts w:ascii="Times New Roman" w:hAnsi="Times New Roman" w:eastAsia="宋体" w:cs="Times New Roman"/>
          <w:color w:val="auto"/>
          <w:sz w:val="24"/>
          <w:szCs w:val="24"/>
          <w:highlight w:val="none"/>
          <w:u w:val="single" w:color="auto"/>
          <w:vertAlign w:val="subscript"/>
        </w:rPr>
        <w:t>1/10</w:t>
      </w:r>
      <w:r>
        <w:rPr>
          <w:rFonts w:ascii="Times New Roman" w:hAnsi="Times New Roman" w:eastAsia="宋体" w:cs="Times New Roman"/>
          <w:color w:val="auto"/>
          <w:sz w:val="24"/>
          <w:szCs w:val="24"/>
          <w:highlight w:val="none"/>
          <w:u w:val="single" w:color="auto"/>
        </w:rPr>
        <w:t>波高最大值2.0m；NW、NNW、N、NNE、S、SSW、SW、WSW方位的H</w:t>
      </w:r>
      <w:r>
        <w:rPr>
          <w:rFonts w:ascii="Times New Roman" w:hAnsi="Times New Roman" w:eastAsia="宋体" w:cs="Times New Roman"/>
          <w:color w:val="auto"/>
          <w:sz w:val="24"/>
          <w:szCs w:val="24"/>
          <w:highlight w:val="none"/>
          <w:u w:val="single" w:color="auto"/>
          <w:vertAlign w:val="subscript"/>
        </w:rPr>
        <w:t>1/10</w:t>
      </w:r>
      <w:r>
        <w:rPr>
          <w:rFonts w:ascii="Times New Roman" w:hAnsi="Times New Roman" w:eastAsia="宋体" w:cs="Times New Roman"/>
          <w:color w:val="auto"/>
          <w:sz w:val="24"/>
          <w:szCs w:val="24"/>
          <w:highlight w:val="none"/>
          <w:u w:val="single" w:color="auto"/>
        </w:rPr>
        <w:t>波高最大值介于1m～2m之间，其余方位的H</w:t>
      </w:r>
      <w:r>
        <w:rPr>
          <w:rFonts w:ascii="Times New Roman" w:hAnsi="Times New Roman" w:eastAsia="宋体" w:cs="Times New Roman"/>
          <w:color w:val="auto"/>
          <w:sz w:val="24"/>
          <w:szCs w:val="24"/>
          <w:highlight w:val="none"/>
          <w:u w:val="single" w:color="auto"/>
          <w:vertAlign w:val="subscript"/>
        </w:rPr>
        <w:t>1/10</w:t>
      </w:r>
      <w:r>
        <w:rPr>
          <w:rFonts w:ascii="Times New Roman" w:hAnsi="Times New Roman" w:eastAsia="宋体" w:cs="Times New Roman"/>
          <w:color w:val="auto"/>
          <w:sz w:val="24"/>
          <w:szCs w:val="24"/>
          <w:highlight w:val="none"/>
          <w:u w:val="single" w:color="auto"/>
        </w:rPr>
        <w:t>波高最大值小于1m。</w:t>
      </w:r>
    </w:p>
    <w:p w14:paraId="760D2869">
      <w:pPr>
        <w:widowControl/>
        <w:adjustRightInd w:val="0"/>
        <w:snapToGrid w:val="0"/>
        <w:spacing w:after="200" w:line="320" w:lineRule="atLeast"/>
        <w:ind w:firstLine="422"/>
        <w:jc w:val="center"/>
        <w:rPr>
          <w:rFonts w:ascii="Times New Roman" w:hAnsi="Times New Roman" w:eastAsia="宋体" w:cs="Times New Roman"/>
          <w:color w:val="auto"/>
          <w:kern w:val="0"/>
          <w:sz w:val="20"/>
          <w:szCs w:val="24"/>
          <w:highlight w:val="none"/>
          <w:u w:val="single" w:color="auto"/>
          <w:lang w:val="zh-CN"/>
        </w:rPr>
      </w:pPr>
      <w:r>
        <w:rPr>
          <w:rFonts w:ascii="Times New Roman" w:hAnsi="Times New Roman" w:eastAsia="宋体" w:cs="Times New Roman"/>
          <w:color w:val="auto"/>
          <w:kern w:val="0"/>
          <w:sz w:val="20"/>
          <w:szCs w:val="24"/>
          <w:highlight w:val="none"/>
          <w:u w:val="single" w:color="auto"/>
        </w:rPr>
        <w:drawing>
          <wp:inline distT="0" distB="0" distL="114300" distR="114300">
            <wp:extent cx="3482340" cy="3365500"/>
            <wp:effectExtent l="0" t="0" r="3810" b="635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27"/>
                    <a:stretch>
                      <a:fillRect/>
                    </a:stretch>
                  </pic:blipFill>
                  <pic:spPr>
                    <a:xfrm>
                      <a:off x="0" y="0"/>
                      <a:ext cx="3482340" cy="3365500"/>
                    </a:xfrm>
                    <a:prstGeom prst="rect">
                      <a:avLst/>
                    </a:prstGeom>
                    <a:noFill/>
                    <a:ln>
                      <a:noFill/>
                    </a:ln>
                  </pic:spPr>
                </pic:pic>
              </a:graphicData>
            </a:graphic>
          </wp:inline>
        </w:drawing>
      </w:r>
    </w:p>
    <w:p w14:paraId="7D0331F8">
      <w:pPr>
        <w:autoSpaceDE w:val="0"/>
        <w:autoSpaceDN w:val="0"/>
        <w:spacing w:line="360" w:lineRule="auto"/>
        <w:jc w:val="center"/>
        <w:rPr>
          <w:rFonts w:ascii="Times New Roman" w:hAnsi="Times New Roman" w:eastAsia="宋体" w:cs="Times New Roman"/>
          <w:b/>
          <w:bCs/>
          <w:color w:val="auto"/>
          <w:sz w:val="24"/>
          <w:szCs w:val="24"/>
          <w:u w:val="single" w:color="auto"/>
        </w:rPr>
      </w:pPr>
      <w:r>
        <w:rPr>
          <w:rFonts w:ascii="Times New Roman" w:hAnsi="Times New Roman" w:eastAsia="宋体" w:cs="Times New Roman"/>
          <w:b/>
          <w:bCs/>
          <w:color w:val="auto"/>
          <w:sz w:val="24"/>
          <w:szCs w:val="24"/>
          <w:u w:val="single" w:color="auto"/>
        </w:rPr>
        <w:t>图</w:t>
      </w:r>
      <w:r>
        <w:rPr>
          <w:rFonts w:hint="eastAsia" w:ascii="Times New Roman" w:hAnsi="Times New Roman" w:eastAsia="宋体" w:cs="Times New Roman"/>
          <w:b/>
          <w:bCs/>
          <w:color w:val="auto"/>
          <w:sz w:val="24"/>
          <w:szCs w:val="24"/>
          <w:u w:val="single" w:color="auto"/>
          <w:lang w:val="en-US" w:eastAsia="zh-CN"/>
        </w:rPr>
        <w:t>3</w:t>
      </w:r>
      <w:r>
        <w:rPr>
          <w:rFonts w:ascii="Times New Roman" w:hAnsi="Times New Roman" w:eastAsia="宋体" w:cs="Times New Roman"/>
          <w:b/>
          <w:bCs/>
          <w:color w:val="auto"/>
          <w:sz w:val="24"/>
          <w:szCs w:val="24"/>
          <w:u w:val="single" w:color="auto"/>
        </w:rPr>
        <w:t>.1-</w:t>
      </w:r>
      <w:r>
        <w:rPr>
          <w:rFonts w:hint="eastAsia" w:ascii="Times New Roman" w:hAnsi="Times New Roman" w:eastAsia="宋体" w:cs="Times New Roman"/>
          <w:b/>
          <w:bCs/>
          <w:color w:val="auto"/>
          <w:sz w:val="24"/>
          <w:szCs w:val="24"/>
          <w:u w:val="single" w:color="auto"/>
          <w:lang w:val="en-US" w:eastAsia="zh-CN"/>
        </w:rPr>
        <w:t>3</w:t>
      </w:r>
      <w:r>
        <w:rPr>
          <w:rFonts w:ascii="Times New Roman" w:hAnsi="Times New Roman" w:eastAsia="宋体" w:cs="Times New Roman"/>
          <w:b/>
          <w:bCs/>
          <w:color w:val="auto"/>
          <w:sz w:val="24"/>
          <w:szCs w:val="24"/>
          <w:u w:val="single" w:color="auto"/>
        </w:rPr>
        <w:t xml:space="preserve"> 三墩站H1/10波高频率玫瑰图（2010.06～2011.05）</w:t>
      </w:r>
    </w:p>
    <w:p w14:paraId="2281C72E">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（3）地下水</w:t>
      </w:r>
    </w:p>
    <w:p w14:paraId="0AEDD58D">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钦州地区地下水主要为松散层孔隙潜水和基岩裂隙水。由于松散层孔隙含水层分布面积小，基岩裂隙含水层补给及储存条件较差，含水层富水性极不均匀，本地区地下水不能作为城市集中供水水源。地下水主要为裂隙孔隙承压水，地下水的补给主要是降雨的垂直补给和地表水(山塘、水库)侧向补给，其</w:t>
      </w:r>
      <w:r>
        <w:rPr>
          <w:rFonts w:hint="eastAsia" w:ascii="Times New Roman" w:hAnsi="Times New Roman" w:eastAsia="宋体" w:cs="Times New Roman"/>
          <w:color w:val="auto"/>
          <w:sz w:val="24"/>
          <w:u w:val="single" w:color="auto"/>
          <w:lang w:eastAsia="zh-CN"/>
        </w:rPr>
        <w:t>径流</w:t>
      </w:r>
      <w:r>
        <w:rPr>
          <w:rFonts w:ascii="Times New Roman" w:hAnsi="Times New Roman" w:eastAsia="宋体" w:cs="Times New Roman"/>
          <w:color w:val="auto"/>
          <w:sz w:val="24"/>
          <w:u w:val="single" w:color="auto"/>
        </w:rPr>
        <w:t>排泄总体上是由北向南，由东西两侧向中部钦江河</w:t>
      </w:r>
      <w:r>
        <w:rPr>
          <w:rFonts w:hint="eastAsia" w:ascii="Times New Roman" w:hAnsi="Times New Roman" w:eastAsia="宋体" w:cs="Times New Roman"/>
          <w:color w:val="auto"/>
          <w:sz w:val="24"/>
          <w:u w:val="single" w:color="auto"/>
          <w:lang w:eastAsia="zh-CN"/>
        </w:rPr>
        <w:t>径流</w:t>
      </w:r>
      <w:r>
        <w:rPr>
          <w:rFonts w:ascii="Times New Roman" w:hAnsi="Times New Roman" w:eastAsia="宋体" w:cs="Times New Roman"/>
          <w:color w:val="auto"/>
          <w:sz w:val="24"/>
          <w:u w:val="single" w:color="auto"/>
        </w:rPr>
        <w:t>排泄</w:t>
      </w:r>
      <w:r>
        <w:rPr>
          <w:rFonts w:hint="eastAsia" w:ascii="Times New Roman" w:hAnsi="Times New Roman" w:eastAsia="宋体" w:cs="Times New Roman"/>
          <w:color w:val="auto"/>
          <w:sz w:val="24"/>
          <w:u w:val="single" w:color="auto"/>
        </w:rPr>
        <w:t>。</w:t>
      </w:r>
      <w:r>
        <w:rPr>
          <w:rFonts w:ascii="Times New Roman" w:hAnsi="Times New Roman" w:eastAsia="宋体" w:cs="Times New Roman"/>
          <w:color w:val="auto"/>
          <w:sz w:val="24"/>
          <w:u w:val="single" w:color="auto"/>
        </w:rPr>
        <w:t>目前，钦州市主要的生活和工业用水以地表水为主，地下水开采量约占总用水量的20%。区域评价河段无生活饮用水水源保护区。</w:t>
      </w:r>
    </w:p>
    <w:p w14:paraId="45FF03C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74" w:name="_Toc3728194"/>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.1.5土壤及生物多样性</w:t>
      </w:r>
      <w:bookmarkEnd w:id="174"/>
    </w:p>
    <w:p w14:paraId="70C2F748">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钦州市土壤的成土母岩和母质主要有砂页岩、花岗岩、砂岩、紫色岩系、浅海沉积物、第四纪红土和河流冲积物等七种，此外还有页岩、粉砂岩、灰岩、石灰岩等。由于成土母质较多，形成的土壤种类也较多。成土母质主要是沙页岩与花岗岩，呈带状相间分布。地势平缓，大部分已垦殖为耕作土壤。其分布规律是：从垌田到丘陵依次为沙页岩或花岗岩母质潴育性水稻土‐淹育性水稻土‐耕型沙页岩或花岗岩赤（砖）红壤‐沙页岩或花岗岩赤（砖）红岩（林业土壤）。山间有较多的潜底田。本项目所在地的旱地土壤以耕型砖红壤、耕型滨海沙土为主；自然土土质以风沙土及沼泽土为主。</w:t>
      </w:r>
    </w:p>
    <w:p w14:paraId="1F6CA082">
      <w:pPr>
        <w:autoSpaceDE w:val="0"/>
        <w:autoSpaceDN w:val="0"/>
        <w:spacing w:line="360" w:lineRule="auto"/>
        <w:ind w:firstLine="480" w:firstLineChars="200"/>
        <w:jc w:val="left"/>
        <w:rPr>
          <w:color w:val="auto"/>
          <w:u w:val="none" w:color="auto"/>
        </w:rPr>
      </w:pPr>
      <w:r>
        <w:rPr>
          <w:rFonts w:ascii="Times New Roman" w:hAnsi="Times New Roman" w:eastAsia="宋体" w:cs="Times New Roman"/>
          <w:color w:val="auto"/>
          <w:sz w:val="24"/>
          <w:u w:val="none" w:color="auto"/>
        </w:rPr>
        <w:t>钦州市植被茂盛，天然植被分区属桂南热带雨林和亚热带季雨林区。植被类型和植物群落多种多样，大致分为季雨林、常绿阔叶林、针叶林、针阔叶混交林和稀树矮草等5大类植被类型。植被分布极不平衡，在西部、北部及东部部分地区，原生植被大部分已受</w:t>
      </w:r>
      <w:r>
        <w:rPr>
          <w:rFonts w:hint="eastAsia" w:ascii="Times New Roman" w:hAnsi="Times New Roman" w:eastAsia="宋体" w:cs="Times New Roman"/>
          <w:color w:val="auto"/>
          <w:sz w:val="24"/>
          <w:u w:val="none" w:color="auto"/>
          <w:lang w:eastAsia="zh-CN"/>
        </w:rPr>
        <w:t>破坏</w:t>
      </w:r>
      <w:r>
        <w:rPr>
          <w:rFonts w:ascii="Times New Roman" w:hAnsi="Times New Roman" w:eastAsia="宋体" w:cs="Times New Roman"/>
          <w:color w:val="auto"/>
          <w:sz w:val="24"/>
          <w:u w:val="none" w:color="auto"/>
        </w:rPr>
        <w:t>，现有森林是以松、杉树为主的次生杂木林，杂木有椎、樟、楠、荷、格、紫荆等。地表以桃金娘、芒箕群落为主。中南部地区属灌木低草群落、灌木以岗松为主，低草以鸭咀草为主，其次也有桃金娘、芒箕、鹧鸪草等。评价区域森林植被以松杉和天然阔叶林为主。由于土壤、气候、地形条件的不同，植被分布有区域性差异：东、西北部地区以桃金娘芒箕群落为主，草类以绒草为主，覆盖率80～90%，乔木以松杉为主；南部、中部地区以灌木、岗松及低草群落的鸭嘴草为主，覆盖率50～60%，乔木以松为主；沿海地区以矮生鹧鸪草群落为主，覆盖率30～40%，乔木以松为主。据调查，评价区内无国家级、自治区级濒危动、植物及特殊栖息地保护区等特殊敏感区域。</w:t>
      </w:r>
    </w:p>
    <w:p w14:paraId="01671F8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6</w:t>
      </w:r>
      <w:r>
        <w:rPr>
          <w:rFonts w:ascii="Times New Roman" w:hAnsi="Times New Roman" w:eastAsia="宋体" w:cs="Times New Roman"/>
          <w:b/>
          <w:color w:val="auto"/>
          <w:kern w:val="0"/>
          <w:sz w:val="28"/>
          <w:szCs w:val="20"/>
          <w:u w:val="none" w:color="auto"/>
        </w:rPr>
        <w:t>周边饮用水水源调查</w:t>
      </w:r>
    </w:p>
    <w:p w14:paraId="65D2B737">
      <w:pPr>
        <w:numPr>
          <w:ilvl w:val="0"/>
          <w:numId w:val="11"/>
        </w:num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基本情况 </w:t>
      </w:r>
    </w:p>
    <w:p w14:paraId="1280236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根据《关于钦州市市区饮用水水源保护区重新划定方案的批复》桂政函〔2012〕116号， 金窝水库为钦州市市区饮用水水源保护区之一。企山水库原为是金窝水库的结瓜水库，与金窝水库相连，钦州市区饮用水水源重新划定后，将截断企业水库与金窝水库之间的连通渠，取消现状取水口，并在金窝水库另行规划取水口，经此处理后，企山水库所在区域列于金窝水库饮用水水源保护区陆域二级保护区内，不再设置取水口。</w:t>
      </w:r>
    </w:p>
    <w:p w14:paraId="089BF207">
      <w:pPr>
        <w:numPr>
          <w:ilvl w:val="0"/>
          <w:numId w:val="11"/>
        </w:num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 金窝水库饮用水源保护区 </w:t>
      </w:r>
    </w:p>
    <w:p w14:paraId="5A4638DE">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金窝水库饮用水水源保护区分为一级保护区和二级保护区，其中：</w:t>
      </w:r>
    </w:p>
    <w:p w14:paraId="4ABF487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①一级保护区。水域范围：金窝水库正常水位线以下的水域。陆域范围：水库正常水位线以上200m范围内的陆域（含库中岛屿）。总面积：14.22km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 xml:space="preserve">。 </w:t>
      </w:r>
    </w:p>
    <w:p w14:paraId="23AB3078">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②二级保护区。</w:t>
      </w:r>
    </w:p>
    <w:p w14:paraId="55157E3E">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陆域范围：水库东面为正常水位线外径向距离3000m范围内的陆域，南面为 正常水位线外径向距离500m范围内的陆域，西面为正常水位线至六景高速公路 东侧边缘的陆域，北面为正常水位线至大窝口安置新村附近山脊线不小于 1000m范围内的陆域。一级保护区陆域除外。总面积：47.06km</w:t>
      </w:r>
      <w:r>
        <w:rPr>
          <w:rFonts w:ascii="Times New Roman" w:hAnsi="Times New Roman" w:eastAsia="宋体" w:cs="Times New Roman"/>
          <w:color w:val="auto"/>
          <w:sz w:val="24"/>
          <w:u w:val="none" w:color="auto"/>
          <w:vertAlign w:val="superscript"/>
        </w:rPr>
        <w:t>2</w:t>
      </w:r>
      <w:r>
        <w:rPr>
          <w:rFonts w:ascii="Times New Roman" w:hAnsi="Times New Roman" w:eastAsia="宋体" w:cs="Times New Roman"/>
          <w:color w:val="auto"/>
          <w:sz w:val="24"/>
          <w:u w:val="none" w:color="auto"/>
        </w:rPr>
        <w:t xml:space="preserve">。 </w:t>
      </w:r>
    </w:p>
    <w:p w14:paraId="29E9F0B6">
      <w:pPr>
        <w:numPr>
          <w:ilvl w:val="0"/>
          <w:numId w:val="11"/>
        </w:num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项目与金窝水库饮用水源保护区的关系 </w:t>
      </w:r>
    </w:p>
    <w:p w14:paraId="07E60DC0">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金窝水库位于项目东北侧，距离金窝水库饮用水水源保护区约</w:t>
      </w:r>
      <w:r>
        <w:rPr>
          <w:rFonts w:hint="eastAsia" w:ascii="Times New Roman" w:hAnsi="Times New Roman" w:eastAsia="宋体" w:cs="Times New Roman"/>
          <w:color w:val="auto"/>
          <w:sz w:val="24"/>
          <w:u w:val="none" w:color="auto"/>
        </w:rPr>
        <w:t>5.0</w:t>
      </w:r>
      <w:r>
        <w:rPr>
          <w:rFonts w:ascii="Times New Roman" w:hAnsi="Times New Roman" w:eastAsia="宋体" w:cs="Times New Roman"/>
          <w:color w:val="auto"/>
          <w:sz w:val="24"/>
          <w:u w:val="none" w:color="auto"/>
        </w:rPr>
        <w:t>km，本项目用地不涉及金窝水库饮用水源保护区，与金窝水库无水力联系。</w:t>
      </w:r>
      <w:r>
        <w:rPr>
          <w:rFonts w:hint="eastAsia" w:ascii="Times New Roman" w:hAnsi="Times New Roman" w:eastAsia="宋体" w:cs="Times New Roman"/>
          <w:color w:val="auto"/>
          <w:sz w:val="24"/>
          <w:u w:val="none" w:color="auto"/>
        </w:rPr>
        <w:t>项目与</w:t>
      </w:r>
      <w:r>
        <w:rPr>
          <w:rFonts w:ascii="Times New Roman" w:hAnsi="Times New Roman" w:eastAsia="宋体" w:cs="Times New Roman"/>
          <w:color w:val="auto"/>
          <w:sz w:val="24"/>
          <w:u w:val="none" w:color="auto"/>
        </w:rPr>
        <w:t>金窝水库饮用水水源保护区</w:t>
      </w:r>
      <w:r>
        <w:rPr>
          <w:rFonts w:hint="eastAsia" w:ascii="Times New Roman" w:hAnsi="Times New Roman" w:eastAsia="宋体" w:cs="Times New Roman"/>
          <w:color w:val="auto"/>
          <w:sz w:val="24"/>
          <w:u w:val="none" w:color="auto"/>
        </w:rPr>
        <w:t>位置关系图见附图3.1-</w:t>
      </w:r>
      <w:r>
        <w:rPr>
          <w:rFonts w:hint="eastAsia" w:ascii="Times New Roman" w:hAnsi="Times New Roman" w:eastAsia="宋体" w:cs="Times New Roman"/>
          <w:color w:val="auto"/>
          <w:sz w:val="24"/>
          <w:u w:val="none" w:color="auto"/>
          <w:lang w:val="en-US" w:eastAsia="zh-CN"/>
        </w:rPr>
        <w:t>4</w:t>
      </w:r>
      <w:r>
        <w:rPr>
          <w:rFonts w:hint="eastAsia" w:ascii="Times New Roman" w:hAnsi="Times New Roman" w:eastAsia="宋体" w:cs="Times New Roman"/>
          <w:color w:val="auto"/>
          <w:sz w:val="24"/>
          <w:u w:val="none" w:color="auto"/>
        </w:rPr>
        <w:t>。</w:t>
      </w:r>
    </w:p>
    <w:p w14:paraId="2EA711D2">
      <w:pPr>
        <w:pStyle w:val="48"/>
        <w:rPr>
          <w:rFonts w:hint="default" w:ascii="Times New Roman" w:hAnsi="Times New Roman" w:eastAsia="宋体"/>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BEA5A61">
      <w:pPr>
        <w:pStyle w:val="59"/>
        <w:ind w:left="0"/>
        <w:jc w:val="center"/>
        <w:rPr>
          <w:color w:val="auto"/>
          <w:u w:val="none" w:color="auto"/>
        </w:rPr>
      </w:pPr>
      <w:r>
        <w:rPr>
          <w:color w:val="auto"/>
          <w:u w:val="none" w:color="auto"/>
        </w:rPr>
        <mc:AlternateContent>
          <mc:Choice Requires="wps">
            <w:drawing>
              <wp:anchor distT="0" distB="0" distL="114300" distR="114300" simplePos="0" relativeHeight="251667456" behindDoc="0" locked="0" layoutInCell="1" allowOverlap="1">
                <wp:simplePos x="0" y="0"/>
                <wp:positionH relativeFrom="column">
                  <wp:posOffset>2507615</wp:posOffset>
                </wp:positionH>
                <wp:positionV relativeFrom="paragraph">
                  <wp:posOffset>3180080</wp:posOffset>
                </wp:positionV>
                <wp:extent cx="912495" cy="25844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91249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9EA325">
                            <w:pPr>
                              <w:rPr>
                                <w:rFonts w:ascii="宋体" w:hAnsi="宋体" w:eastAsia="宋体" w:cs="宋体"/>
                                <w:b/>
                                <w:bCs/>
                                <w:color w:val="FF0000"/>
                              </w:rPr>
                            </w:pPr>
                            <w:r>
                              <w:rPr>
                                <w:rFonts w:hint="eastAsia" w:ascii="宋体" w:hAnsi="宋体" w:eastAsia="宋体" w:cs="宋体"/>
                                <w:b/>
                                <w:bCs/>
                                <w:color w:val="FF0000"/>
                              </w:rPr>
                              <w:t>5000m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45pt;margin-top:250.4pt;height:20.35pt;width:71.85pt;z-index:251667456;mso-width-relative:page;mso-height-relative:page;" filled="f" stroked="f" coordsize="21600,21600" o:gfxdata="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FzJdrdAAAACwEAAA8AAAAAAAAAAQAgAAAAIgAA&#10;AGRycy9kb3ducmV2LnhtbFBLAQIUABQAAAAIAIdO4kChvf+lPAIAAGcEAAAOAAAAAAAAAAEAIAAA&#10;ACwBAABkcnMvZTJvRG9jLnhtbFBLBQYAAAAABgAGAFkBAADaBQAAAAA=&#10;">
                <v:fill on="f" focussize="0,0"/>
                <v:stroke on="f" weight="0.5pt"/>
                <v:imagedata o:title=""/>
                <o:lock v:ext="edit" aspectratio="f"/>
                <v:textbox>
                  <w:txbxContent>
                    <w:p w14:paraId="659EA325">
                      <w:pPr>
                        <w:rPr>
                          <w:rFonts w:ascii="宋体" w:hAnsi="宋体" w:eastAsia="宋体" w:cs="宋体"/>
                          <w:b/>
                          <w:bCs/>
                          <w:color w:val="FF0000"/>
                        </w:rPr>
                      </w:pPr>
                      <w:r>
                        <w:rPr>
                          <w:rFonts w:hint="eastAsia" w:ascii="宋体" w:hAnsi="宋体" w:eastAsia="宋体" w:cs="宋体"/>
                          <w:b/>
                          <w:bCs/>
                          <w:color w:val="FF0000"/>
                        </w:rPr>
                        <w:t>5000m</w:t>
                      </w:r>
                    </w:p>
                  </w:txbxContent>
                </v:textbox>
              </v:shape>
            </w:pict>
          </mc:Fallback>
        </mc:AlternateContent>
      </w:r>
      <w:r>
        <w:rPr>
          <w:color w:val="auto"/>
          <w:u w:val="none" w:color="auto"/>
        </w:rPr>
        <mc:AlternateContent>
          <mc:Choice Requires="wps">
            <w:drawing>
              <wp:anchor distT="0" distB="0" distL="114300" distR="114300" simplePos="0" relativeHeight="251666432" behindDoc="0" locked="0" layoutInCell="1" allowOverlap="1">
                <wp:simplePos x="0" y="0"/>
                <wp:positionH relativeFrom="column">
                  <wp:posOffset>1946910</wp:posOffset>
                </wp:positionH>
                <wp:positionV relativeFrom="paragraph">
                  <wp:posOffset>3742055</wp:posOffset>
                </wp:positionV>
                <wp:extent cx="912495" cy="258445"/>
                <wp:effectExtent l="0" t="0" r="0" b="0"/>
                <wp:wrapNone/>
                <wp:docPr id="37" name="文本框 37"/>
                <wp:cNvGraphicFramePr/>
                <a:graphic xmlns:a="http://schemas.openxmlformats.org/drawingml/2006/main">
                  <a:graphicData uri="http://schemas.microsoft.com/office/word/2010/wordprocessingShape">
                    <wps:wsp>
                      <wps:cNvSpPr txBox="1"/>
                      <wps:spPr>
                        <a:xfrm>
                          <a:off x="2956560" y="4959985"/>
                          <a:ext cx="91249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015202">
                            <w:pPr>
                              <w:rPr>
                                <w:rFonts w:ascii="宋体" w:hAnsi="宋体" w:eastAsia="宋体" w:cs="宋体"/>
                                <w:b/>
                                <w:bCs/>
                                <w:color w:val="FF0000"/>
                              </w:rPr>
                            </w:pPr>
                            <w:r>
                              <w:rPr>
                                <w:rFonts w:hint="eastAsia" w:ascii="宋体" w:hAnsi="宋体" w:eastAsia="宋体" w:cs="宋体"/>
                                <w:b/>
                                <w:bCs/>
                                <w:color w:val="FF0000"/>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3pt;margin-top:294.65pt;height:20.35pt;width:71.85pt;z-index:251666432;mso-width-relative:page;mso-height-relative:page;" filled="f" stroked="f" coordsize="21600,21600" o:gfxdata="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7zKdv3AAAAAsBAAAPAAAA&#10;AAAAAAEAIAAAACIAAABkcnMvZG93bnJldi54bWxQSwECFAAUAAAACACHTuJA0iKfk0oCAABzBAAA&#10;DgAAAAAAAAABACAAAAArAQAAZHJzL2Uyb0RvYy54bWxQSwUGAAAAAAYABgBZAQAA5wUAAAAA&#10;">
                <v:fill on="f" focussize="0,0"/>
                <v:stroke on="f" weight="0.5pt"/>
                <v:imagedata o:title=""/>
                <o:lock v:ext="edit" aspectratio="f"/>
                <v:textbox>
                  <w:txbxContent>
                    <w:p w14:paraId="40015202">
                      <w:pPr>
                        <w:rPr>
                          <w:rFonts w:ascii="宋体" w:hAnsi="宋体" w:eastAsia="宋体" w:cs="宋体"/>
                          <w:b/>
                          <w:bCs/>
                          <w:color w:val="FF0000"/>
                        </w:rPr>
                      </w:pPr>
                      <w:r>
                        <w:rPr>
                          <w:rFonts w:hint="eastAsia" w:ascii="宋体" w:hAnsi="宋体" w:eastAsia="宋体" w:cs="宋体"/>
                          <w:b/>
                          <w:bCs/>
                          <w:color w:val="FF0000"/>
                        </w:rPr>
                        <w:t>项目所在地</w:t>
                      </w:r>
                    </w:p>
                  </w:txbxContent>
                </v:textbox>
              </v:shape>
            </w:pict>
          </mc:Fallback>
        </mc:AlternateContent>
      </w:r>
      <w:r>
        <w:rPr>
          <w:color w:val="auto"/>
          <w:u w:val="none" w:color="auto"/>
        </w:rPr>
        <mc:AlternateContent>
          <mc:Choice Requires="wps">
            <w:drawing>
              <wp:anchor distT="0" distB="0" distL="114300" distR="114300" simplePos="0" relativeHeight="251665408" behindDoc="0" locked="0" layoutInCell="1" allowOverlap="1">
                <wp:simplePos x="0" y="0"/>
                <wp:positionH relativeFrom="column">
                  <wp:posOffset>2375535</wp:posOffset>
                </wp:positionH>
                <wp:positionV relativeFrom="paragraph">
                  <wp:posOffset>3109595</wp:posOffset>
                </wp:positionV>
                <wp:extent cx="1176655" cy="595630"/>
                <wp:effectExtent l="0" t="5715" r="4445" b="8255"/>
                <wp:wrapNone/>
                <wp:docPr id="36" name="直接箭头连接符 36"/>
                <wp:cNvGraphicFramePr/>
                <a:graphic xmlns:a="http://schemas.openxmlformats.org/drawingml/2006/main">
                  <a:graphicData uri="http://schemas.microsoft.com/office/word/2010/wordprocessingShape">
                    <wps:wsp>
                      <wps:cNvCnPr>
                        <a:stCxn id="35" idx="3"/>
                      </wps:cNvCnPr>
                      <wps:spPr>
                        <a:xfrm flipV="1">
                          <a:off x="3289935" y="4252595"/>
                          <a:ext cx="1176655" cy="59563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87.05pt;margin-top:244.85pt;height:46.9pt;width:92.65pt;z-index:251665408;mso-width-relative:page;mso-height-relative:page;" filled="f" stroked="t" coordsize="21600,21600" o:gfxdata="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FhP3S2gAAAAsBAAAPAAAAAAAAAAEAIAAAACIAAABkcnMvZG93&#10;bnJldi54bWxQSwECFAAUAAAACACHTuJA4fbJuTcCAAA7BAAADgAAAAAAAAABACAAAAApAQAAZHJz&#10;L2Uyb0RvYy54bWxQSwUGAAAAAAYABgBZAQAA0gUAAAAA&#10;">
                <v:fill on="f" focussize="0,0"/>
                <v:stroke weight="0.5pt" color="#FF0000 [3204]" miterlimit="8" joinstyle="miter" startarrow="open" endarrow="open"/>
                <v:imagedata o:title=""/>
                <o:lock v:ext="edit" aspectratio="f"/>
              </v:shape>
            </w:pict>
          </mc:Fallback>
        </mc:AlternateContent>
      </w:r>
      <w:r>
        <w:rPr>
          <w:color w:val="auto"/>
          <w:u w:val="none" w:color="auto"/>
        </w:rPr>
        <mc:AlternateContent>
          <mc:Choice Requires="wps">
            <w:drawing>
              <wp:anchor distT="0" distB="0" distL="114300" distR="114300" simplePos="0" relativeHeight="251664384" behindDoc="0" locked="0" layoutInCell="1" allowOverlap="1">
                <wp:simplePos x="0" y="0"/>
                <wp:positionH relativeFrom="column">
                  <wp:posOffset>2273300</wp:posOffset>
                </wp:positionH>
                <wp:positionV relativeFrom="paragraph">
                  <wp:posOffset>3667125</wp:posOffset>
                </wp:positionV>
                <wp:extent cx="102235" cy="75565"/>
                <wp:effectExtent l="6350" t="6350" r="15240" b="13335"/>
                <wp:wrapNone/>
                <wp:docPr id="35" name="矩形 35"/>
                <wp:cNvGraphicFramePr/>
                <a:graphic xmlns:a="http://schemas.openxmlformats.org/drawingml/2006/main">
                  <a:graphicData uri="http://schemas.microsoft.com/office/word/2010/wordprocessingShape">
                    <wps:wsp>
                      <wps:cNvSpPr/>
                      <wps:spPr>
                        <a:xfrm>
                          <a:off x="3187700" y="4810125"/>
                          <a:ext cx="102235" cy="75565"/>
                        </a:xfrm>
                        <a:prstGeom prst="rect">
                          <a:avLst/>
                        </a:prstGeom>
                        <a:gradFill>
                          <a:gsLst>
                            <a:gs pos="0">
                              <a:srgbClr val="E30000"/>
                            </a:gs>
                            <a:gs pos="100000">
                              <a:srgbClr val="760303"/>
                            </a:gs>
                          </a:gsLst>
                          <a:lin ang="5400000" scaled="0"/>
                        </a:gra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9pt;margin-top:288.75pt;height:5.95pt;width:8.05pt;z-index:251664384;v-text-anchor:middle;mso-width-relative:page;mso-height-relative:page;" fillcolor="#E30000" filled="t" stroked="t" coordsize="21600,21600" o:gfxdata="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hT4LPZAAAACwEAAA8AAAAAAAAAAQAgAAAAIgAAAGRycy9k&#10;b3ducmV2LnhtbFBLAQIUABQAAAAIAIdO4kB/5wLerAIAAHoFAAAOAAAAAAAAAAEAIAAAACgBAABk&#10;cnMvZTJvRG9jLnhtbFBLBQYAAAAABgAGAFkBAABGBgAAAAA=&#10;">
                <v:fill type="gradient" on="t" color2="#760303" focus="100%" focussize="0,0" rotate="t">
                  <o:fill type="gradientUnscaled" v:ext="backwardCompatible"/>
                </v:fill>
                <v:stroke weight="1pt" color="#C00000 [3204]" miterlimit="8" joinstyle="miter"/>
                <v:imagedata o:title=""/>
                <o:lock v:ext="edit" aspectratio="f"/>
              </v:rect>
            </w:pict>
          </mc:Fallback>
        </mc:AlternateContent>
      </w:r>
    </w:p>
    <w:p w14:paraId="434E4072">
      <w:pPr>
        <w:autoSpaceDE w:val="0"/>
        <w:autoSpaceDN w:val="0"/>
        <w:spacing w:line="360" w:lineRule="auto"/>
        <w:jc w:val="center"/>
        <w:rPr>
          <w:rFonts w:ascii="Times New Roman" w:hAnsi="Times New Roman" w:eastAsia="宋体" w:cs="Times New Roman"/>
          <w:b/>
          <w:bCs/>
          <w:color w:val="auto"/>
          <w:sz w:val="24"/>
          <w:szCs w:val="24"/>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b/>
          <w:bCs/>
          <w:color w:val="auto"/>
          <w:sz w:val="24"/>
          <w:szCs w:val="24"/>
          <w:u w:val="none" w:color="auto"/>
        </w:rPr>
        <w:t>图</w:t>
      </w:r>
      <w:r>
        <w:rPr>
          <w:rFonts w:hint="eastAsia" w:ascii="Times New Roman" w:hAnsi="Times New Roman" w:eastAsia="宋体" w:cs="Times New Roman"/>
          <w:b/>
          <w:bCs/>
          <w:color w:val="auto"/>
          <w:sz w:val="24"/>
          <w:szCs w:val="24"/>
          <w:u w:val="none" w:color="auto"/>
        </w:rPr>
        <w:t>3.1</w:t>
      </w:r>
      <w:r>
        <w:rPr>
          <w:rFonts w:ascii="Times New Roman" w:hAnsi="Times New Roman" w:eastAsia="宋体" w:cs="Times New Roman"/>
          <w:b/>
          <w:bCs/>
          <w:color w:val="auto"/>
          <w:sz w:val="24"/>
          <w:szCs w:val="24"/>
          <w:u w:val="none" w:color="auto"/>
        </w:rPr>
        <w:t>-</w:t>
      </w:r>
      <w:r>
        <w:rPr>
          <w:rFonts w:hint="eastAsia" w:ascii="Times New Roman" w:hAnsi="Times New Roman" w:eastAsia="宋体" w:cs="Times New Roman"/>
          <w:b/>
          <w:bCs/>
          <w:color w:val="auto"/>
          <w:sz w:val="24"/>
          <w:szCs w:val="24"/>
          <w:u w:val="none" w:color="auto"/>
          <w:lang w:val="en-US" w:eastAsia="zh-CN"/>
        </w:rPr>
        <w:t>4</w:t>
      </w:r>
      <w:r>
        <w:rPr>
          <w:rFonts w:hint="eastAsia" w:ascii="Times New Roman" w:hAnsi="Times New Roman" w:eastAsia="宋体" w:cs="Times New Roman"/>
          <w:b/>
          <w:bCs/>
          <w:color w:val="auto"/>
          <w:sz w:val="24"/>
          <w:szCs w:val="24"/>
          <w:u w:val="none" w:color="auto"/>
        </w:rPr>
        <w:t xml:space="preserve"> 项目与金窝水库饮用水水源保护区位置关系图</w:t>
      </w:r>
    </w:p>
    <w:p w14:paraId="29D5310E">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茅尾海红树林自然保护区概况</w:t>
      </w:r>
    </w:p>
    <w:p w14:paraId="1C6FAAFA">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根据广西壮族自治区人民政府发布的《广西壮族自治区人民政府关于同意广 西茅尾海红树林自治区级自然保护区范围与功能区调整的批复》（桂政函〔2020〕 14号），同意调整广西茅尾海红树林自治区级自然保护区（以下简称保护区）范 围与功能区。调整后，保护区范围涉及康熙岭片、坚心围片、七十二泾片和大风江片4个片区，地理坐标为东经108°28′35″—108°54′26″、北纬 21°44′13″—21°53′49″。保护区总面积5010.05公顷，其中核心区面积2153.2公顷、 缓冲区面积1386.13公顷、实验区面积1470.72公顷。</w:t>
      </w:r>
    </w:p>
    <w:p w14:paraId="620491CB">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茅尾海红树林自治区级自然保护区保护区类型属于自然生态系统类海洋与 海岸生态系统类型的自治区级自然保护区，自然保护区主要保护对象为红树林湿 地生态系统。茅尾海红树林自治区级自然保护区是以保护红树林湿地生态系统为主，全面保护红树林生境、红树林湿地景观、湿地水禽等自然资源和自然环境， 集保护、科研、教育、生态旅游和可持续利用等多功能于一体的综合性自然保护区。</w:t>
      </w:r>
    </w:p>
    <w:p w14:paraId="738798D2">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根据项目在广西茅尾海红树林自治区级自然保护区范围与功能区调整图位 置示意图（图</w:t>
      </w:r>
      <w:r>
        <w:rPr>
          <w:rFonts w:hint="eastAsia" w:ascii="Times New Roman" w:hAnsi="Times New Roman" w:eastAsia="宋体" w:cs="Times New Roman"/>
          <w:color w:val="auto"/>
          <w:sz w:val="24"/>
          <w:szCs w:val="24"/>
          <w:u w:val="none" w:color="auto"/>
        </w:rPr>
        <w:t>3.1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5</w:t>
      </w:r>
      <w:r>
        <w:rPr>
          <w:rFonts w:ascii="Times New Roman" w:hAnsi="Times New Roman" w:eastAsia="宋体" w:cs="Times New Roman"/>
          <w:color w:val="auto"/>
          <w:sz w:val="24"/>
          <w:szCs w:val="24"/>
          <w:u w:val="none" w:color="auto"/>
        </w:rPr>
        <w:t>），其中七十二泾片区位于本项目厂址西北侧，项目选址不占用茅尾海红树林自然保护区；项目距离最近的茅尾海红树林自然保护区——七十二泾片区实验区的最近距离约为</w:t>
      </w:r>
      <w:r>
        <w:rPr>
          <w:rFonts w:hint="eastAsia" w:ascii="Times New Roman" w:hAnsi="Times New Roman" w:eastAsia="宋体" w:cs="Times New Roman"/>
          <w:color w:val="auto"/>
          <w:sz w:val="24"/>
          <w:szCs w:val="24"/>
          <w:u w:val="none" w:color="auto"/>
        </w:rPr>
        <w:t>5100</w:t>
      </w:r>
      <w:r>
        <w:rPr>
          <w:rFonts w:ascii="Times New Roman" w:hAnsi="Times New Roman" w:eastAsia="宋体" w:cs="Times New Roman"/>
          <w:color w:val="auto"/>
          <w:sz w:val="24"/>
          <w:szCs w:val="24"/>
          <w:u w:val="none" w:color="auto"/>
        </w:rPr>
        <w:t>m，距离七十二泾片区缓冲区最近距离约为</w:t>
      </w:r>
      <w:r>
        <w:rPr>
          <w:rFonts w:hint="eastAsia" w:ascii="Times New Roman" w:hAnsi="Times New Roman" w:eastAsia="宋体" w:cs="Times New Roman"/>
          <w:color w:val="auto"/>
          <w:sz w:val="24"/>
          <w:szCs w:val="24"/>
          <w:u w:val="none" w:color="auto"/>
        </w:rPr>
        <w:t>5695</w:t>
      </w:r>
      <w:r>
        <w:rPr>
          <w:rFonts w:ascii="Times New Roman" w:hAnsi="Times New Roman" w:eastAsia="宋体" w:cs="Times New Roman"/>
          <w:color w:val="auto"/>
          <w:sz w:val="24"/>
          <w:szCs w:val="24"/>
          <w:u w:val="none" w:color="auto"/>
        </w:rPr>
        <w:t>m，距离七十二泾片区核心区最近距离约为</w:t>
      </w:r>
      <w:r>
        <w:rPr>
          <w:rFonts w:hint="eastAsia" w:ascii="Times New Roman" w:hAnsi="Times New Roman" w:eastAsia="宋体" w:cs="Times New Roman"/>
          <w:color w:val="auto"/>
          <w:sz w:val="24"/>
          <w:szCs w:val="24"/>
          <w:u w:val="none" w:color="auto"/>
        </w:rPr>
        <w:t>5825</w:t>
      </w:r>
      <w:r>
        <w:rPr>
          <w:rFonts w:ascii="Times New Roman" w:hAnsi="Times New Roman" w:eastAsia="宋体" w:cs="Times New Roman"/>
          <w:color w:val="auto"/>
          <w:sz w:val="24"/>
          <w:szCs w:val="24"/>
          <w:u w:val="none" w:color="auto"/>
        </w:rPr>
        <w:t>m。项目大气环境评价范围和环境风险评价范围</w:t>
      </w:r>
      <w:r>
        <w:rPr>
          <w:rFonts w:hint="eastAsia" w:ascii="Times New Roman" w:hAnsi="Times New Roman" w:eastAsia="宋体" w:cs="Times New Roman"/>
          <w:color w:val="auto"/>
          <w:sz w:val="24"/>
          <w:szCs w:val="24"/>
          <w:u w:val="none" w:color="auto"/>
        </w:rPr>
        <w:t>不</w:t>
      </w:r>
      <w:r>
        <w:rPr>
          <w:rFonts w:ascii="Times New Roman" w:hAnsi="Times New Roman" w:eastAsia="宋体" w:cs="Times New Roman"/>
          <w:color w:val="auto"/>
          <w:sz w:val="24"/>
          <w:szCs w:val="24"/>
          <w:u w:val="none" w:color="auto"/>
        </w:rPr>
        <w:t>涉及茅尾海红树林自然保护区——七十二泾片区。</w:t>
      </w:r>
    </w:p>
    <w:p w14:paraId="3FF8DCF5">
      <w:pPr>
        <w:pStyle w:val="35"/>
        <w:spacing w:after="0" w:line="360" w:lineRule="auto"/>
        <w:ind w:firstLine="0" w:firstLineChars="0"/>
        <w:jc w:val="center"/>
        <w:rPr>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9D76D2D">
      <w:pPr>
        <w:pStyle w:val="36"/>
        <w:ind w:firstLine="0"/>
        <w:jc w:val="center"/>
        <w:rPr>
          <w:color w:val="auto"/>
          <w:u w:val="none" w:color="auto"/>
        </w:rPr>
      </w:pPr>
      <w:r>
        <w:rPr>
          <w:color w:val="auto"/>
          <w:u w:val="none" w:color="auto"/>
        </w:rPr>
        <mc:AlternateContent>
          <mc:Choice Requires="wps">
            <w:drawing>
              <wp:anchor distT="0" distB="0" distL="114300" distR="114300" simplePos="0" relativeHeight="251662336" behindDoc="0" locked="0" layoutInCell="1" allowOverlap="1">
                <wp:simplePos x="0" y="0"/>
                <wp:positionH relativeFrom="column">
                  <wp:posOffset>6116955</wp:posOffset>
                </wp:positionH>
                <wp:positionV relativeFrom="paragraph">
                  <wp:posOffset>3951605</wp:posOffset>
                </wp:positionV>
                <wp:extent cx="478790" cy="250825"/>
                <wp:effectExtent l="0" t="0" r="0" b="0"/>
                <wp:wrapNone/>
                <wp:docPr id="68" name="文本框 68"/>
                <wp:cNvGraphicFramePr/>
                <a:graphic xmlns:a="http://schemas.openxmlformats.org/drawingml/2006/main">
                  <a:graphicData uri="http://schemas.microsoft.com/office/word/2010/wordprocessingShape">
                    <wps:wsp>
                      <wps:cNvSpPr txBox="1"/>
                      <wps:spPr>
                        <a:xfrm rot="1560000">
                          <a:off x="7199630" y="4863465"/>
                          <a:ext cx="478790"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8956F5">
                            <w:pPr>
                              <w:rPr>
                                <w:color w:val="FF0000"/>
                                <w:sz w:val="15"/>
                                <w:szCs w:val="15"/>
                              </w:rPr>
                            </w:pPr>
                            <w:r>
                              <w:rPr>
                                <w:rFonts w:hint="eastAsia"/>
                                <w:color w:val="FF0000"/>
                                <w:sz w:val="15"/>
                                <w:szCs w:val="15"/>
                              </w:rPr>
                              <w:t>5100m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1.65pt;margin-top:311.15pt;height:19.75pt;width:37.7pt;rotation:1703936f;z-index:251662336;mso-width-relative:page;mso-height-relative:page;" filled="f" stroked="f" coordsize="21600,21600" o:gfxdata="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qEv8dgAAAAMAQAADwAA&#10;AAAAAAABACAAAAAiAAAAZHJzL2Rvd25yZXYueG1sUEsBAhQAFAAAAAgAh07iQOl5Oe5PAgAAgQQA&#10;AA4AAAAAAAAAAQAgAAAAJwEAAGRycy9lMm9Eb2MueG1sUEsFBgAAAAAGAAYAWQEAAOgFAAAAAA==&#10;">
                <v:fill on="f" focussize="0,0"/>
                <v:stroke on="f" weight="0.5pt"/>
                <v:imagedata o:title=""/>
                <o:lock v:ext="edit" aspectratio="f"/>
                <v:textbox>
                  <w:txbxContent>
                    <w:p w14:paraId="598956F5">
                      <w:pPr>
                        <w:rPr>
                          <w:color w:val="FF0000"/>
                          <w:sz w:val="15"/>
                          <w:szCs w:val="15"/>
                        </w:rPr>
                      </w:pPr>
                      <w:r>
                        <w:rPr>
                          <w:rFonts w:hint="eastAsia"/>
                          <w:color w:val="FF0000"/>
                          <w:sz w:val="15"/>
                          <w:szCs w:val="15"/>
                        </w:rPr>
                        <w:t>5100m</w:t>
                      </w:r>
                    </w:p>
                  </w:txbxContent>
                </v:textbox>
              </v:shape>
            </w:pict>
          </mc:Fallback>
        </mc:AlternateContent>
      </w:r>
      <w:r>
        <w:rPr>
          <w:color w:val="auto"/>
          <w:u w:val="none" w:color="auto"/>
        </w:rPr>
        <mc:AlternateContent>
          <mc:Choice Requires="wps">
            <w:drawing>
              <wp:anchor distT="0" distB="0" distL="114300" distR="114300" simplePos="0" relativeHeight="251660288" behindDoc="0" locked="0" layoutInCell="1" allowOverlap="1">
                <wp:simplePos x="0" y="0"/>
                <wp:positionH relativeFrom="column">
                  <wp:posOffset>6947535</wp:posOffset>
                </wp:positionH>
                <wp:positionV relativeFrom="paragraph">
                  <wp:posOffset>4269740</wp:posOffset>
                </wp:positionV>
                <wp:extent cx="75565" cy="75565"/>
                <wp:effectExtent l="6350" t="6350" r="13335" b="13335"/>
                <wp:wrapNone/>
                <wp:docPr id="65" name="矩形 65"/>
                <wp:cNvGraphicFramePr/>
                <a:graphic xmlns:a="http://schemas.openxmlformats.org/drawingml/2006/main">
                  <a:graphicData uri="http://schemas.microsoft.com/office/word/2010/wordprocessingShape">
                    <wps:wsp>
                      <wps:cNvSpPr/>
                      <wps:spPr>
                        <a:xfrm>
                          <a:off x="6988810" y="5309235"/>
                          <a:ext cx="75565" cy="75565"/>
                        </a:xfrm>
                        <a:prstGeom prst="rect">
                          <a:avLst/>
                        </a:prstGeom>
                        <a:gradFill>
                          <a:gsLst>
                            <a:gs pos="0">
                              <a:srgbClr val="E30000"/>
                            </a:gs>
                            <a:gs pos="100000">
                              <a:srgbClr val="760303"/>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05pt;margin-top:336.2pt;height:5.95pt;width:5.95pt;z-index:251660288;v-text-anchor:middle;mso-width-relative:page;mso-height-relative:page;" fillcolor="#E30000" filled="t" stroked="t" coordsize="21600,21600" o:gfxdata="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&#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sZyVt3QAAAA0BAAAPAAAAAAAAAAEAIAAAACIAAABk&#10;cnMvZG93bnJldi54bWxQSwECFAAUAAAACACHTuJArTjWn6wCAAB5BQAADgAAAAAAAAABACAAAAAs&#10;AQAAZHJzL2Uyb0RvYy54bWxQSwUGAAAAAAYABgBZAQAASgYAAAAA&#10;">
                <v:fill type="gradient" on="t" color2="#760303" focus="100%" focussize="0,0" rotate="t">
                  <o:fill type="gradientUnscaled" v:ext="backwardCompatible"/>
                </v:fill>
                <v:stroke weight="1pt" color="#FF0000 [3204]" miterlimit="8" joinstyle="miter"/>
                <v:imagedata o:title=""/>
                <o:lock v:ext="edit" aspectratio="f"/>
              </v:rect>
            </w:pict>
          </mc:Fallback>
        </mc:AlternateContent>
      </w:r>
      <w:r>
        <w:rPr>
          <w:color w:val="auto"/>
          <w:u w:val="none" w:color="auto"/>
        </w:rPr>
        <mc:AlternateContent>
          <mc:Choice Requires="wps">
            <w:drawing>
              <wp:anchor distT="0" distB="0" distL="114300" distR="114300" simplePos="0" relativeHeight="251661312" behindDoc="0" locked="0" layoutInCell="1" allowOverlap="1">
                <wp:simplePos x="0" y="0"/>
                <wp:positionH relativeFrom="column">
                  <wp:posOffset>5662930</wp:posOffset>
                </wp:positionH>
                <wp:positionV relativeFrom="paragraph">
                  <wp:posOffset>4029075</wp:posOffset>
                </wp:positionV>
                <wp:extent cx="1284605" cy="278765"/>
                <wp:effectExtent l="0" t="29845" r="1270" b="34290"/>
                <wp:wrapNone/>
                <wp:docPr id="67" name="直接箭头连接符 67"/>
                <wp:cNvGraphicFramePr/>
                <a:graphic xmlns:a="http://schemas.openxmlformats.org/drawingml/2006/main">
                  <a:graphicData uri="http://schemas.microsoft.com/office/word/2010/wordprocessingShape">
                    <wps:wsp>
                      <wps:cNvCnPr/>
                      <wps:spPr>
                        <a:xfrm flipH="1" flipV="1">
                          <a:off x="6635115" y="5183505"/>
                          <a:ext cx="1284605" cy="278765"/>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45.9pt;margin-top:317.25pt;height:21.95pt;width:101.15pt;z-index:251661312;mso-width-relative:page;mso-height-relative:page;" filled="f" stroked="t" coordsize="21600,21600" o:gfxdata="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9RDBj2QAAAAwBAAAPAAAAAAAAAAEAIAAAACIAAABkcnMvZG93bnJldi54bWxQSwECFAAU&#10;AAAACACHTuJAB6YM7SkCAAAeBAAADgAAAAAAAAABACAAAAAoAQAAZHJzL2Uyb0RvYy54bWxQSwUG&#10;AAAAAAYABgBZAQAAwwUAAAAA&#10;">
                <v:fill on="f" focussize="0,0"/>
                <v:stroke weight="0.5pt" color="#000000 [3213]" miterlimit="8" joinstyle="miter" startarrow="open" endarrow="open"/>
                <v:imagedata o:title=""/>
                <o:lock v:ext="edit" aspectratio="f"/>
              </v:shape>
            </w:pict>
          </mc:Fallback>
        </mc:AlternateContent>
      </w:r>
    </w:p>
    <w:p w14:paraId="6A48B9CC">
      <w:pPr>
        <w:autoSpaceDE w:val="0"/>
        <w:autoSpaceDN w:val="0"/>
        <w:spacing w:line="360" w:lineRule="auto"/>
        <w:jc w:val="center"/>
        <w:rPr>
          <w:rFonts w:ascii="Times New Roman" w:hAnsi="Times New Roman" w:eastAsia="宋体" w:cs="Times New Roman"/>
          <w:b/>
          <w:bCs/>
          <w:color w:val="auto"/>
          <w:sz w:val="24"/>
          <w:szCs w:val="24"/>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b/>
          <w:bCs/>
          <w:color w:val="auto"/>
          <w:sz w:val="24"/>
          <w:szCs w:val="24"/>
          <w:u w:val="none" w:color="auto"/>
        </w:rPr>
        <w:t>图</w:t>
      </w:r>
      <w:r>
        <w:rPr>
          <w:rFonts w:hint="eastAsia" w:ascii="Times New Roman" w:hAnsi="Times New Roman" w:eastAsia="宋体" w:cs="Times New Roman"/>
          <w:b/>
          <w:bCs/>
          <w:color w:val="auto"/>
          <w:sz w:val="24"/>
          <w:szCs w:val="24"/>
          <w:u w:val="none" w:color="auto"/>
        </w:rPr>
        <w:t>3.1</w:t>
      </w:r>
      <w:r>
        <w:rPr>
          <w:rFonts w:ascii="Times New Roman" w:hAnsi="Times New Roman" w:eastAsia="宋体" w:cs="Times New Roman"/>
          <w:b/>
          <w:bCs/>
          <w:color w:val="auto"/>
          <w:sz w:val="24"/>
          <w:szCs w:val="24"/>
          <w:u w:val="none" w:color="auto"/>
        </w:rPr>
        <w:t>-</w:t>
      </w:r>
      <w:r>
        <w:rPr>
          <w:rFonts w:hint="eastAsia" w:ascii="Times New Roman" w:hAnsi="Times New Roman" w:eastAsia="宋体" w:cs="Times New Roman"/>
          <w:b/>
          <w:bCs/>
          <w:color w:val="auto"/>
          <w:sz w:val="24"/>
          <w:szCs w:val="24"/>
          <w:u w:val="none" w:color="auto"/>
          <w:lang w:val="en-US" w:eastAsia="zh-CN"/>
        </w:rPr>
        <w:t>5</w:t>
      </w:r>
      <w:r>
        <w:rPr>
          <w:rFonts w:hint="eastAsia" w:ascii="Times New Roman" w:hAnsi="Times New Roman" w:eastAsia="宋体" w:cs="Times New Roman"/>
          <w:b/>
          <w:bCs/>
          <w:color w:val="auto"/>
          <w:sz w:val="24"/>
          <w:szCs w:val="24"/>
          <w:u w:val="none" w:color="auto"/>
        </w:rPr>
        <w:t xml:space="preserve"> 项目在广西茅尾海红树林自治区级自然保护区范围和功能区调整图位置示意图</w:t>
      </w:r>
    </w:p>
    <w:p w14:paraId="26E433A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.1.</w:t>
      </w:r>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大榄坪污水处理厂</w:t>
      </w:r>
    </w:p>
    <w:p w14:paraId="7B29C862">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大榄坪污水处理厂，一期工程已于2017年建成投入使用，采用A/A/O微曝氧化沟处理工艺，处理能力为5万吨/天。但目前由于周边入驻企业较少及部分配套污水收集管网未建成，日进水水量</w:t>
      </w:r>
      <w:r>
        <w:rPr>
          <w:rFonts w:hint="eastAsia" w:ascii="Times New Roman" w:hAnsi="Times New Roman" w:eastAsia="宋体" w:cs="Times New Roman"/>
          <w:color w:val="auto"/>
          <w:sz w:val="24"/>
          <w:szCs w:val="24"/>
          <w:u w:val="none" w:color="auto"/>
        </w:rPr>
        <w:t>约3</w:t>
      </w:r>
      <w:r>
        <w:rPr>
          <w:rFonts w:ascii="Times New Roman" w:hAnsi="Times New Roman" w:eastAsia="宋体" w:cs="Times New Roman"/>
          <w:color w:val="auto"/>
          <w:sz w:val="24"/>
          <w:szCs w:val="24"/>
          <w:u w:val="none" w:color="auto"/>
        </w:rPr>
        <w:t>000</w:t>
      </w:r>
      <w:r>
        <w:rPr>
          <w:rFonts w:hint="eastAsia" w:ascii="Times New Roman" w:hAnsi="Times New Roman" w:eastAsia="宋体" w:cs="Times New Roman"/>
          <w:color w:val="auto"/>
          <w:sz w:val="24"/>
          <w:szCs w:val="24"/>
          <w:u w:val="none" w:color="auto"/>
        </w:rPr>
        <w:t>t</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d</w:t>
      </w:r>
      <w:r>
        <w:rPr>
          <w:rFonts w:ascii="Times New Roman" w:hAnsi="Times New Roman" w:eastAsia="宋体" w:cs="Times New Roman"/>
          <w:color w:val="auto"/>
          <w:sz w:val="24"/>
          <w:szCs w:val="24"/>
          <w:u w:val="none" w:color="auto"/>
        </w:rPr>
        <w:t>，尾水排入</w:t>
      </w:r>
      <w:r>
        <w:rPr>
          <w:rFonts w:ascii="Times New Roman" w:hAnsi="Times New Roman" w:eastAsia="宋体" w:cs="Times New Roman"/>
          <w:color w:val="auto"/>
          <w:sz w:val="24"/>
          <w:u w:val="single" w:color="auto"/>
        </w:rPr>
        <w:t>钦州港大榄坪</w:t>
      </w:r>
      <w:r>
        <w:rPr>
          <w:rFonts w:hint="eastAsia" w:ascii="Times New Roman" w:hAnsi="Times New Roman" w:eastAsia="宋体" w:cs="Times New Roman"/>
          <w:color w:val="auto"/>
          <w:sz w:val="24"/>
          <w:u w:val="single" w:color="auto"/>
          <w:lang w:val="en-US" w:eastAsia="zh-CN"/>
        </w:rPr>
        <w:t>排污混合</w:t>
      </w:r>
      <w:r>
        <w:rPr>
          <w:rFonts w:ascii="Times New Roman" w:hAnsi="Times New Roman" w:eastAsia="宋体" w:cs="Times New Roman"/>
          <w:color w:val="auto"/>
          <w:sz w:val="24"/>
          <w:u w:val="single" w:color="auto"/>
        </w:rPr>
        <w:t>区（GX0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w:t>
      </w:r>
      <w:r>
        <w:rPr>
          <w:rFonts w:ascii="Times New Roman" w:hAnsi="Times New Roman" w:eastAsia="宋体" w:cs="Times New Roman"/>
          <w:color w:val="auto"/>
          <w:sz w:val="24"/>
          <w:szCs w:val="24"/>
          <w:u w:val="none" w:color="auto"/>
        </w:rPr>
        <w:t>，排污口坐标 E108°39′12.0″、N21°39′15.0″</w:t>
      </w:r>
      <w:r>
        <w:rPr>
          <w:rFonts w:hint="eastAsia" w:ascii="Times New Roman" w:hAnsi="Times New Roman" w:eastAsia="宋体" w:cs="Times New Roman"/>
          <w:color w:val="auto"/>
          <w:sz w:val="24"/>
          <w:szCs w:val="24"/>
          <w:u w:val="none" w:color="auto"/>
        </w:rPr>
        <w:t>。</w:t>
      </w:r>
    </w:p>
    <w:p w14:paraId="7B6306A1">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w:t>
      </w:r>
      <w:r>
        <w:rPr>
          <w:rFonts w:hint="eastAsia" w:ascii="Times New Roman" w:hAnsi="Times New Roman" w:eastAsia="宋体" w:cs="Times New Roman"/>
          <w:color w:val="auto"/>
          <w:sz w:val="24"/>
          <w:szCs w:val="24"/>
          <w:u w:val="none" w:color="auto"/>
        </w:rPr>
        <w:t>无生产废水产生，生活污水量为26.4</w:t>
      </w:r>
      <w:r>
        <w:rPr>
          <w:rFonts w:ascii="Times New Roman" w:hAnsi="Times New Roman" w:eastAsia="宋体" w:cs="Times New Roman"/>
          <w:color w:val="auto"/>
          <w:sz w:val="24"/>
          <w:szCs w:val="24"/>
          <w:u w:val="none" w:color="auto"/>
        </w:rPr>
        <w:t>m³/d，约占大榄坪污水处理厂剩余废水处理能力的0.0</w:t>
      </w:r>
      <w:r>
        <w:rPr>
          <w:rFonts w:hint="eastAsia" w:ascii="Times New Roman" w:hAnsi="Times New Roman" w:eastAsia="宋体" w:cs="Times New Roman"/>
          <w:color w:val="auto"/>
          <w:sz w:val="24"/>
          <w:szCs w:val="24"/>
          <w:u w:val="none" w:color="auto"/>
        </w:rPr>
        <w:t>56</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。项目生活污水</w:t>
      </w:r>
      <w:r>
        <w:rPr>
          <w:rFonts w:ascii="Times New Roman" w:hAnsi="Times New Roman" w:eastAsia="宋体" w:cs="Times New Roman"/>
          <w:color w:val="auto"/>
          <w:sz w:val="24"/>
          <w:szCs w:val="24"/>
          <w:u w:val="none" w:color="auto"/>
        </w:rPr>
        <w:t>不会对大榄坪污水处理厂造成大负荷的冲击，不会影响其出水水质稳定性，对纳污海域的影响很小。项目</w:t>
      </w:r>
      <w:r>
        <w:rPr>
          <w:rFonts w:hint="eastAsia" w:ascii="Times New Roman" w:hAnsi="Times New Roman" w:eastAsia="宋体" w:cs="Times New Roman"/>
          <w:color w:val="auto"/>
          <w:sz w:val="24"/>
          <w:szCs w:val="24"/>
          <w:u w:val="none" w:color="auto"/>
        </w:rPr>
        <w:t>生活污水经厂区化粪池预处理</w:t>
      </w:r>
      <w:r>
        <w:rPr>
          <w:rFonts w:ascii="Times New Roman" w:hAnsi="Times New Roman" w:eastAsia="宋体" w:cs="Times New Roman"/>
          <w:color w:val="auto"/>
          <w:sz w:val="24"/>
          <w:szCs w:val="24"/>
          <w:u w:val="none" w:color="auto"/>
        </w:rPr>
        <w:t>后的浓度</w:t>
      </w:r>
      <w:r>
        <w:rPr>
          <w:rFonts w:hint="eastAsia" w:ascii="Times New Roman" w:hAnsi="Times New Roman" w:eastAsia="宋体" w:cs="Times New Roman"/>
          <w:color w:val="auto"/>
          <w:sz w:val="24"/>
          <w:szCs w:val="24"/>
          <w:u w:val="none" w:color="auto"/>
        </w:rPr>
        <w:t>可满足</w:t>
      </w:r>
      <w:r>
        <w:rPr>
          <w:rFonts w:hint="eastAsia" w:ascii="Times New Roman" w:hAnsi="Times New Roman" w:eastAsia="宋体" w:cs="Times New Roman"/>
          <w:color w:val="auto"/>
          <w:sz w:val="24"/>
          <w:szCs w:val="24"/>
          <w:u w:val="none" w:color="auto"/>
          <w:lang w:eastAsia="zh-CN"/>
        </w:rPr>
        <w:t>大榄坪污水处理厂接管标准</w:t>
      </w:r>
      <w:r>
        <w:rPr>
          <w:rFonts w:ascii="Times New Roman" w:hAnsi="Times New Roman" w:eastAsia="宋体" w:cs="Times New Roman"/>
          <w:color w:val="auto"/>
          <w:sz w:val="24"/>
          <w:szCs w:val="24"/>
          <w:u w:val="none" w:color="auto"/>
        </w:rPr>
        <w:t>要求。故大榄坪污水处理站能满足本次项目污水</w:t>
      </w:r>
      <w:r>
        <w:rPr>
          <w:rFonts w:hint="eastAsia" w:ascii="Times New Roman" w:hAnsi="Times New Roman" w:eastAsia="宋体" w:cs="Times New Roman"/>
          <w:color w:val="auto"/>
          <w:sz w:val="24"/>
          <w:szCs w:val="24"/>
          <w:u w:val="none" w:color="auto"/>
          <w:lang w:eastAsia="zh-CN"/>
        </w:rPr>
        <w:t>处理</w:t>
      </w:r>
      <w:r>
        <w:rPr>
          <w:rFonts w:ascii="Times New Roman" w:hAnsi="Times New Roman" w:eastAsia="宋体" w:cs="Times New Roman"/>
          <w:color w:val="auto"/>
          <w:sz w:val="24"/>
          <w:szCs w:val="24"/>
          <w:u w:val="none" w:color="auto"/>
        </w:rPr>
        <w:t>要求。</w:t>
      </w:r>
    </w:p>
    <w:p w14:paraId="1772ECC3">
      <w:pPr>
        <w:pStyle w:val="3"/>
        <w:bidi w:val="0"/>
        <w:rPr>
          <w:color w:val="auto"/>
          <w:u w:val="none" w:color="auto"/>
        </w:rPr>
      </w:pPr>
      <w:bookmarkStart w:id="175" w:name="_Toc3728195"/>
      <w:bookmarkStart w:id="176" w:name="_Toc23866"/>
      <w:r>
        <w:rPr>
          <w:color w:val="auto"/>
          <w:u w:val="none" w:color="auto"/>
        </w:rPr>
        <w:t>环境空气质量现状调查与评价</w:t>
      </w:r>
      <w:bookmarkEnd w:id="175"/>
      <w:bookmarkEnd w:id="176"/>
    </w:p>
    <w:p w14:paraId="64C15E35">
      <w:pPr>
        <w:pStyle w:val="4"/>
        <w:bidi w:val="0"/>
        <w:rPr>
          <w:color w:val="auto"/>
          <w:u w:val="none" w:color="auto"/>
        </w:rPr>
      </w:pPr>
      <w:bookmarkStart w:id="177" w:name="_Toc3728196"/>
      <w:r>
        <w:rPr>
          <w:color w:val="auto"/>
          <w:u w:val="none" w:color="auto"/>
        </w:rPr>
        <w:t>常规因子环境空气现状调查与评价</w:t>
      </w:r>
      <w:bookmarkEnd w:id="177"/>
    </w:p>
    <w:p w14:paraId="42162F4C">
      <w:pPr>
        <w:spacing w:line="360" w:lineRule="auto"/>
        <w:ind w:firstLine="472" w:firstLineChars="200"/>
        <w:rPr>
          <w:rFonts w:ascii="Times New Roman" w:hAnsi="Times New Roman" w:eastAsia="宋体" w:cs="Times New Roman"/>
          <w:color w:val="auto"/>
          <w:spacing w:val="-2"/>
          <w:kern w:val="0"/>
          <w:sz w:val="24"/>
          <w:szCs w:val="20"/>
          <w:u w:val="none" w:color="auto"/>
        </w:rPr>
      </w:pPr>
      <w:r>
        <w:rPr>
          <w:rFonts w:hint="eastAsia" w:ascii="Times New Roman" w:hAnsi="Times New Roman" w:eastAsia="宋体" w:cs="Times New Roman"/>
          <w:color w:val="auto"/>
          <w:spacing w:val="-2"/>
          <w:kern w:val="0"/>
          <w:sz w:val="24"/>
          <w:szCs w:val="20"/>
          <w:u w:val="none" w:color="auto"/>
        </w:rPr>
        <w:t>1、空气质量达标区判定</w:t>
      </w:r>
    </w:p>
    <w:p w14:paraId="0E028C58">
      <w:pPr>
        <w:spacing w:line="360" w:lineRule="auto"/>
        <w:ind w:firstLine="472" w:firstLineChars="200"/>
        <w:rPr>
          <w:rFonts w:ascii="Times New Roman" w:hAnsi="Times New Roman" w:eastAsia="宋体" w:cs="Times New Roman"/>
          <w:color w:val="auto"/>
          <w:spacing w:val="-2"/>
          <w:kern w:val="0"/>
          <w:sz w:val="24"/>
          <w:szCs w:val="20"/>
          <w:u w:val="none" w:color="auto"/>
        </w:rPr>
      </w:pPr>
      <w:r>
        <w:rPr>
          <w:rFonts w:ascii="Times New Roman" w:hAnsi="Times New Roman" w:eastAsia="宋体" w:cs="Times New Roman"/>
          <w:color w:val="auto"/>
          <w:spacing w:val="-2"/>
          <w:kern w:val="0"/>
          <w:sz w:val="24"/>
          <w:szCs w:val="20"/>
          <w:u w:val="none" w:color="auto"/>
        </w:rPr>
        <w:t>根据广西壮族自治区生态环境厅网站公布的《自治区生态环境厅关于通报</w:t>
      </w:r>
      <w:r>
        <w:rPr>
          <w:rFonts w:hint="eastAsia" w:ascii="Times New Roman" w:hAnsi="Times New Roman" w:eastAsia="宋体" w:cs="Times New Roman"/>
          <w:color w:val="auto"/>
          <w:spacing w:val="-2"/>
          <w:kern w:val="0"/>
          <w:sz w:val="24"/>
          <w:szCs w:val="20"/>
          <w:u w:val="none" w:color="auto"/>
          <w:lang w:val="en-US" w:eastAsia="zh-CN"/>
        </w:rPr>
        <w:t>2023</w:t>
      </w:r>
      <w:r>
        <w:rPr>
          <w:rFonts w:ascii="Times New Roman" w:hAnsi="Times New Roman" w:eastAsia="宋体" w:cs="Times New Roman"/>
          <w:color w:val="auto"/>
          <w:spacing w:val="-2"/>
          <w:kern w:val="0"/>
          <w:sz w:val="24"/>
          <w:szCs w:val="20"/>
          <w:u w:val="none" w:color="auto"/>
        </w:rPr>
        <w:t>年设区城市及各县（市、区）环境空气质量的函》（桂环函〔20</w:t>
      </w:r>
      <w:r>
        <w:rPr>
          <w:rFonts w:hint="eastAsia" w:ascii="Times New Roman" w:hAnsi="Times New Roman" w:eastAsia="宋体" w:cs="Times New Roman"/>
          <w:color w:val="auto"/>
          <w:spacing w:val="-2"/>
          <w:kern w:val="0"/>
          <w:sz w:val="24"/>
          <w:szCs w:val="20"/>
          <w:u w:val="none" w:color="auto"/>
          <w:lang w:val="en-US" w:eastAsia="zh-CN"/>
        </w:rPr>
        <w:t>24</w:t>
      </w:r>
      <w:r>
        <w:rPr>
          <w:rFonts w:ascii="Times New Roman" w:hAnsi="Times New Roman" w:eastAsia="宋体" w:cs="Times New Roman"/>
          <w:color w:val="auto"/>
          <w:spacing w:val="-2"/>
          <w:kern w:val="0"/>
          <w:sz w:val="24"/>
          <w:szCs w:val="20"/>
          <w:u w:val="none" w:color="auto"/>
        </w:rPr>
        <w:t>〕</w:t>
      </w:r>
      <w:r>
        <w:rPr>
          <w:rFonts w:hint="eastAsia" w:ascii="Times New Roman" w:hAnsi="Times New Roman" w:eastAsia="宋体" w:cs="Times New Roman"/>
          <w:color w:val="auto"/>
          <w:spacing w:val="-2"/>
          <w:kern w:val="0"/>
          <w:sz w:val="24"/>
          <w:szCs w:val="20"/>
          <w:u w:val="none" w:color="auto"/>
          <w:lang w:val="en-US" w:eastAsia="zh-CN"/>
        </w:rPr>
        <w:t>13</w:t>
      </w:r>
      <w:r>
        <w:rPr>
          <w:rFonts w:ascii="Times New Roman" w:hAnsi="Times New Roman" w:eastAsia="宋体" w:cs="Times New Roman"/>
          <w:color w:val="auto"/>
          <w:spacing w:val="-2"/>
          <w:kern w:val="0"/>
          <w:sz w:val="24"/>
          <w:szCs w:val="20"/>
          <w:u w:val="none" w:color="auto"/>
        </w:rPr>
        <w:t>号）中</w:t>
      </w:r>
      <w:r>
        <w:rPr>
          <w:rFonts w:hint="eastAsia" w:ascii="Times New Roman" w:hAnsi="Times New Roman" w:eastAsia="宋体" w:cs="Times New Roman"/>
          <w:color w:val="auto"/>
          <w:spacing w:val="-2"/>
          <w:kern w:val="0"/>
          <w:sz w:val="24"/>
          <w:szCs w:val="20"/>
          <w:u w:val="none" w:color="auto"/>
          <w:lang w:val="en-US" w:eastAsia="zh-CN"/>
        </w:rPr>
        <w:t>2023</w:t>
      </w:r>
      <w:r>
        <w:rPr>
          <w:rFonts w:ascii="Times New Roman" w:hAnsi="Times New Roman" w:eastAsia="宋体" w:cs="Times New Roman"/>
          <w:color w:val="auto"/>
          <w:spacing w:val="-2"/>
          <w:kern w:val="0"/>
          <w:sz w:val="24"/>
          <w:szCs w:val="20"/>
          <w:u w:val="none" w:color="auto"/>
        </w:rPr>
        <w:t>年钦州市环境质量，钦州市环境空气综合质量指数为</w:t>
      </w:r>
      <w:r>
        <w:rPr>
          <w:rFonts w:hint="eastAsia" w:ascii="Times New Roman" w:hAnsi="Times New Roman" w:eastAsia="宋体" w:cs="Times New Roman"/>
          <w:color w:val="auto"/>
          <w:spacing w:val="-2"/>
          <w:kern w:val="0"/>
          <w:sz w:val="24"/>
          <w:szCs w:val="20"/>
          <w:u w:val="none" w:color="auto"/>
          <w:lang w:val="en-US" w:eastAsia="zh-CN"/>
        </w:rPr>
        <w:t>3.03</w:t>
      </w:r>
      <w:r>
        <w:rPr>
          <w:rFonts w:ascii="Times New Roman" w:hAnsi="Times New Roman" w:eastAsia="宋体" w:cs="Times New Roman"/>
          <w:color w:val="auto"/>
          <w:spacing w:val="-2"/>
          <w:kern w:val="0"/>
          <w:sz w:val="24"/>
          <w:szCs w:val="20"/>
          <w:u w:val="none" w:color="auto"/>
        </w:rPr>
        <w:t>，空气质量优良天数比例为</w:t>
      </w:r>
      <w:r>
        <w:rPr>
          <w:rFonts w:hint="eastAsia" w:ascii="Times New Roman" w:hAnsi="Times New Roman" w:eastAsia="宋体" w:cs="Times New Roman"/>
          <w:color w:val="auto"/>
          <w:spacing w:val="-2"/>
          <w:kern w:val="0"/>
          <w:sz w:val="24"/>
          <w:szCs w:val="20"/>
          <w:u w:val="none" w:color="auto"/>
          <w:lang w:val="en-US" w:eastAsia="zh-CN"/>
        </w:rPr>
        <w:t>97</w:t>
      </w:r>
      <w:r>
        <w:rPr>
          <w:rFonts w:ascii="Times New Roman" w:hAnsi="Times New Roman" w:eastAsia="宋体" w:cs="Times New Roman"/>
          <w:color w:val="auto"/>
          <w:spacing w:val="-2"/>
          <w:kern w:val="0"/>
          <w:sz w:val="24"/>
          <w:szCs w:val="20"/>
          <w:u w:val="none" w:color="auto"/>
        </w:rPr>
        <w:t>%，各监测因子监测统计结果见表3.</w:t>
      </w:r>
      <w:r>
        <w:rPr>
          <w:rFonts w:hint="eastAsia" w:ascii="Times New Roman" w:hAnsi="Times New Roman" w:eastAsia="宋体" w:cs="Times New Roman"/>
          <w:color w:val="auto"/>
          <w:spacing w:val="-2"/>
          <w:kern w:val="0"/>
          <w:sz w:val="24"/>
          <w:szCs w:val="20"/>
          <w:u w:val="none" w:color="auto"/>
        </w:rPr>
        <w:t>2</w:t>
      </w:r>
      <w:r>
        <w:rPr>
          <w:rFonts w:ascii="Times New Roman" w:hAnsi="Times New Roman" w:eastAsia="宋体" w:cs="Times New Roman"/>
          <w:color w:val="auto"/>
          <w:spacing w:val="-2"/>
          <w:kern w:val="0"/>
          <w:sz w:val="24"/>
          <w:szCs w:val="20"/>
          <w:u w:val="none" w:color="auto"/>
        </w:rPr>
        <w:t>-1。</w:t>
      </w:r>
    </w:p>
    <w:p w14:paraId="0CBD0492">
      <w:pPr>
        <w:adjustRightInd w:val="0"/>
        <w:snapToGrid w:val="0"/>
        <w:jc w:val="center"/>
        <w:rPr>
          <w:rFonts w:ascii="Times New Roman" w:hAnsi="Times New Roman" w:cs="Times New Roman"/>
          <w:b/>
          <w:bCs/>
          <w:color w:val="auto"/>
          <w:sz w:val="24"/>
          <w:szCs w:val="24"/>
          <w:u w:val="none" w:color="auto"/>
        </w:rPr>
      </w:pPr>
      <w:r>
        <w:rPr>
          <w:rFonts w:ascii="Times New Roman" w:hAnsi="Times New Roman" w:cs="Times New Roman"/>
          <w:b/>
          <w:bCs/>
          <w:color w:val="auto"/>
          <w:sz w:val="24"/>
          <w:szCs w:val="24"/>
          <w:u w:val="none" w:color="auto"/>
        </w:rPr>
        <w:t>表3.2-1  区域空气质量现状评价   单位均为µg /m</w:t>
      </w:r>
      <w:r>
        <w:rPr>
          <w:rFonts w:ascii="Times New Roman" w:hAnsi="Times New Roman" w:cs="Times New Roman"/>
          <w:b/>
          <w:bCs/>
          <w:color w:val="auto"/>
          <w:sz w:val="24"/>
          <w:szCs w:val="24"/>
          <w:u w:val="none" w:color="auto"/>
          <w:vertAlign w:val="superscript"/>
        </w:rPr>
        <w:t>3</w:t>
      </w:r>
    </w:p>
    <w:tbl>
      <w:tblPr>
        <w:tblStyle w:val="37"/>
        <w:tblW w:w="8780"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02"/>
        <w:gridCol w:w="3489"/>
        <w:gridCol w:w="1206"/>
        <w:gridCol w:w="1073"/>
        <w:gridCol w:w="986"/>
        <w:gridCol w:w="1124"/>
      </w:tblGrid>
      <w:tr w14:paraId="5E34E8A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2A7D39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污染物</w:t>
            </w:r>
          </w:p>
        </w:tc>
        <w:tc>
          <w:tcPr>
            <w:tcW w:w="3489" w:type="dxa"/>
            <w:tcBorders>
              <w:tl2br w:val="nil"/>
              <w:tr2bl w:val="nil"/>
            </w:tcBorders>
            <w:vAlign w:val="center"/>
          </w:tcPr>
          <w:p w14:paraId="60E0BB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年评价标准</w:t>
            </w:r>
          </w:p>
        </w:tc>
        <w:tc>
          <w:tcPr>
            <w:tcW w:w="1206" w:type="dxa"/>
            <w:tcBorders>
              <w:tl2br w:val="nil"/>
              <w:tr2bl w:val="nil"/>
            </w:tcBorders>
            <w:vAlign w:val="center"/>
          </w:tcPr>
          <w:p w14:paraId="3B3E7A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现状平均浓度/（µg /m</w:t>
            </w:r>
            <w:r>
              <w:rPr>
                <w:rFonts w:hint="default" w:ascii="Times New Roman" w:hAnsi="Times New Roman" w:eastAsia="宋体" w:cs="Times New Roman"/>
                <w:color w:val="auto"/>
                <w:spacing w:val="-2"/>
                <w:kern w:val="0"/>
                <w:sz w:val="21"/>
                <w:szCs w:val="21"/>
                <w:u w:val="none" w:color="auto"/>
                <w:vertAlign w:val="superscript"/>
              </w:rPr>
              <w:t>3</w:t>
            </w:r>
            <w:r>
              <w:rPr>
                <w:rFonts w:hint="default" w:ascii="Times New Roman" w:hAnsi="Times New Roman" w:eastAsia="宋体" w:cs="Times New Roman"/>
                <w:color w:val="auto"/>
                <w:spacing w:val="-2"/>
                <w:kern w:val="0"/>
                <w:sz w:val="21"/>
                <w:szCs w:val="21"/>
                <w:u w:val="none" w:color="auto"/>
              </w:rPr>
              <w:t>）</w:t>
            </w:r>
          </w:p>
        </w:tc>
        <w:tc>
          <w:tcPr>
            <w:tcW w:w="1073" w:type="dxa"/>
            <w:tcBorders>
              <w:tl2br w:val="nil"/>
              <w:tr2bl w:val="nil"/>
            </w:tcBorders>
            <w:vAlign w:val="center"/>
          </w:tcPr>
          <w:p w14:paraId="77E8BE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标准值/（µg/m</w:t>
            </w:r>
            <w:r>
              <w:rPr>
                <w:rFonts w:hint="default" w:ascii="Times New Roman" w:hAnsi="Times New Roman" w:eastAsia="宋体" w:cs="Times New Roman"/>
                <w:color w:val="auto"/>
                <w:spacing w:val="-2"/>
                <w:kern w:val="0"/>
                <w:sz w:val="21"/>
                <w:szCs w:val="21"/>
                <w:u w:val="none" w:color="auto"/>
                <w:vertAlign w:val="superscript"/>
              </w:rPr>
              <w:t>3</w:t>
            </w:r>
            <w:r>
              <w:rPr>
                <w:rFonts w:hint="default" w:ascii="Times New Roman" w:hAnsi="Times New Roman" w:eastAsia="宋体" w:cs="Times New Roman"/>
                <w:color w:val="auto"/>
                <w:spacing w:val="-2"/>
                <w:kern w:val="0"/>
                <w:sz w:val="21"/>
                <w:szCs w:val="21"/>
                <w:u w:val="none" w:color="auto"/>
              </w:rPr>
              <w:t>）</w:t>
            </w:r>
          </w:p>
        </w:tc>
        <w:tc>
          <w:tcPr>
            <w:tcW w:w="986" w:type="dxa"/>
            <w:tcBorders>
              <w:tl2br w:val="nil"/>
              <w:tr2bl w:val="nil"/>
            </w:tcBorders>
            <w:vAlign w:val="center"/>
          </w:tcPr>
          <w:p w14:paraId="5B2AC0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占标率/%</w:t>
            </w:r>
          </w:p>
        </w:tc>
        <w:tc>
          <w:tcPr>
            <w:tcW w:w="1124" w:type="dxa"/>
            <w:tcBorders>
              <w:tl2br w:val="nil"/>
              <w:tr2bl w:val="nil"/>
            </w:tcBorders>
            <w:vAlign w:val="center"/>
          </w:tcPr>
          <w:p w14:paraId="337989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达标情况</w:t>
            </w:r>
          </w:p>
        </w:tc>
      </w:tr>
      <w:tr w14:paraId="57A32AC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27A864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PM</w:t>
            </w:r>
            <w:r>
              <w:rPr>
                <w:rFonts w:hint="default" w:ascii="Times New Roman" w:hAnsi="Times New Roman" w:eastAsia="宋体" w:cs="Times New Roman"/>
                <w:color w:val="auto"/>
                <w:spacing w:val="-2"/>
                <w:kern w:val="0"/>
                <w:sz w:val="21"/>
                <w:szCs w:val="21"/>
                <w:u w:val="none" w:color="auto"/>
                <w:vertAlign w:val="subscript"/>
              </w:rPr>
              <w:t>10</w:t>
            </w:r>
          </w:p>
        </w:tc>
        <w:tc>
          <w:tcPr>
            <w:tcW w:w="3489" w:type="dxa"/>
            <w:tcBorders>
              <w:tl2br w:val="nil"/>
              <w:tr2bl w:val="nil"/>
            </w:tcBorders>
            <w:vAlign w:val="center"/>
          </w:tcPr>
          <w:p w14:paraId="1AD340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年平均质量浓度</w:t>
            </w:r>
          </w:p>
        </w:tc>
        <w:tc>
          <w:tcPr>
            <w:tcW w:w="1206" w:type="dxa"/>
            <w:tcBorders>
              <w:tl2br w:val="nil"/>
              <w:tr2bl w:val="nil"/>
            </w:tcBorders>
            <w:vAlign w:val="center"/>
          </w:tcPr>
          <w:p w14:paraId="0371CE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44</w:t>
            </w:r>
          </w:p>
        </w:tc>
        <w:tc>
          <w:tcPr>
            <w:tcW w:w="1073" w:type="dxa"/>
            <w:tcBorders>
              <w:tl2br w:val="nil"/>
              <w:tr2bl w:val="nil"/>
            </w:tcBorders>
            <w:vAlign w:val="center"/>
          </w:tcPr>
          <w:p w14:paraId="23D085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70</w:t>
            </w:r>
          </w:p>
        </w:tc>
        <w:tc>
          <w:tcPr>
            <w:tcW w:w="986" w:type="dxa"/>
            <w:tcBorders>
              <w:tl2br w:val="nil"/>
              <w:tr2bl w:val="nil"/>
            </w:tcBorders>
            <w:vAlign w:val="center"/>
          </w:tcPr>
          <w:p w14:paraId="5FEA93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62.86</w:t>
            </w:r>
          </w:p>
        </w:tc>
        <w:tc>
          <w:tcPr>
            <w:tcW w:w="1124" w:type="dxa"/>
            <w:tcBorders>
              <w:tl2br w:val="nil"/>
              <w:tr2bl w:val="nil"/>
            </w:tcBorders>
            <w:vAlign w:val="center"/>
          </w:tcPr>
          <w:p w14:paraId="597FF6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3A062A1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07CFA8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PM</w:t>
            </w:r>
            <w:r>
              <w:rPr>
                <w:rFonts w:hint="default" w:ascii="Times New Roman" w:hAnsi="Times New Roman" w:eastAsia="宋体" w:cs="Times New Roman"/>
                <w:color w:val="auto"/>
                <w:spacing w:val="-2"/>
                <w:kern w:val="0"/>
                <w:sz w:val="21"/>
                <w:szCs w:val="21"/>
                <w:u w:val="none" w:color="auto"/>
                <w:vertAlign w:val="subscript"/>
              </w:rPr>
              <w:t>2.5</w:t>
            </w:r>
          </w:p>
        </w:tc>
        <w:tc>
          <w:tcPr>
            <w:tcW w:w="3489" w:type="dxa"/>
            <w:tcBorders>
              <w:tl2br w:val="nil"/>
              <w:tr2bl w:val="nil"/>
            </w:tcBorders>
            <w:vAlign w:val="center"/>
          </w:tcPr>
          <w:p w14:paraId="74B049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年平均质量浓度</w:t>
            </w:r>
          </w:p>
        </w:tc>
        <w:tc>
          <w:tcPr>
            <w:tcW w:w="1206" w:type="dxa"/>
            <w:tcBorders>
              <w:tl2br w:val="nil"/>
              <w:tr2bl w:val="nil"/>
            </w:tcBorders>
            <w:vAlign w:val="center"/>
          </w:tcPr>
          <w:p w14:paraId="22123B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24</w:t>
            </w:r>
          </w:p>
        </w:tc>
        <w:tc>
          <w:tcPr>
            <w:tcW w:w="1073" w:type="dxa"/>
            <w:tcBorders>
              <w:tl2br w:val="nil"/>
              <w:tr2bl w:val="nil"/>
            </w:tcBorders>
            <w:vAlign w:val="center"/>
          </w:tcPr>
          <w:p w14:paraId="27A18E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35</w:t>
            </w:r>
          </w:p>
        </w:tc>
        <w:tc>
          <w:tcPr>
            <w:tcW w:w="986" w:type="dxa"/>
            <w:tcBorders>
              <w:tl2br w:val="nil"/>
              <w:tr2bl w:val="nil"/>
            </w:tcBorders>
            <w:vAlign w:val="center"/>
          </w:tcPr>
          <w:p w14:paraId="121E95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68.57</w:t>
            </w:r>
          </w:p>
        </w:tc>
        <w:tc>
          <w:tcPr>
            <w:tcW w:w="1124" w:type="dxa"/>
            <w:tcBorders>
              <w:tl2br w:val="nil"/>
              <w:tr2bl w:val="nil"/>
            </w:tcBorders>
            <w:vAlign w:val="center"/>
          </w:tcPr>
          <w:p w14:paraId="6814B2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2579282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5DEC0E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SO</w:t>
            </w:r>
            <w:r>
              <w:rPr>
                <w:rFonts w:hint="default" w:ascii="Times New Roman" w:hAnsi="Times New Roman" w:eastAsia="宋体" w:cs="Times New Roman"/>
                <w:color w:val="auto"/>
                <w:spacing w:val="-2"/>
                <w:kern w:val="0"/>
                <w:sz w:val="21"/>
                <w:szCs w:val="21"/>
                <w:u w:val="none" w:color="auto"/>
                <w:vertAlign w:val="subscript"/>
              </w:rPr>
              <w:t>2</w:t>
            </w:r>
          </w:p>
        </w:tc>
        <w:tc>
          <w:tcPr>
            <w:tcW w:w="3489" w:type="dxa"/>
            <w:tcBorders>
              <w:tl2br w:val="nil"/>
              <w:tr2bl w:val="nil"/>
            </w:tcBorders>
            <w:vAlign w:val="center"/>
          </w:tcPr>
          <w:p w14:paraId="76AD92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年平均质量浓度</w:t>
            </w:r>
          </w:p>
        </w:tc>
        <w:tc>
          <w:tcPr>
            <w:tcW w:w="1206" w:type="dxa"/>
            <w:tcBorders>
              <w:tl2br w:val="nil"/>
              <w:tr2bl w:val="nil"/>
            </w:tcBorders>
            <w:vAlign w:val="center"/>
          </w:tcPr>
          <w:p w14:paraId="68C494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11</w:t>
            </w:r>
          </w:p>
        </w:tc>
        <w:tc>
          <w:tcPr>
            <w:tcW w:w="1073" w:type="dxa"/>
            <w:tcBorders>
              <w:tl2br w:val="nil"/>
              <w:tr2bl w:val="nil"/>
            </w:tcBorders>
            <w:vAlign w:val="center"/>
          </w:tcPr>
          <w:p w14:paraId="184E13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60</w:t>
            </w:r>
          </w:p>
        </w:tc>
        <w:tc>
          <w:tcPr>
            <w:tcW w:w="986" w:type="dxa"/>
            <w:tcBorders>
              <w:tl2br w:val="nil"/>
              <w:tr2bl w:val="nil"/>
            </w:tcBorders>
            <w:vAlign w:val="center"/>
          </w:tcPr>
          <w:p w14:paraId="4F6596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18.33</w:t>
            </w:r>
          </w:p>
        </w:tc>
        <w:tc>
          <w:tcPr>
            <w:tcW w:w="1124" w:type="dxa"/>
            <w:tcBorders>
              <w:tl2br w:val="nil"/>
              <w:tr2bl w:val="nil"/>
            </w:tcBorders>
            <w:vAlign w:val="center"/>
          </w:tcPr>
          <w:p w14:paraId="236E9A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17205DF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351ED8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NO</w:t>
            </w:r>
            <w:r>
              <w:rPr>
                <w:rFonts w:hint="default" w:ascii="Times New Roman" w:hAnsi="Times New Roman" w:eastAsia="宋体" w:cs="Times New Roman"/>
                <w:color w:val="auto"/>
                <w:spacing w:val="-2"/>
                <w:kern w:val="0"/>
                <w:sz w:val="21"/>
                <w:szCs w:val="21"/>
                <w:u w:val="none" w:color="auto"/>
                <w:vertAlign w:val="subscript"/>
              </w:rPr>
              <w:t>2</w:t>
            </w:r>
          </w:p>
        </w:tc>
        <w:tc>
          <w:tcPr>
            <w:tcW w:w="3489" w:type="dxa"/>
            <w:tcBorders>
              <w:tl2br w:val="nil"/>
              <w:tr2bl w:val="nil"/>
            </w:tcBorders>
            <w:vAlign w:val="center"/>
          </w:tcPr>
          <w:p w14:paraId="716438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年平均质量浓度</w:t>
            </w:r>
          </w:p>
        </w:tc>
        <w:tc>
          <w:tcPr>
            <w:tcW w:w="1206" w:type="dxa"/>
            <w:tcBorders>
              <w:tl2br w:val="nil"/>
              <w:tr2bl w:val="nil"/>
            </w:tcBorders>
            <w:vAlign w:val="center"/>
          </w:tcPr>
          <w:p w14:paraId="0D1180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19</w:t>
            </w:r>
          </w:p>
        </w:tc>
        <w:tc>
          <w:tcPr>
            <w:tcW w:w="1073" w:type="dxa"/>
            <w:tcBorders>
              <w:tl2br w:val="nil"/>
              <w:tr2bl w:val="nil"/>
            </w:tcBorders>
            <w:vAlign w:val="center"/>
          </w:tcPr>
          <w:p w14:paraId="088907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40</w:t>
            </w:r>
          </w:p>
        </w:tc>
        <w:tc>
          <w:tcPr>
            <w:tcW w:w="986" w:type="dxa"/>
            <w:tcBorders>
              <w:tl2br w:val="nil"/>
              <w:tr2bl w:val="nil"/>
            </w:tcBorders>
            <w:vAlign w:val="center"/>
          </w:tcPr>
          <w:p w14:paraId="38BCDC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47.5</w:t>
            </w:r>
          </w:p>
        </w:tc>
        <w:tc>
          <w:tcPr>
            <w:tcW w:w="1124" w:type="dxa"/>
            <w:tcBorders>
              <w:tl2br w:val="nil"/>
              <w:tr2bl w:val="nil"/>
            </w:tcBorders>
            <w:vAlign w:val="center"/>
          </w:tcPr>
          <w:p w14:paraId="7E80D7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3DF1F73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4E8B96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O</w:t>
            </w:r>
            <w:r>
              <w:rPr>
                <w:rFonts w:hint="default" w:ascii="Times New Roman" w:hAnsi="Times New Roman" w:eastAsia="宋体" w:cs="Times New Roman"/>
                <w:color w:val="auto"/>
                <w:spacing w:val="-2"/>
                <w:kern w:val="0"/>
                <w:sz w:val="21"/>
                <w:szCs w:val="21"/>
                <w:u w:val="none" w:color="auto"/>
                <w:vertAlign w:val="subscript"/>
              </w:rPr>
              <w:t>3</w:t>
            </w:r>
          </w:p>
        </w:tc>
        <w:tc>
          <w:tcPr>
            <w:tcW w:w="3489" w:type="dxa"/>
            <w:tcBorders>
              <w:tl2br w:val="nil"/>
              <w:tr2bl w:val="nil"/>
            </w:tcBorders>
            <w:vAlign w:val="center"/>
          </w:tcPr>
          <w:p w14:paraId="04602F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百分位数8h平均质量浓度</w:t>
            </w:r>
          </w:p>
        </w:tc>
        <w:tc>
          <w:tcPr>
            <w:tcW w:w="1206" w:type="dxa"/>
            <w:tcBorders>
              <w:tl2br w:val="nil"/>
              <w:tr2bl w:val="nil"/>
            </w:tcBorders>
            <w:vAlign w:val="center"/>
          </w:tcPr>
          <w:p w14:paraId="2DC869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116</w:t>
            </w:r>
          </w:p>
        </w:tc>
        <w:tc>
          <w:tcPr>
            <w:tcW w:w="1073" w:type="dxa"/>
            <w:tcBorders>
              <w:tl2br w:val="nil"/>
              <w:tr2bl w:val="nil"/>
            </w:tcBorders>
            <w:vAlign w:val="center"/>
          </w:tcPr>
          <w:p w14:paraId="70B7FA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160</w:t>
            </w:r>
          </w:p>
        </w:tc>
        <w:tc>
          <w:tcPr>
            <w:tcW w:w="986" w:type="dxa"/>
            <w:tcBorders>
              <w:tl2br w:val="nil"/>
              <w:tr2bl w:val="nil"/>
            </w:tcBorders>
            <w:vAlign w:val="center"/>
          </w:tcPr>
          <w:p w14:paraId="1FCF83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72.5</w:t>
            </w:r>
          </w:p>
        </w:tc>
        <w:tc>
          <w:tcPr>
            <w:tcW w:w="1124" w:type="dxa"/>
            <w:tcBorders>
              <w:tl2br w:val="nil"/>
              <w:tr2bl w:val="nil"/>
            </w:tcBorders>
            <w:vAlign w:val="center"/>
          </w:tcPr>
          <w:p w14:paraId="1C2B78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5305415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2" w:type="dxa"/>
            <w:tcBorders>
              <w:tl2br w:val="nil"/>
              <w:tr2bl w:val="nil"/>
            </w:tcBorders>
            <w:vAlign w:val="center"/>
          </w:tcPr>
          <w:p w14:paraId="66895B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CO</w:t>
            </w:r>
          </w:p>
        </w:tc>
        <w:tc>
          <w:tcPr>
            <w:tcW w:w="3489" w:type="dxa"/>
            <w:tcBorders>
              <w:tl2br w:val="nil"/>
              <w:tr2bl w:val="nil"/>
            </w:tcBorders>
            <w:vAlign w:val="center"/>
          </w:tcPr>
          <w:p w14:paraId="4BDE41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百分位数日平均质量浓度</w:t>
            </w:r>
          </w:p>
        </w:tc>
        <w:tc>
          <w:tcPr>
            <w:tcW w:w="1206" w:type="dxa"/>
            <w:tcBorders>
              <w:tl2br w:val="nil"/>
              <w:tr2bl w:val="nil"/>
            </w:tcBorders>
            <w:vAlign w:val="center"/>
          </w:tcPr>
          <w:p w14:paraId="554E30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1300</w:t>
            </w:r>
          </w:p>
        </w:tc>
        <w:tc>
          <w:tcPr>
            <w:tcW w:w="1073" w:type="dxa"/>
            <w:tcBorders>
              <w:tl2br w:val="nil"/>
              <w:tr2bl w:val="nil"/>
            </w:tcBorders>
            <w:vAlign w:val="center"/>
          </w:tcPr>
          <w:p w14:paraId="6674F4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4000</w:t>
            </w:r>
          </w:p>
        </w:tc>
        <w:tc>
          <w:tcPr>
            <w:tcW w:w="986" w:type="dxa"/>
            <w:tcBorders>
              <w:tl2br w:val="nil"/>
              <w:tr2bl w:val="nil"/>
            </w:tcBorders>
            <w:vAlign w:val="center"/>
          </w:tcPr>
          <w:p w14:paraId="6BAFC4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32.5</w:t>
            </w:r>
          </w:p>
        </w:tc>
        <w:tc>
          <w:tcPr>
            <w:tcW w:w="1124" w:type="dxa"/>
            <w:tcBorders>
              <w:tl2br w:val="nil"/>
              <w:tr2bl w:val="nil"/>
            </w:tcBorders>
            <w:vAlign w:val="center"/>
          </w:tcPr>
          <w:p w14:paraId="5606F3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bl>
    <w:p w14:paraId="4FB128D4">
      <w:pPr>
        <w:spacing w:line="360" w:lineRule="auto"/>
        <w:ind w:firstLine="472" w:firstLineChars="200"/>
        <w:rPr>
          <w:rFonts w:ascii="Times New Roman" w:hAnsi="Times New Roman" w:eastAsia="宋体" w:cs="Times New Roman"/>
          <w:b/>
          <w:color w:val="auto"/>
          <w:sz w:val="24"/>
          <w:u w:val="none" w:color="auto"/>
        </w:rPr>
      </w:pPr>
      <w:r>
        <w:rPr>
          <w:rFonts w:ascii="Times New Roman" w:hAnsi="Times New Roman" w:eastAsia="宋体" w:cs="Times New Roman"/>
          <w:color w:val="auto"/>
          <w:spacing w:val="-2"/>
          <w:kern w:val="0"/>
          <w:sz w:val="24"/>
          <w:szCs w:val="20"/>
          <w:u w:val="none" w:color="auto"/>
        </w:rPr>
        <w:t>统计数据表明，202</w:t>
      </w:r>
      <w:r>
        <w:rPr>
          <w:rFonts w:hint="eastAsia" w:ascii="Times New Roman" w:hAnsi="Times New Roman" w:eastAsia="宋体" w:cs="Times New Roman"/>
          <w:color w:val="auto"/>
          <w:spacing w:val="-2"/>
          <w:kern w:val="0"/>
          <w:sz w:val="24"/>
          <w:szCs w:val="20"/>
          <w:u w:val="none" w:color="auto"/>
          <w:lang w:val="en-US" w:eastAsia="zh-CN"/>
        </w:rPr>
        <w:t>3</w:t>
      </w:r>
      <w:r>
        <w:rPr>
          <w:rFonts w:ascii="Times New Roman" w:hAnsi="Times New Roman" w:eastAsia="宋体" w:cs="Times New Roman"/>
          <w:color w:val="auto"/>
          <w:spacing w:val="-2"/>
          <w:kern w:val="0"/>
          <w:sz w:val="24"/>
          <w:szCs w:val="20"/>
          <w:u w:val="none" w:color="auto"/>
        </w:rPr>
        <w:t>年钦州市环境空气中PM</w:t>
      </w:r>
      <w:r>
        <w:rPr>
          <w:rFonts w:ascii="Times New Roman" w:hAnsi="Times New Roman" w:eastAsia="宋体" w:cs="Times New Roman"/>
          <w:color w:val="auto"/>
          <w:spacing w:val="-2"/>
          <w:kern w:val="0"/>
          <w:sz w:val="24"/>
          <w:szCs w:val="20"/>
          <w:u w:val="none" w:color="auto"/>
          <w:vertAlign w:val="subscript"/>
        </w:rPr>
        <w:t>10</w:t>
      </w:r>
      <w:r>
        <w:rPr>
          <w:rFonts w:ascii="Times New Roman" w:hAnsi="Times New Roman" w:eastAsia="宋体" w:cs="Times New Roman"/>
          <w:color w:val="auto"/>
          <w:spacing w:val="-2"/>
          <w:kern w:val="0"/>
          <w:sz w:val="24"/>
          <w:szCs w:val="20"/>
          <w:u w:val="none" w:color="auto"/>
        </w:rPr>
        <w:t>、PM</w:t>
      </w:r>
      <w:r>
        <w:rPr>
          <w:rFonts w:ascii="Times New Roman" w:hAnsi="Times New Roman" w:eastAsia="宋体" w:cs="Times New Roman"/>
          <w:color w:val="auto"/>
          <w:spacing w:val="-2"/>
          <w:kern w:val="0"/>
          <w:sz w:val="24"/>
          <w:szCs w:val="20"/>
          <w:u w:val="none" w:color="auto"/>
          <w:vertAlign w:val="subscript"/>
        </w:rPr>
        <w:t>2.5</w:t>
      </w:r>
      <w:r>
        <w:rPr>
          <w:rFonts w:ascii="Times New Roman" w:hAnsi="Times New Roman" w:eastAsia="宋体" w:cs="Times New Roman"/>
          <w:color w:val="auto"/>
          <w:spacing w:val="-2"/>
          <w:kern w:val="0"/>
          <w:sz w:val="24"/>
          <w:szCs w:val="20"/>
          <w:u w:val="none" w:color="auto"/>
        </w:rPr>
        <w:t>、SO</w:t>
      </w:r>
      <w:r>
        <w:rPr>
          <w:rFonts w:ascii="Times New Roman" w:hAnsi="Times New Roman" w:eastAsia="宋体" w:cs="Times New Roman"/>
          <w:color w:val="auto"/>
          <w:spacing w:val="-2"/>
          <w:kern w:val="0"/>
          <w:sz w:val="24"/>
          <w:szCs w:val="20"/>
          <w:u w:val="none" w:color="auto"/>
          <w:vertAlign w:val="subscript"/>
        </w:rPr>
        <w:t>2</w:t>
      </w:r>
      <w:r>
        <w:rPr>
          <w:rFonts w:ascii="Times New Roman" w:hAnsi="Times New Roman" w:eastAsia="宋体" w:cs="Times New Roman"/>
          <w:color w:val="auto"/>
          <w:spacing w:val="-2"/>
          <w:kern w:val="0"/>
          <w:sz w:val="24"/>
          <w:szCs w:val="20"/>
          <w:u w:val="none" w:color="auto"/>
        </w:rPr>
        <w:t>、NO</w:t>
      </w:r>
      <w:r>
        <w:rPr>
          <w:rFonts w:ascii="Times New Roman" w:hAnsi="Times New Roman" w:eastAsia="宋体" w:cs="Times New Roman"/>
          <w:color w:val="auto"/>
          <w:spacing w:val="-2"/>
          <w:kern w:val="0"/>
          <w:sz w:val="24"/>
          <w:szCs w:val="20"/>
          <w:u w:val="none" w:color="auto"/>
          <w:vertAlign w:val="subscript"/>
        </w:rPr>
        <w:t>2</w:t>
      </w:r>
      <w:r>
        <w:rPr>
          <w:rFonts w:ascii="Times New Roman" w:hAnsi="Times New Roman" w:eastAsia="宋体" w:cs="Times New Roman"/>
          <w:color w:val="auto"/>
          <w:spacing w:val="-2"/>
          <w:kern w:val="0"/>
          <w:sz w:val="24"/>
          <w:szCs w:val="20"/>
          <w:u w:val="none" w:color="auto"/>
        </w:rPr>
        <w:t>年平均质量浓度均达到《环境空气质量标准》（GB3095-2012）二级标准；CO日均95%百分位数浓度、臭氧日最大8小时90%百分位数浓度均达到《环境空气质量标准》（GB3095-2012）二级标准。项目所在区域为达标区。</w:t>
      </w:r>
    </w:p>
    <w:p w14:paraId="6EFDF15C">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hint="eastAsia" w:ascii="Times New Roman" w:hAnsi="Times New Roman" w:eastAsia="宋体" w:cs="Times New Roman"/>
          <w:b/>
          <w:color w:val="auto"/>
          <w:sz w:val="24"/>
          <w:u w:val="none" w:color="auto"/>
        </w:rPr>
        <w:t>2</w:t>
      </w:r>
      <w:r>
        <w:rPr>
          <w:rFonts w:ascii="Times New Roman" w:hAnsi="Times New Roman" w:eastAsia="宋体" w:cs="Times New Roman"/>
          <w:b/>
          <w:color w:val="auto"/>
          <w:sz w:val="24"/>
          <w:u w:val="none" w:color="auto"/>
        </w:rPr>
        <w:t>、基本污染物环境质量现状</w:t>
      </w:r>
    </w:p>
    <w:p w14:paraId="2ADF2DA1">
      <w:pPr>
        <w:autoSpaceDE w:val="0"/>
        <w:autoSpaceDN w:val="0"/>
        <w:spacing w:line="360" w:lineRule="auto"/>
        <w:ind w:firstLine="472" w:firstLineChars="200"/>
        <w:jc w:val="left"/>
        <w:rPr>
          <w:rFonts w:ascii="Times New Roman" w:hAnsi="Times New Roman" w:eastAsia="宋体" w:cs="Times New Roman"/>
          <w:color w:val="auto"/>
          <w:spacing w:val="-2"/>
          <w:kern w:val="0"/>
          <w:sz w:val="24"/>
          <w:szCs w:val="20"/>
          <w:u w:val="none" w:color="auto"/>
        </w:rPr>
      </w:pPr>
      <w:r>
        <w:rPr>
          <w:rFonts w:hint="eastAsia" w:ascii="Times New Roman" w:hAnsi="Times New Roman" w:eastAsia="宋体" w:cs="Times New Roman"/>
          <w:color w:val="auto"/>
          <w:spacing w:val="-2"/>
          <w:kern w:val="0"/>
          <w:sz w:val="24"/>
          <w:szCs w:val="20"/>
          <w:u w:val="none" w:color="auto"/>
        </w:rPr>
        <w:t>根据《环境影响评价技术导则 大气环境》（HJ2.2-2018）的要求，为了解拟建项目周边环境空气质量状况，项目基本污染物环境质量现状引用港区一小监测站点（E108.5989，N21.7431）202</w:t>
      </w:r>
      <w:r>
        <w:rPr>
          <w:rFonts w:hint="eastAsia" w:ascii="Times New Roman" w:hAnsi="Times New Roman" w:eastAsia="宋体" w:cs="Times New Roman"/>
          <w:color w:val="auto"/>
          <w:spacing w:val="-2"/>
          <w:kern w:val="0"/>
          <w:sz w:val="24"/>
          <w:szCs w:val="20"/>
          <w:u w:val="none" w:color="auto"/>
          <w:lang w:val="en-US" w:eastAsia="zh-CN"/>
        </w:rPr>
        <w:t>3</w:t>
      </w:r>
      <w:r>
        <w:rPr>
          <w:rFonts w:hint="eastAsia" w:ascii="Times New Roman" w:hAnsi="Times New Roman" w:eastAsia="宋体" w:cs="Times New Roman"/>
          <w:color w:val="auto"/>
          <w:spacing w:val="-2"/>
          <w:kern w:val="0"/>
          <w:sz w:val="24"/>
          <w:szCs w:val="20"/>
          <w:u w:val="none" w:color="auto"/>
        </w:rPr>
        <w:t>年全年监测数据，数据来源于广西壮族自治区</w:t>
      </w:r>
      <w:r>
        <w:rPr>
          <w:rFonts w:hint="eastAsia" w:ascii="Times New Roman" w:hAnsi="Times New Roman" w:eastAsia="宋体" w:cs="Times New Roman"/>
          <w:color w:val="auto"/>
          <w:spacing w:val="-2"/>
          <w:kern w:val="0"/>
          <w:sz w:val="24"/>
          <w:szCs w:val="20"/>
          <w:u w:val="none" w:color="auto"/>
          <w:lang w:eastAsia="zh-CN"/>
        </w:rPr>
        <w:t>生态环境厅</w:t>
      </w:r>
      <w:r>
        <w:rPr>
          <w:rFonts w:hint="eastAsia" w:ascii="Times New Roman" w:hAnsi="Times New Roman" w:eastAsia="宋体" w:cs="Times New Roman"/>
          <w:color w:val="auto"/>
          <w:spacing w:val="-2"/>
          <w:kern w:val="0"/>
          <w:sz w:val="24"/>
          <w:szCs w:val="20"/>
          <w:u w:val="none" w:color="auto"/>
        </w:rPr>
        <w:t>网站数据中心。港区一小监测站点位于项目西北面约4890m。</w:t>
      </w:r>
    </w:p>
    <w:p w14:paraId="76877B6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（1）评价标准</w:t>
      </w:r>
    </w:p>
    <w:p w14:paraId="07226B9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本项目评价区域为二类环境空气质量功能区，SO</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、NO</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、PM</w:t>
      </w:r>
      <w:r>
        <w:rPr>
          <w:rFonts w:ascii="Times New Roman" w:hAnsi="Times New Roman" w:eastAsia="宋体" w:cs="Times New Roman"/>
          <w:color w:val="auto"/>
          <w:sz w:val="24"/>
          <w:u w:val="none" w:color="auto"/>
          <w:vertAlign w:val="subscript"/>
        </w:rPr>
        <w:t>10</w:t>
      </w:r>
      <w:r>
        <w:rPr>
          <w:rFonts w:ascii="Times New Roman" w:hAnsi="Times New Roman" w:eastAsia="宋体" w:cs="Times New Roman"/>
          <w:color w:val="auto"/>
          <w:sz w:val="24"/>
          <w:u w:val="none" w:color="auto"/>
        </w:rPr>
        <w:t>、PM</w:t>
      </w:r>
      <w:r>
        <w:rPr>
          <w:rFonts w:ascii="Times New Roman" w:hAnsi="Times New Roman" w:eastAsia="宋体" w:cs="Times New Roman"/>
          <w:color w:val="auto"/>
          <w:sz w:val="24"/>
          <w:u w:val="none" w:color="auto"/>
          <w:vertAlign w:val="subscript"/>
        </w:rPr>
        <w:t>2.5</w:t>
      </w:r>
      <w:r>
        <w:rPr>
          <w:rFonts w:ascii="Times New Roman" w:hAnsi="Times New Roman" w:eastAsia="宋体" w:cs="Times New Roman"/>
          <w:color w:val="auto"/>
          <w:sz w:val="24"/>
          <w:u w:val="none" w:color="auto"/>
        </w:rPr>
        <w:t>、CO、O</w:t>
      </w:r>
      <w:r>
        <w:rPr>
          <w:rFonts w:ascii="Times New Roman" w:hAnsi="Times New Roman" w:eastAsia="宋体" w:cs="Times New Roman"/>
          <w:color w:val="auto"/>
          <w:sz w:val="24"/>
          <w:u w:val="none" w:color="auto"/>
          <w:vertAlign w:val="subscript"/>
        </w:rPr>
        <w:t>3</w:t>
      </w:r>
      <w:r>
        <w:rPr>
          <w:rFonts w:ascii="Times New Roman" w:hAnsi="Times New Roman" w:eastAsia="宋体" w:cs="Times New Roman"/>
          <w:color w:val="auto"/>
          <w:sz w:val="24"/>
          <w:u w:val="none" w:color="auto"/>
        </w:rPr>
        <w:t>执行《环境空气质量标准》（GB3095-2012）二级标准。</w:t>
      </w:r>
    </w:p>
    <w:p w14:paraId="7B757960">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（2）评价方法</w:t>
      </w:r>
    </w:p>
    <w:p w14:paraId="547FF76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根据《环境影响评价技术导则 大气环境》（HJ2.2-2018）的要求以及《环境空气质量评价技术规范（试行）》（HJ663-2013）的评价方法，单个监测点环境空气质量评价以《环境空气质量标准》（GB3095-2012）中污染物的浓度限值为依据，对各评价项目的年评价指标进行达标情况判断，年评价指标中的年均浓度和相应百分位数24h或8h平均质量浓度满足《环境空气质量标准》（GB3095-2012）中浓度限值要求的即为达标，对于超标的污染物，计算其超标倍数和超标率。</w:t>
      </w:r>
    </w:p>
    <w:p w14:paraId="4CB0E9F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根据《环境空气质量评价技术规范（试行）》（HJ663-2013）的污染物浓度统计方法，本次环境空气质量评价中，各评价时段内污染物的统计指标和统计方法如下所示：</w:t>
      </w:r>
    </w:p>
    <w:p w14:paraId="5BC63BF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年平均浓度按照一个日历年内城市24小时平均浓度值的算数平均值的统计方法对各污染物指标进行环境质量现状评价</w:t>
      </w:r>
      <w:r>
        <w:rPr>
          <w:rFonts w:hint="eastAsia" w:ascii="Times New Roman" w:hAnsi="Times New Roman" w:eastAsia="宋体" w:cs="Times New Roman"/>
          <w:color w:val="auto"/>
          <w:sz w:val="24"/>
          <w:u w:val="none" w:color="auto"/>
        </w:rPr>
        <w:t>，</w:t>
      </w:r>
      <w:r>
        <w:rPr>
          <w:rFonts w:hint="eastAsia" w:ascii="Times New Roman" w:hAnsi="Times New Roman" w:eastAsia="宋体" w:cs="Times New Roman"/>
          <w:color w:val="auto"/>
          <w:sz w:val="24"/>
          <w:u w:val="none" w:color="auto"/>
          <w:lang w:eastAsia="zh-CN"/>
        </w:rPr>
        <w:t>2023年</w:t>
      </w:r>
      <w:r>
        <w:rPr>
          <w:rFonts w:ascii="Times New Roman" w:hAnsi="Times New Roman" w:eastAsia="宋体" w:cs="Times New Roman"/>
          <w:color w:val="auto"/>
          <w:sz w:val="24"/>
          <w:u w:val="none" w:color="auto"/>
        </w:rPr>
        <w:t>有效天数为36</w:t>
      </w:r>
      <w:r>
        <w:rPr>
          <w:rFonts w:hint="eastAsia" w:ascii="Times New Roman" w:hAnsi="Times New Roman" w:eastAsia="宋体" w:cs="Times New Roman"/>
          <w:color w:val="auto"/>
          <w:sz w:val="24"/>
          <w:u w:val="none" w:color="auto"/>
        </w:rPr>
        <w:t>6</w:t>
      </w:r>
      <w:r>
        <w:rPr>
          <w:rFonts w:ascii="Times New Roman" w:hAnsi="Times New Roman" w:eastAsia="宋体" w:cs="Times New Roman"/>
          <w:color w:val="auto"/>
          <w:sz w:val="24"/>
          <w:u w:val="none" w:color="auto"/>
        </w:rPr>
        <w:t>天。</w:t>
      </w:r>
    </w:p>
    <w:p w14:paraId="54AE613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相应百分位数浓度按照《环境空气质量评价技术规范（试行）》（HJ663-2013）中的统计方法对各污染物指标进行环境质量现状评价。污染物浓度序列的第p百分位数计算方法如下：</w:t>
      </w:r>
    </w:p>
    <w:p w14:paraId="651E5D2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①.将污染物浓度序列按数值从小到大排序，排序后的浓度序列为，{ X（i），i= 1,2, …n }。</w:t>
      </w:r>
    </w:p>
    <w:p w14:paraId="210C73F7">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②.计算第p百分位数m的序数k，序数k按式(A.3)计算</w:t>
      </w:r>
    </w:p>
    <w:p w14:paraId="679F2D26">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k=1+(n-1) ▪p%        ( A.3)</w:t>
      </w:r>
    </w:p>
    <w:p w14:paraId="6638881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w:t>
      </w:r>
    </w:p>
    <w:p w14:paraId="57AEB18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k——p%位置对应的序数。</w:t>
      </w:r>
    </w:p>
    <w:p w14:paraId="10D0D0F7">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     n——污染物浓度序列中的浓度值数量。</w:t>
      </w:r>
    </w:p>
    <w:p w14:paraId="5D1B9FC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③第p百分位数mp按式(A.4)计算：</w:t>
      </w:r>
    </w:p>
    <w:p w14:paraId="7F7C1A38">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mp=X（s）+（X（s+1）-X（s））×（k－s）          (A.4)</w:t>
      </w:r>
    </w:p>
    <w:p w14:paraId="3706E81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w:t>
      </w:r>
    </w:p>
    <w:p w14:paraId="47B9DCD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s——k的整数部分，当k为整数时s与k相等。</w:t>
      </w:r>
    </w:p>
    <w:p w14:paraId="558D93A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（3）监测结果统计与评价</w:t>
      </w:r>
    </w:p>
    <w:p w14:paraId="13FD0461">
      <w:pPr>
        <w:pStyle w:val="36"/>
        <w:spacing w:after="0" w:line="360" w:lineRule="auto"/>
        <w:ind w:firstLine="480" w:firstLineChars="200"/>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根据《环境空气质量评价技术规范(试行)》(HJ663-2013)表1中年评价相关要求，对SO</w:t>
      </w:r>
      <w:r>
        <w:rPr>
          <w:rFonts w:ascii="Times New Roman" w:hAnsi="Times New Roman" w:eastAsia="宋体" w:cs="Times New Roman"/>
          <w:color w:val="auto"/>
          <w:u w:val="none" w:color="auto"/>
          <w:vertAlign w:val="subscript"/>
        </w:rPr>
        <w:t>2</w:t>
      </w:r>
      <w:r>
        <w:rPr>
          <w:rFonts w:ascii="Times New Roman" w:hAnsi="Times New Roman" w:eastAsia="宋体" w:cs="Times New Roman"/>
          <w:color w:val="auto"/>
          <w:u w:val="none" w:color="auto"/>
        </w:rPr>
        <w:t>、NO</w:t>
      </w:r>
      <w:r>
        <w:rPr>
          <w:rFonts w:ascii="Times New Roman" w:hAnsi="Times New Roman" w:eastAsia="宋体" w:cs="Times New Roman"/>
          <w:color w:val="auto"/>
          <w:u w:val="none" w:color="auto"/>
          <w:vertAlign w:val="subscript"/>
        </w:rPr>
        <w:t>2</w:t>
      </w:r>
      <w:r>
        <w:rPr>
          <w:rFonts w:ascii="Times New Roman" w:hAnsi="Times New Roman" w:eastAsia="宋体" w:cs="Times New Roman"/>
          <w:color w:val="auto"/>
          <w:u w:val="none" w:color="auto"/>
        </w:rPr>
        <w:t>的年平均和日均值保证率为24小时平均第98百分位数对应浓度值进行统计，对PM</w:t>
      </w:r>
      <w:r>
        <w:rPr>
          <w:rFonts w:ascii="Times New Roman" w:hAnsi="Times New Roman" w:eastAsia="宋体" w:cs="Times New Roman"/>
          <w:color w:val="auto"/>
          <w:u w:val="none" w:color="auto"/>
          <w:vertAlign w:val="subscript"/>
        </w:rPr>
        <w:t>10</w:t>
      </w:r>
      <w:r>
        <w:rPr>
          <w:rFonts w:ascii="Times New Roman" w:hAnsi="Times New Roman" w:eastAsia="宋体" w:cs="Times New Roman"/>
          <w:color w:val="auto"/>
          <w:u w:val="none" w:color="auto"/>
        </w:rPr>
        <w:t>、PM</w:t>
      </w:r>
      <w:r>
        <w:rPr>
          <w:rFonts w:ascii="Times New Roman" w:hAnsi="Times New Roman" w:eastAsia="宋体" w:cs="Times New Roman"/>
          <w:color w:val="auto"/>
          <w:u w:val="none" w:color="auto"/>
          <w:vertAlign w:val="subscript"/>
        </w:rPr>
        <w:t>2.5</w:t>
      </w:r>
      <w:r>
        <w:rPr>
          <w:rFonts w:ascii="Times New Roman" w:hAnsi="Times New Roman" w:eastAsia="宋体" w:cs="Times New Roman"/>
          <w:color w:val="auto"/>
          <w:u w:val="none" w:color="auto"/>
        </w:rPr>
        <w:t>的年平均和日均值保证率为24小时平均第95百分位数对应浓度值进行统计，对CO日均值保证率为24小时平均第95百分位数对应浓度值进行统计，对O</w:t>
      </w:r>
      <w:r>
        <w:rPr>
          <w:rFonts w:ascii="Times New Roman" w:hAnsi="Times New Roman" w:eastAsia="宋体" w:cs="Times New Roman"/>
          <w:color w:val="auto"/>
          <w:u w:val="none" w:color="auto"/>
          <w:vertAlign w:val="subscript"/>
        </w:rPr>
        <w:t>3</w:t>
      </w:r>
      <w:r>
        <w:rPr>
          <w:rFonts w:ascii="Times New Roman" w:hAnsi="Times New Roman" w:eastAsia="宋体" w:cs="Times New Roman"/>
          <w:color w:val="auto"/>
          <w:u w:val="none" w:color="auto"/>
        </w:rPr>
        <w:t>日最大8小时平均第90百分位数对应浓度值进行统计，得出202</w:t>
      </w:r>
      <w:r>
        <w:rPr>
          <w:rFonts w:hint="eastAsia" w:ascii="Times New Roman" w:hAnsi="Times New Roman" w:eastAsia="宋体" w:cs="Times New Roman"/>
          <w:color w:val="auto"/>
          <w:u w:val="none" w:color="auto"/>
          <w:lang w:val="en-US" w:eastAsia="zh-CN"/>
        </w:rPr>
        <w:t>3</w:t>
      </w:r>
      <w:r>
        <w:rPr>
          <w:rFonts w:ascii="Times New Roman" w:hAnsi="Times New Roman" w:eastAsia="宋体" w:cs="Times New Roman"/>
          <w:color w:val="auto"/>
          <w:u w:val="none" w:color="auto"/>
        </w:rPr>
        <w:t>年评价区环境空气质量监测数据</w:t>
      </w:r>
      <w:r>
        <w:rPr>
          <w:rFonts w:hint="eastAsia" w:ascii="Times New Roman" w:hAnsi="Times New Roman" w:eastAsia="宋体" w:cs="Times New Roman"/>
          <w:color w:val="auto"/>
          <w:u w:val="none" w:color="auto"/>
          <w:lang w:eastAsia="zh-CN"/>
        </w:rPr>
        <w:t>统计</w:t>
      </w:r>
      <w:r>
        <w:rPr>
          <w:rFonts w:ascii="Times New Roman" w:hAnsi="Times New Roman" w:eastAsia="宋体" w:cs="Times New Roman"/>
          <w:color w:val="auto"/>
          <w:u w:val="none" w:color="auto"/>
        </w:rPr>
        <w:t>如表</w:t>
      </w:r>
      <w:r>
        <w:rPr>
          <w:rFonts w:hint="eastAsia" w:ascii="Times New Roman" w:hAnsi="Times New Roman" w:eastAsia="宋体" w:cs="Times New Roman"/>
          <w:color w:val="auto"/>
          <w:u w:val="none" w:color="auto"/>
        </w:rPr>
        <w:t>3</w:t>
      </w:r>
      <w:r>
        <w:rPr>
          <w:rFonts w:ascii="Times New Roman" w:hAnsi="Times New Roman" w:eastAsia="宋体" w:cs="Times New Roman"/>
          <w:color w:val="auto"/>
          <w:u w:val="none" w:color="auto"/>
        </w:rPr>
        <w:t>.2-2所示</w:t>
      </w:r>
      <w:r>
        <w:rPr>
          <w:rFonts w:hint="eastAsia" w:ascii="Times New Roman" w:hAnsi="Times New Roman" w:eastAsia="宋体" w:cs="Times New Roman"/>
          <w:color w:val="auto"/>
          <w:u w:val="none" w:color="auto"/>
        </w:rPr>
        <w:t>。</w:t>
      </w:r>
    </w:p>
    <w:p w14:paraId="1247463E">
      <w:pPr>
        <w:adjustRightInd w:val="0"/>
        <w:snapToGrid w:val="0"/>
        <w:jc w:val="center"/>
        <w:rPr>
          <w:rFonts w:ascii="Times New Roman" w:hAnsi="Times New Roman" w:cs="Times New Roman"/>
          <w:b/>
          <w:bCs/>
          <w:color w:val="auto"/>
          <w:sz w:val="24"/>
          <w:szCs w:val="24"/>
          <w:u w:val="none" w:color="auto"/>
        </w:rPr>
      </w:pPr>
      <w:r>
        <w:rPr>
          <w:rFonts w:ascii="Times New Roman" w:hAnsi="Times New Roman" w:cs="Times New Roman"/>
          <w:b/>
          <w:bCs/>
          <w:color w:val="auto"/>
          <w:sz w:val="24"/>
          <w:szCs w:val="24"/>
          <w:u w:val="none" w:color="auto"/>
        </w:rPr>
        <w:t>表</w:t>
      </w:r>
      <w:r>
        <w:rPr>
          <w:rFonts w:hint="eastAsia" w:ascii="Times New Roman" w:hAnsi="Times New Roman" w:cs="Times New Roman"/>
          <w:b/>
          <w:bCs/>
          <w:color w:val="auto"/>
          <w:sz w:val="24"/>
          <w:szCs w:val="24"/>
          <w:u w:val="none" w:color="auto"/>
        </w:rPr>
        <w:t>3</w:t>
      </w:r>
      <w:r>
        <w:rPr>
          <w:rFonts w:ascii="Times New Roman" w:hAnsi="Times New Roman" w:cs="Times New Roman"/>
          <w:b/>
          <w:bCs/>
          <w:color w:val="auto"/>
          <w:sz w:val="24"/>
          <w:szCs w:val="24"/>
          <w:u w:val="none" w:color="auto"/>
        </w:rPr>
        <w:t>.2-2  基本污染物环境质量现状统计表</w:t>
      </w:r>
    </w:p>
    <w:tbl>
      <w:tblPr>
        <w:tblStyle w:val="37"/>
        <w:tblW w:w="85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2083"/>
        <w:gridCol w:w="747"/>
        <w:gridCol w:w="1313"/>
        <w:gridCol w:w="1604"/>
        <w:gridCol w:w="1093"/>
        <w:gridCol w:w="888"/>
      </w:tblGrid>
      <w:tr w14:paraId="3BC84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89" w:type="dxa"/>
            <w:vAlign w:val="center"/>
          </w:tcPr>
          <w:p w14:paraId="1147338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污染物</w:t>
            </w:r>
          </w:p>
        </w:tc>
        <w:tc>
          <w:tcPr>
            <w:tcW w:w="2083" w:type="dxa"/>
            <w:vAlign w:val="center"/>
          </w:tcPr>
          <w:p w14:paraId="03DAF17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年评价指标</w:t>
            </w:r>
          </w:p>
        </w:tc>
        <w:tc>
          <w:tcPr>
            <w:tcW w:w="747" w:type="dxa"/>
            <w:vAlign w:val="center"/>
          </w:tcPr>
          <w:p w14:paraId="28C703E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评价标准</w:t>
            </w:r>
          </w:p>
        </w:tc>
        <w:tc>
          <w:tcPr>
            <w:tcW w:w="1313" w:type="dxa"/>
            <w:vAlign w:val="center"/>
          </w:tcPr>
          <w:p w14:paraId="40A289C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现状浓度</w:t>
            </w:r>
          </w:p>
          <w:p w14:paraId="6C44273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（μg/m</w:t>
            </w:r>
            <w:r>
              <w:rPr>
                <w:rFonts w:ascii="Times New Roman" w:hAnsi="Times New Roman" w:eastAsia="宋体" w:cs="Times New Roman"/>
                <w:color w:val="auto"/>
                <w:spacing w:val="-2"/>
                <w:kern w:val="0"/>
                <w:szCs w:val="21"/>
                <w:u w:val="none" w:color="auto"/>
                <w:vertAlign w:val="superscript"/>
              </w:rPr>
              <w:t>3</w:t>
            </w:r>
            <w:r>
              <w:rPr>
                <w:rFonts w:ascii="Times New Roman" w:hAnsi="Times New Roman" w:eastAsia="宋体" w:cs="Times New Roman"/>
                <w:color w:val="auto"/>
                <w:spacing w:val="-2"/>
                <w:kern w:val="0"/>
                <w:szCs w:val="21"/>
                <w:u w:val="none" w:color="auto"/>
              </w:rPr>
              <w:t>）</w:t>
            </w:r>
          </w:p>
        </w:tc>
        <w:tc>
          <w:tcPr>
            <w:tcW w:w="1604" w:type="dxa"/>
            <w:vAlign w:val="center"/>
          </w:tcPr>
          <w:p w14:paraId="7017EDB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最大浓度占标率%</w:t>
            </w:r>
          </w:p>
        </w:tc>
        <w:tc>
          <w:tcPr>
            <w:tcW w:w="1093" w:type="dxa"/>
            <w:vAlign w:val="center"/>
          </w:tcPr>
          <w:p w14:paraId="4587298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超标频率%</w:t>
            </w:r>
          </w:p>
        </w:tc>
        <w:tc>
          <w:tcPr>
            <w:tcW w:w="888" w:type="dxa"/>
            <w:vAlign w:val="center"/>
          </w:tcPr>
          <w:p w14:paraId="6161804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达标情况</w:t>
            </w:r>
          </w:p>
        </w:tc>
      </w:tr>
      <w:tr w14:paraId="7E0C6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89" w:type="dxa"/>
            <w:vMerge w:val="restart"/>
            <w:vAlign w:val="center"/>
          </w:tcPr>
          <w:p w14:paraId="5193506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SO</w:t>
            </w:r>
            <w:r>
              <w:rPr>
                <w:rFonts w:ascii="Times New Roman" w:hAnsi="Times New Roman" w:eastAsia="宋体" w:cs="Times New Roman"/>
                <w:color w:val="auto"/>
                <w:spacing w:val="-2"/>
                <w:kern w:val="0"/>
                <w:szCs w:val="21"/>
                <w:u w:val="none" w:color="auto"/>
                <w:vertAlign w:val="subscript"/>
              </w:rPr>
              <w:t>2</w:t>
            </w:r>
          </w:p>
        </w:tc>
        <w:tc>
          <w:tcPr>
            <w:tcW w:w="2083" w:type="dxa"/>
            <w:vAlign w:val="center"/>
          </w:tcPr>
          <w:p w14:paraId="502B1FE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24小时平均第98</w:t>
            </w:r>
          </w:p>
          <w:p w14:paraId="7D14A9E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百分位数</w:t>
            </w:r>
          </w:p>
        </w:tc>
        <w:tc>
          <w:tcPr>
            <w:tcW w:w="747" w:type="dxa"/>
            <w:vAlign w:val="center"/>
          </w:tcPr>
          <w:p w14:paraId="1292852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150</w:t>
            </w:r>
          </w:p>
        </w:tc>
        <w:tc>
          <w:tcPr>
            <w:tcW w:w="1313" w:type="dxa"/>
            <w:vAlign w:val="center"/>
          </w:tcPr>
          <w:p w14:paraId="3B141A8A">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21</w:t>
            </w:r>
          </w:p>
        </w:tc>
        <w:tc>
          <w:tcPr>
            <w:tcW w:w="1604" w:type="dxa"/>
            <w:vAlign w:val="center"/>
          </w:tcPr>
          <w:p w14:paraId="25BA96B4">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14</w:t>
            </w:r>
          </w:p>
        </w:tc>
        <w:tc>
          <w:tcPr>
            <w:tcW w:w="1093" w:type="dxa"/>
            <w:vAlign w:val="center"/>
          </w:tcPr>
          <w:p w14:paraId="3A495C8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144AEC4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11691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89" w:type="dxa"/>
            <w:vMerge w:val="continue"/>
            <w:vAlign w:val="center"/>
          </w:tcPr>
          <w:p w14:paraId="0E084542">
            <w:pPr>
              <w:jc w:val="center"/>
              <w:rPr>
                <w:rFonts w:ascii="Times New Roman" w:hAnsi="Times New Roman" w:eastAsia="宋体" w:cs="Times New Roman"/>
                <w:color w:val="auto"/>
                <w:spacing w:val="-2"/>
                <w:kern w:val="0"/>
                <w:szCs w:val="21"/>
                <w:u w:val="none" w:color="auto"/>
              </w:rPr>
            </w:pPr>
          </w:p>
        </w:tc>
        <w:tc>
          <w:tcPr>
            <w:tcW w:w="2083" w:type="dxa"/>
            <w:vAlign w:val="center"/>
          </w:tcPr>
          <w:p w14:paraId="3E85B4E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年均浓度</w:t>
            </w:r>
          </w:p>
        </w:tc>
        <w:tc>
          <w:tcPr>
            <w:tcW w:w="747" w:type="dxa"/>
            <w:vAlign w:val="center"/>
          </w:tcPr>
          <w:p w14:paraId="5AB6058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60</w:t>
            </w:r>
          </w:p>
        </w:tc>
        <w:tc>
          <w:tcPr>
            <w:tcW w:w="1313" w:type="dxa"/>
            <w:vAlign w:val="center"/>
          </w:tcPr>
          <w:p w14:paraId="5266CCCA">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10</w:t>
            </w:r>
          </w:p>
        </w:tc>
        <w:tc>
          <w:tcPr>
            <w:tcW w:w="1604" w:type="dxa"/>
            <w:vAlign w:val="center"/>
          </w:tcPr>
          <w:p w14:paraId="476F82A1">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16.67</w:t>
            </w:r>
          </w:p>
        </w:tc>
        <w:tc>
          <w:tcPr>
            <w:tcW w:w="1093" w:type="dxa"/>
            <w:vAlign w:val="center"/>
          </w:tcPr>
          <w:p w14:paraId="4468991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2CE373C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326A7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89" w:type="dxa"/>
            <w:vMerge w:val="restart"/>
            <w:vAlign w:val="center"/>
          </w:tcPr>
          <w:p w14:paraId="3AD8272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NO</w:t>
            </w:r>
            <w:r>
              <w:rPr>
                <w:rFonts w:ascii="Times New Roman" w:hAnsi="Times New Roman" w:eastAsia="宋体" w:cs="Times New Roman"/>
                <w:color w:val="auto"/>
                <w:spacing w:val="-2"/>
                <w:kern w:val="0"/>
                <w:szCs w:val="21"/>
                <w:u w:val="none" w:color="auto"/>
                <w:vertAlign w:val="subscript"/>
              </w:rPr>
              <w:t>2</w:t>
            </w:r>
          </w:p>
        </w:tc>
        <w:tc>
          <w:tcPr>
            <w:tcW w:w="2083" w:type="dxa"/>
            <w:vAlign w:val="center"/>
          </w:tcPr>
          <w:p w14:paraId="36A6712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24小时平均第98</w:t>
            </w:r>
          </w:p>
          <w:p w14:paraId="1077466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百分位数</w:t>
            </w:r>
          </w:p>
        </w:tc>
        <w:tc>
          <w:tcPr>
            <w:tcW w:w="747" w:type="dxa"/>
            <w:vAlign w:val="center"/>
          </w:tcPr>
          <w:p w14:paraId="766D19F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80</w:t>
            </w:r>
          </w:p>
        </w:tc>
        <w:tc>
          <w:tcPr>
            <w:tcW w:w="1313" w:type="dxa"/>
            <w:vAlign w:val="center"/>
          </w:tcPr>
          <w:p w14:paraId="56E64997">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44</w:t>
            </w:r>
          </w:p>
        </w:tc>
        <w:tc>
          <w:tcPr>
            <w:tcW w:w="1604" w:type="dxa"/>
            <w:vAlign w:val="center"/>
          </w:tcPr>
          <w:p w14:paraId="3725EE7A">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55</w:t>
            </w:r>
          </w:p>
        </w:tc>
        <w:tc>
          <w:tcPr>
            <w:tcW w:w="1093" w:type="dxa"/>
            <w:vAlign w:val="center"/>
          </w:tcPr>
          <w:p w14:paraId="6BF7FF20">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42B98A0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4CCE7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89" w:type="dxa"/>
            <w:vMerge w:val="continue"/>
            <w:vAlign w:val="center"/>
          </w:tcPr>
          <w:p w14:paraId="6D1128D7">
            <w:pPr>
              <w:jc w:val="center"/>
              <w:rPr>
                <w:rFonts w:ascii="Times New Roman" w:hAnsi="Times New Roman" w:eastAsia="宋体" w:cs="Times New Roman"/>
                <w:color w:val="auto"/>
                <w:spacing w:val="-2"/>
                <w:kern w:val="0"/>
                <w:szCs w:val="21"/>
                <w:u w:val="none" w:color="auto"/>
              </w:rPr>
            </w:pPr>
          </w:p>
        </w:tc>
        <w:tc>
          <w:tcPr>
            <w:tcW w:w="2083" w:type="dxa"/>
            <w:vAlign w:val="center"/>
          </w:tcPr>
          <w:p w14:paraId="10A5B54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年均浓度</w:t>
            </w:r>
          </w:p>
        </w:tc>
        <w:tc>
          <w:tcPr>
            <w:tcW w:w="747" w:type="dxa"/>
            <w:vAlign w:val="center"/>
          </w:tcPr>
          <w:p w14:paraId="3392C3C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40</w:t>
            </w:r>
          </w:p>
        </w:tc>
        <w:tc>
          <w:tcPr>
            <w:tcW w:w="1313" w:type="dxa"/>
            <w:vAlign w:val="center"/>
          </w:tcPr>
          <w:p w14:paraId="1EF4B252">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23</w:t>
            </w:r>
          </w:p>
        </w:tc>
        <w:tc>
          <w:tcPr>
            <w:tcW w:w="1604" w:type="dxa"/>
            <w:vAlign w:val="center"/>
          </w:tcPr>
          <w:p w14:paraId="3C861797">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57.5</w:t>
            </w:r>
          </w:p>
        </w:tc>
        <w:tc>
          <w:tcPr>
            <w:tcW w:w="1093" w:type="dxa"/>
            <w:vAlign w:val="center"/>
          </w:tcPr>
          <w:p w14:paraId="714D488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4E2C861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65E63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89" w:type="dxa"/>
            <w:vMerge w:val="restart"/>
            <w:vAlign w:val="center"/>
          </w:tcPr>
          <w:p w14:paraId="08E01F1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PM</w:t>
            </w:r>
            <w:r>
              <w:rPr>
                <w:rFonts w:ascii="Times New Roman" w:hAnsi="Times New Roman" w:eastAsia="宋体" w:cs="Times New Roman"/>
                <w:color w:val="auto"/>
                <w:spacing w:val="-2"/>
                <w:kern w:val="0"/>
                <w:szCs w:val="21"/>
                <w:u w:val="none" w:color="auto"/>
                <w:vertAlign w:val="subscript"/>
              </w:rPr>
              <w:t>2.5</w:t>
            </w:r>
          </w:p>
        </w:tc>
        <w:tc>
          <w:tcPr>
            <w:tcW w:w="2083" w:type="dxa"/>
            <w:vAlign w:val="center"/>
          </w:tcPr>
          <w:p w14:paraId="07BF846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24小时平均第95</w:t>
            </w:r>
          </w:p>
          <w:p w14:paraId="01598DA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百分位数</w:t>
            </w:r>
          </w:p>
        </w:tc>
        <w:tc>
          <w:tcPr>
            <w:tcW w:w="747" w:type="dxa"/>
            <w:vAlign w:val="center"/>
          </w:tcPr>
          <w:p w14:paraId="3403B57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75</w:t>
            </w:r>
          </w:p>
        </w:tc>
        <w:tc>
          <w:tcPr>
            <w:tcW w:w="1313" w:type="dxa"/>
            <w:vAlign w:val="center"/>
          </w:tcPr>
          <w:p w14:paraId="39E0D828">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50</w:t>
            </w:r>
          </w:p>
        </w:tc>
        <w:tc>
          <w:tcPr>
            <w:tcW w:w="1604" w:type="dxa"/>
            <w:vAlign w:val="center"/>
          </w:tcPr>
          <w:p w14:paraId="1B8FF003">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66.67</w:t>
            </w:r>
          </w:p>
        </w:tc>
        <w:tc>
          <w:tcPr>
            <w:tcW w:w="1093" w:type="dxa"/>
            <w:vAlign w:val="center"/>
          </w:tcPr>
          <w:p w14:paraId="00DCC217">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2F586E8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5D006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789" w:type="dxa"/>
            <w:vMerge w:val="continue"/>
            <w:vAlign w:val="center"/>
          </w:tcPr>
          <w:p w14:paraId="7D4FA4F0">
            <w:pPr>
              <w:jc w:val="center"/>
              <w:rPr>
                <w:rFonts w:ascii="Times New Roman" w:hAnsi="Times New Roman" w:eastAsia="宋体" w:cs="Times New Roman"/>
                <w:color w:val="auto"/>
                <w:spacing w:val="-2"/>
                <w:kern w:val="0"/>
                <w:szCs w:val="21"/>
                <w:u w:val="none" w:color="auto"/>
              </w:rPr>
            </w:pPr>
          </w:p>
        </w:tc>
        <w:tc>
          <w:tcPr>
            <w:tcW w:w="2083" w:type="dxa"/>
            <w:vAlign w:val="center"/>
          </w:tcPr>
          <w:p w14:paraId="776DCA6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年均浓度</w:t>
            </w:r>
          </w:p>
        </w:tc>
        <w:tc>
          <w:tcPr>
            <w:tcW w:w="747" w:type="dxa"/>
            <w:vAlign w:val="center"/>
          </w:tcPr>
          <w:p w14:paraId="1FFDA4A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35</w:t>
            </w:r>
          </w:p>
        </w:tc>
        <w:tc>
          <w:tcPr>
            <w:tcW w:w="1313" w:type="dxa"/>
            <w:vAlign w:val="center"/>
          </w:tcPr>
          <w:p w14:paraId="5C1A1FEB">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24</w:t>
            </w:r>
          </w:p>
        </w:tc>
        <w:tc>
          <w:tcPr>
            <w:tcW w:w="1604" w:type="dxa"/>
            <w:vAlign w:val="center"/>
          </w:tcPr>
          <w:p w14:paraId="495FA4EE">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68.57</w:t>
            </w:r>
          </w:p>
        </w:tc>
        <w:tc>
          <w:tcPr>
            <w:tcW w:w="1093" w:type="dxa"/>
            <w:vAlign w:val="center"/>
          </w:tcPr>
          <w:p w14:paraId="30A88AD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586A846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36588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89" w:type="dxa"/>
            <w:vMerge w:val="restart"/>
            <w:vAlign w:val="center"/>
          </w:tcPr>
          <w:p w14:paraId="746FE77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PM</w:t>
            </w:r>
            <w:r>
              <w:rPr>
                <w:rFonts w:ascii="Times New Roman" w:hAnsi="Times New Roman" w:eastAsia="宋体" w:cs="Times New Roman"/>
                <w:color w:val="auto"/>
                <w:spacing w:val="-2"/>
                <w:kern w:val="0"/>
                <w:szCs w:val="21"/>
                <w:u w:val="none" w:color="auto"/>
                <w:vertAlign w:val="subscript"/>
              </w:rPr>
              <w:t>10</w:t>
            </w:r>
          </w:p>
        </w:tc>
        <w:tc>
          <w:tcPr>
            <w:tcW w:w="2083" w:type="dxa"/>
            <w:vAlign w:val="center"/>
          </w:tcPr>
          <w:p w14:paraId="3BE91C1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24小时平均第95</w:t>
            </w:r>
          </w:p>
          <w:p w14:paraId="2554654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百分位数</w:t>
            </w:r>
          </w:p>
        </w:tc>
        <w:tc>
          <w:tcPr>
            <w:tcW w:w="747" w:type="dxa"/>
            <w:vAlign w:val="center"/>
          </w:tcPr>
          <w:p w14:paraId="77D2DC6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150</w:t>
            </w:r>
          </w:p>
        </w:tc>
        <w:tc>
          <w:tcPr>
            <w:tcW w:w="1313" w:type="dxa"/>
            <w:vAlign w:val="center"/>
          </w:tcPr>
          <w:p w14:paraId="266CA00B">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94</w:t>
            </w:r>
          </w:p>
        </w:tc>
        <w:tc>
          <w:tcPr>
            <w:tcW w:w="1604" w:type="dxa"/>
            <w:vAlign w:val="center"/>
          </w:tcPr>
          <w:p w14:paraId="2B501288">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62.67</w:t>
            </w:r>
          </w:p>
        </w:tc>
        <w:tc>
          <w:tcPr>
            <w:tcW w:w="1093" w:type="dxa"/>
            <w:vAlign w:val="center"/>
          </w:tcPr>
          <w:p w14:paraId="1D929AB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25BAEBB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6492A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89" w:type="dxa"/>
            <w:vMerge w:val="continue"/>
            <w:vAlign w:val="center"/>
          </w:tcPr>
          <w:p w14:paraId="75312D4D">
            <w:pPr>
              <w:jc w:val="center"/>
              <w:rPr>
                <w:rFonts w:ascii="Times New Roman" w:hAnsi="Times New Roman" w:eastAsia="宋体" w:cs="Times New Roman"/>
                <w:color w:val="auto"/>
                <w:spacing w:val="-2"/>
                <w:kern w:val="0"/>
                <w:szCs w:val="21"/>
                <w:u w:val="none" w:color="auto"/>
              </w:rPr>
            </w:pPr>
          </w:p>
        </w:tc>
        <w:tc>
          <w:tcPr>
            <w:tcW w:w="2083" w:type="dxa"/>
            <w:vAlign w:val="center"/>
          </w:tcPr>
          <w:p w14:paraId="530A876D">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年均浓度</w:t>
            </w:r>
          </w:p>
        </w:tc>
        <w:tc>
          <w:tcPr>
            <w:tcW w:w="747" w:type="dxa"/>
            <w:vAlign w:val="center"/>
          </w:tcPr>
          <w:p w14:paraId="7D1995B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70</w:t>
            </w:r>
          </w:p>
        </w:tc>
        <w:tc>
          <w:tcPr>
            <w:tcW w:w="1313" w:type="dxa"/>
            <w:vAlign w:val="center"/>
          </w:tcPr>
          <w:p w14:paraId="215C8D99">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48</w:t>
            </w:r>
          </w:p>
        </w:tc>
        <w:tc>
          <w:tcPr>
            <w:tcW w:w="1604" w:type="dxa"/>
            <w:vAlign w:val="center"/>
          </w:tcPr>
          <w:p w14:paraId="28E13059">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68.57</w:t>
            </w:r>
          </w:p>
        </w:tc>
        <w:tc>
          <w:tcPr>
            <w:tcW w:w="1093" w:type="dxa"/>
            <w:vAlign w:val="center"/>
          </w:tcPr>
          <w:p w14:paraId="15B35459">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7C746F9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3F4F7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89" w:type="dxa"/>
            <w:vAlign w:val="center"/>
          </w:tcPr>
          <w:p w14:paraId="0CA7DD0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CO</w:t>
            </w:r>
          </w:p>
        </w:tc>
        <w:tc>
          <w:tcPr>
            <w:tcW w:w="2083" w:type="dxa"/>
            <w:vAlign w:val="center"/>
          </w:tcPr>
          <w:p w14:paraId="4F5D8E5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24小时平均第95</w:t>
            </w:r>
          </w:p>
          <w:p w14:paraId="6B18C22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百分位数</w:t>
            </w:r>
          </w:p>
        </w:tc>
        <w:tc>
          <w:tcPr>
            <w:tcW w:w="747" w:type="dxa"/>
            <w:vAlign w:val="center"/>
          </w:tcPr>
          <w:p w14:paraId="19C6E77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4000</w:t>
            </w:r>
          </w:p>
        </w:tc>
        <w:tc>
          <w:tcPr>
            <w:tcW w:w="1313" w:type="dxa"/>
            <w:vAlign w:val="center"/>
          </w:tcPr>
          <w:p w14:paraId="774544BC">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1700</w:t>
            </w:r>
          </w:p>
        </w:tc>
        <w:tc>
          <w:tcPr>
            <w:tcW w:w="1604" w:type="dxa"/>
            <w:vAlign w:val="center"/>
          </w:tcPr>
          <w:p w14:paraId="2A80AC69">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42.5</w:t>
            </w:r>
          </w:p>
        </w:tc>
        <w:tc>
          <w:tcPr>
            <w:tcW w:w="1093" w:type="dxa"/>
            <w:vAlign w:val="center"/>
          </w:tcPr>
          <w:p w14:paraId="4039096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40DFFBE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r w14:paraId="7300A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789" w:type="dxa"/>
            <w:vAlign w:val="center"/>
          </w:tcPr>
          <w:p w14:paraId="18687533">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O</w:t>
            </w:r>
            <w:r>
              <w:rPr>
                <w:rFonts w:ascii="Times New Roman" w:hAnsi="Times New Roman" w:eastAsia="宋体" w:cs="Times New Roman"/>
                <w:color w:val="auto"/>
                <w:spacing w:val="-2"/>
                <w:kern w:val="0"/>
                <w:szCs w:val="21"/>
                <w:u w:val="none" w:color="auto"/>
                <w:vertAlign w:val="subscript"/>
              </w:rPr>
              <w:t>3</w:t>
            </w:r>
          </w:p>
        </w:tc>
        <w:tc>
          <w:tcPr>
            <w:tcW w:w="2083" w:type="dxa"/>
            <w:vAlign w:val="center"/>
          </w:tcPr>
          <w:p w14:paraId="7E63F12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90%位数8h平均质量浓度</w:t>
            </w:r>
          </w:p>
        </w:tc>
        <w:tc>
          <w:tcPr>
            <w:tcW w:w="747" w:type="dxa"/>
            <w:vAlign w:val="center"/>
          </w:tcPr>
          <w:p w14:paraId="49DC9E5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160</w:t>
            </w:r>
          </w:p>
        </w:tc>
        <w:tc>
          <w:tcPr>
            <w:tcW w:w="1313" w:type="dxa"/>
            <w:vAlign w:val="center"/>
          </w:tcPr>
          <w:p w14:paraId="78960071">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111</w:t>
            </w:r>
          </w:p>
        </w:tc>
        <w:tc>
          <w:tcPr>
            <w:tcW w:w="1604" w:type="dxa"/>
            <w:vAlign w:val="center"/>
          </w:tcPr>
          <w:p w14:paraId="59362E91">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69.38</w:t>
            </w:r>
          </w:p>
        </w:tc>
        <w:tc>
          <w:tcPr>
            <w:tcW w:w="1093" w:type="dxa"/>
            <w:vAlign w:val="center"/>
          </w:tcPr>
          <w:p w14:paraId="4BB189C5">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0</w:t>
            </w:r>
          </w:p>
        </w:tc>
        <w:tc>
          <w:tcPr>
            <w:tcW w:w="888" w:type="dxa"/>
            <w:vAlign w:val="center"/>
          </w:tcPr>
          <w:p w14:paraId="44AF2BE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达标</w:t>
            </w:r>
          </w:p>
        </w:tc>
      </w:tr>
    </w:tbl>
    <w:p w14:paraId="747D217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78" w:name="_Toc3728197"/>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.2.2特征污染物环境质量现状监测与评价</w:t>
      </w:r>
      <w:bookmarkEnd w:id="178"/>
    </w:p>
    <w:p w14:paraId="145CB09D">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1、监测点位布设</w:t>
      </w:r>
    </w:p>
    <w:p w14:paraId="47BAF3D0">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根据本项目特点及敏感点的分布情况，</w:t>
      </w:r>
      <w:r>
        <w:rPr>
          <w:rFonts w:hint="eastAsia" w:ascii="Times New Roman" w:hAnsi="Times New Roman" w:eastAsia="宋体" w:cs="Times New Roman"/>
          <w:color w:val="auto"/>
          <w:sz w:val="24"/>
          <w:u w:val="single" w:color="auto"/>
          <w:lang w:val="en-US" w:eastAsia="zh-CN"/>
        </w:rPr>
        <w:t>监测布点图见图3.2-1，</w:t>
      </w:r>
      <w:r>
        <w:rPr>
          <w:rFonts w:ascii="Times New Roman" w:hAnsi="Times New Roman" w:eastAsia="宋体" w:cs="Times New Roman"/>
          <w:color w:val="auto"/>
          <w:sz w:val="24"/>
          <w:u w:val="single" w:color="auto"/>
        </w:rPr>
        <w:t>本项目设置1个大气环境质量现状监测点进行监测。</w:t>
      </w:r>
    </w:p>
    <w:p w14:paraId="483EC762">
      <w:pPr>
        <w:autoSpaceDE w:val="0"/>
        <w:autoSpaceDN w:val="0"/>
        <w:spacing w:line="360" w:lineRule="auto"/>
        <w:ind w:firstLine="422" w:firstLineChars="200"/>
        <w:jc w:val="center"/>
        <w:rPr>
          <w:rFonts w:ascii="Times New Roman" w:hAnsi="Times New Roman" w:eastAsia="宋体" w:cs="Times New Roman"/>
          <w:b/>
          <w:color w:val="auto"/>
          <w:u w:val="none" w:color="auto"/>
        </w:rPr>
      </w:pPr>
      <w:r>
        <w:rPr>
          <w:rFonts w:ascii="Times New Roman" w:hAnsi="Times New Roman" w:eastAsia="宋体" w:cs="Times New Roman"/>
          <w:b/>
          <w:color w:val="auto"/>
          <w:u w:val="none" w:color="auto"/>
        </w:rPr>
        <w:t>表</w:t>
      </w:r>
      <w:r>
        <w:rPr>
          <w:rFonts w:hint="eastAsia" w:ascii="Times New Roman" w:hAnsi="Times New Roman" w:eastAsia="宋体" w:cs="Times New Roman"/>
          <w:b/>
          <w:color w:val="auto"/>
          <w:u w:val="none" w:color="auto"/>
        </w:rPr>
        <w:t>3</w:t>
      </w:r>
      <w:r>
        <w:rPr>
          <w:rFonts w:ascii="Times New Roman" w:hAnsi="Times New Roman" w:eastAsia="宋体" w:cs="Times New Roman"/>
          <w:b/>
          <w:color w:val="auto"/>
          <w:u w:val="none" w:color="auto"/>
        </w:rPr>
        <w:t>.2-4  特征污染物环境质量现状监测点一览表</w:t>
      </w:r>
    </w:p>
    <w:tbl>
      <w:tblPr>
        <w:tblStyle w:val="37"/>
        <w:tblW w:w="87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7"/>
        <w:gridCol w:w="908"/>
        <w:gridCol w:w="1064"/>
        <w:gridCol w:w="1150"/>
        <w:gridCol w:w="1601"/>
        <w:gridCol w:w="1893"/>
        <w:gridCol w:w="1536"/>
      </w:tblGrid>
      <w:tr w14:paraId="1096D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7" w:type="dxa"/>
            <w:vMerge w:val="restart"/>
            <w:vAlign w:val="center"/>
          </w:tcPr>
          <w:p w14:paraId="10FFCE42">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序号</w:t>
            </w:r>
          </w:p>
        </w:tc>
        <w:tc>
          <w:tcPr>
            <w:tcW w:w="908" w:type="dxa"/>
            <w:vMerge w:val="restart"/>
            <w:vAlign w:val="center"/>
          </w:tcPr>
          <w:p w14:paraId="0FE14A03">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监测点</w:t>
            </w:r>
          </w:p>
        </w:tc>
        <w:tc>
          <w:tcPr>
            <w:tcW w:w="2214" w:type="dxa"/>
            <w:gridSpan w:val="2"/>
            <w:vAlign w:val="center"/>
          </w:tcPr>
          <w:p w14:paraId="67FA1F82">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监测点坐标</w:t>
            </w:r>
          </w:p>
        </w:tc>
        <w:tc>
          <w:tcPr>
            <w:tcW w:w="1601" w:type="dxa"/>
            <w:vMerge w:val="restart"/>
            <w:vAlign w:val="center"/>
          </w:tcPr>
          <w:p w14:paraId="02880544">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与厂址方位</w:t>
            </w:r>
          </w:p>
        </w:tc>
        <w:tc>
          <w:tcPr>
            <w:tcW w:w="1893" w:type="dxa"/>
            <w:vMerge w:val="restart"/>
            <w:vAlign w:val="center"/>
          </w:tcPr>
          <w:p w14:paraId="22A0276B">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厂界距离（Km）</w:t>
            </w:r>
          </w:p>
        </w:tc>
        <w:tc>
          <w:tcPr>
            <w:tcW w:w="1536" w:type="dxa"/>
            <w:vMerge w:val="restart"/>
            <w:vAlign w:val="center"/>
          </w:tcPr>
          <w:p w14:paraId="4C520D73">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特征污染物</w:t>
            </w:r>
          </w:p>
        </w:tc>
      </w:tr>
      <w:tr w14:paraId="4CE4F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97" w:type="dxa"/>
            <w:vMerge w:val="continue"/>
            <w:vAlign w:val="center"/>
          </w:tcPr>
          <w:p w14:paraId="7A8AB5AD">
            <w:pPr>
              <w:autoSpaceDE w:val="0"/>
              <w:autoSpaceDN w:val="0"/>
              <w:adjustRightInd w:val="0"/>
              <w:snapToGrid w:val="0"/>
              <w:jc w:val="center"/>
              <w:rPr>
                <w:rFonts w:ascii="Times New Roman" w:hAnsi="Times New Roman" w:eastAsia="宋体" w:cs="Times New Roman"/>
                <w:b/>
                <w:color w:val="auto"/>
                <w:kern w:val="0"/>
                <w:szCs w:val="20"/>
                <w:u w:val="none" w:color="auto"/>
              </w:rPr>
            </w:pPr>
          </w:p>
        </w:tc>
        <w:tc>
          <w:tcPr>
            <w:tcW w:w="908" w:type="dxa"/>
            <w:vMerge w:val="continue"/>
            <w:vAlign w:val="center"/>
          </w:tcPr>
          <w:p w14:paraId="27102BB5">
            <w:pPr>
              <w:autoSpaceDE w:val="0"/>
              <w:autoSpaceDN w:val="0"/>
              <w:adjustRightInd w:val="0"/>
              <w:snapToGrid w:val="0"/>
              <w:jc w:val="center"/>
              <w:rPr>
                <w:rFonts w:ascii="Times New Roman" w:hAnsi="Times New Roman" w:eastAsia="宋体" w:cs="Times New Roman"/>
                <w:b/>
                <w:color w:val="auto"/>
                <w:kern w:val="0"/>
                <w:szCs w:val="20"/>
                <w:u w:val="none" w:color="auto"/>
              </w:rPr>
            </w:pPr>
          </w:p>
        </w:tc>
        <w:tc>
          <w:tcPr>
            <w:tcW w:w="1064" w:type="dxa"/>
            <w:vAlign w:val="center"/>
          </w:tcPr>
          <w:p w14:paraId="66C55CDB">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X</w:t>
            </w:r>
          </w:p>
        </w:tc>
        <w:tc>
          <w:tcPr>
            <w:tcW w:w="1150" w:type="dxa"/>
            <w:vAlign w:val="center"/>
          </w:tcPr>
          <w:p w14:paraId="6448E8F3">
            <w:pPr>
              <w:autoSpaceDE w:val="0"/>
              <w:autoSpaceDN w:val="0"/>
              <w:adjustRightInd w:val="0"/>
              <w:snapToGrid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Y</w:t>
            </w:r>
          </w:p>
        </w:tc>
        <w:tc>
          <w:tcPr>
            <w:tcW w:w="1601" w:type="dxa"/>
            <w:vMerge w:val="continue"/>
            <w:vAlign w:val="center"/>
          </w:tcPr>
          <w:p w14:paraId="281FD34A">
            <w:pPr>
              <w:autoSpaceDE w:val="0"/>
              <w:autoSpaceDN w:val="0"/>
              <w:adjustRightInd w:val="0"/>
              <w:snapToGrid w:val="0"/>
              <w:jc w:val="center"/>
              <w:rPr>
                <w:rFonts w:ascii="Times New Roman" w:hAnsi="Times New Roman" w:eastAsia="宋体" w:cs="Times New Roman"/>
                <w:b/>
                <w:color w:val="auto"/>
                <w:kern w:val="0"/>
                <w:szCs w:val="20"/>
                <w:u w:val="none" w:color="auto"/>
              </w:rPr>
            </w:pPr>
          </w:p>
        </w:tc>
        <w:tc>
          <w:tcPr>
            <w:tcW w:w="1893" w:type="dxa"/>
            <w:vMerge w:val="continue"/>
            <w:vAlign w:val="center"/>
          </w:tcPr>
          <w:p w14:paraId="4FF8A1FA">
            <w:pPr>
              <w:autoSpaceDE w:val="0"/>
              <w:autoSpaceDN w:val="0"/>
              <w:adjustRightInd w:val="0"/>
              <w:snapToGrid w:val="0"/>
              <w:jc w:val="center"/>
              <w:rPr>
                <w:rFonts w:ascii="Times New Roman" w:hAnsi="Times New Roman" w:eastAsia="宋体" w:cs="Times New Roman"/>
                <w:b/>
                <w:color w:val="auto"/>
                <w:kern w:val="0"/>
                <w:szCs w:val="20"/>
                <w:u w:val="none" w:color="auto"/>
              </w:rPr>
            </w:pPr>
          </w:p>
        </w:tc>
        <w:tc>
          <w:tcPr>
            <w:tcW w:w="1536" w:type="dxa"/>
            <w:vMerge w:val="continue"/>
            <w:vAlign w:val="center"/>
          </w:tcPr>
          <w:p w14:paraId="6DF653EC">
            <w:pPr>
              <w:autoSpaceDE w:val="0"/>
              <w:autoSpaceDN w:val="0"/>
              <w:adjustRightInd w:val="0"/>
              <w:snapToGrid w:val="0"/>
              <w:jc w:val="center"/>
              <w:rPr>
                <w:rFonts w:ascii="Times New Roman" w:hAnsi="Times New Roman" w:eastAsia="宋体" w:cs="Times New Roman"/>
                <w:b/>
                <w:color w:val="auto"/>
                <w:kern w:val="0"/>
                <w:szCs w:val="20"/>
                <w:u w:val="none" w:color="auto"/>
              </w:rPr>
            </w:pPr>
          </w:p>
        </w:tc>
      </w:tr>
      <w:tr w14:paraId="3E027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1" w:hRule="atLeast"/>
          <w:jc w:val="center"/>
        </w:trPr>
        <w:tc>
          <w:tcPr>
            <w:tcW w:w="597" w:type="dxa"/>
            <w:vAlign w:val="center"/>
          </w:tcPr>
          <w:p w14:paraId="2403691A">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hint="eastAsia" w:ascii="Times New Roman" w:hAnsi="Times New Roman" w:eastAsia="宋体" w:cs="Times New Roman"/>
                <w:color w:val="auto"/>
                <w:kern w:val="0"/>
                <w:szCs w:val="20"/>
                <w:u w:val="none" w:color="auto"/>
              </w:rPr>
              <w:t>G1</w:t>
            </w:r>
          </w:p>
        </w:tc>
        <w:tc>
          <w:tcPr>
            <w:tcW w:w="908" w:type="dxa"/>
            <w:vAlign w:val="center"/>
          </w:tcPr>
          <w:p w14:paraId="03770B5C">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厂区</w:t>
            </w:r>
          </w:p>
        </w:tc>
        <w:tc>
          <w:tcPr>
            <w:tcW w:w="1064" w:type="dxa"/>
            <w:vAlign w:val="center"/>
          </w:tcPr>
          <w:p w14:paraId="729ED772">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108</w:t>
            </w:r>
            <w:r>
              <w:rPr>
                <w:rFonts w:hint="eastAsia" w:ascii="Times New Roman" w:hAnsi="Times New Roman" w:eastAsia="宋体" w:cs="Times New Roman"/>
                <w:color w:val="auto"/>
                <w:kern w:val="0"/>
                <w:szCs w:val="20"/>
                <w:u w:val="none" w:color="auto"/>
              </w:rPr>
              <w:t>.641735</w:t>
            </w:r>
          </w:p>
        </w:tc>
        <w:tc>
          <w:tcPr>
            <w:tcW w:w="1150" w:type="dxa"/>
            <w:vAlign w:val="center"/>
          </w:tcPr>
          <w:p w14:paraId="6DAB80EA">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hint="eastAsia" w:ascii="Times New Roman" w:hAnsi="Times New Roman" w:eastAsia="宋体" w:cs="Times New Roman"/>
                <w:color w:val="auto"/>
                <w:kern w:val="0"/>
                <w:szCs w:val="20"/>
                <w:u w:val="none" w:color="auto"/>
              </w:rPr>
              <w:t>21.720059</w:t>
            </w:r>
          </w:p>
        </w:tc>
        <w:tc>
          <w:tcPr>
            <w:tcW w:w="1601" w:type="dxa"/>
            <w:vAlign w:val="center"/>
          </w:tcPr>
          <w:p w14:paraId="6BEB0B12">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w:t>
            </w:r>
          </w:p>
        </w:tc>
        <w:tc>
          <w:tcPr>
            <w:tcW w:w="1893" w:type="dxa"/>
            <w:vAlign w:val="center"/>
          </w:tcPr>
          <w:p w14:paraId="0C3B6A6C">
            <w:pPr>
              <w:autoSpaceDE w:val="0"/>
              <w:autoSpaceDN w:val="0"/>
              <w:adjustRightInd w:val="0"/>
              <w:snapToGrid w:val="0"/>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w:t>
            </w:r>
          </w:p>
        </w:tc>
        <w:tc>
          <w:tcPr>
            <w:tcW w:w="1536" w:type="dxa"/>
            <w:vAlign w:val="center"/>
          </w:tcPr>
          <w:p w14:paraId="757AE207">
            <w:pPr>
              <w:autoSpaceDE w:val="0"/>
              <w:autoSpaceDN w:val="0"/>
              <w:adjustRightInd w:val="0"/>
              <w:snapToGrid w:val="0"/>
              <w:jc w:val="center"/>
              <w:rPr>
                <w:rFonts w:hint="default" w:ascii="Times New Roman" w:hAnsi="Times New Roman" w:eastAsia="宋体" w:cs="Times New Roman"/>
                <w:color w:val="auto"/>
                <w:kern w:val="0"/>
                <w:szCs w:val="20"/>
                <w:u w:val="none" w:color="auto"/>
                <w:lang w:val="en-US" w:eastAsia="zh-CN"/>
              </w:rPr>
            </w:pPr>
            <w:r>
              <w:rPr>
                <w:rFonts w:ascii="Times New Roman" w:hAnsi="Times New Roman" w:eastAsia="宋体" w:cs="Times New Roman"/>
                <w:color w:val="auto"/>
                <w:kern w:val="0"/>
                <w:szCs w:val="20"/>
                <w:u w:val="none" w:color="auto"/>
              </w:rPr>
              <w:t>颗粒物、甲苯、二甲苯、</w:t>
            </w:r>
            <w:r>
              <w:rPr>
                <w:rFonts w:hint="eastAsia" w:ascii="Times New Roman" w:hAnsi="Times New Roman" w:eastAsia="宋体" w:cs="Times New Roman"/>
                <w:color w:val="auto"/>
                <w:kern w:val="0"/>
                <w:szCs w:val="20"/>
                <w:u w:val="none" w:color="auto"/>
              </w:rPr>
              <w:t>非甲烷总烃</w:t>
            </w:r>
            <w:r>
              <w:rPr>
                <w:rFonts w:hint="eastAsia" w:ascii="Times New Roman" w:hAnsi="Times New Roman" w:eastAsia="宋体" w:cs="Times New Roman"/>
                <w:color w:val="auto"/>
                <w:kern w:val="0"/>
                <w:szCs w:val="20"/>
                <w:u w:val="none" w:color="auto"/>
                <w:lang w:eastAsia="zh-CN"/>
              </w:rPr>
              <w:t>、</w:t>
            </w:r>
            <w:r>
              <w:rPr>
                <w:rFonts w:hint="eastAsia" w:ascii="Times New Roman" w:hAnsi="Times New Roman" w:eastAsia="宋体" w:cs="Times New Roman"/>
                <w:color w:val="auto"/>
                <w:kern w:val="0"/>
                <w:szCs w:val="20"/>
                <w:u w:val="none" w:color="auto"/>
                <w:lang w:val="en-US" w:eastAsia="zh-CN"/>
              </w:rPr>
              <w:t>臭气浓度</w:t>
            </w:r>
          </w:p>
        </w:tc>
      </w:tr>
    </w:tbl>
    <w:p w14:paraId="3321E3FD">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2、监测时间和监测频率</w:t>
      </w:r>
    </w:p>
    <w:p w14:paraId="5DF1231A">
      <w:pPr>
        <w:autoSpaceDE w:val="0"/>
        <w:autoSpaceDN w:val="0"/>
        <w:spacing w:line="360" w:lineRule="auto"/>
        <w:ind w:firstLine="480" w:firstLineChars="200"/>
        <w:jc w:val="left"/>
        <w:rPr>
          <w:rFonts w:hint="eastAsia" w:ascii="Times New Roman" w:hAnsi="Times New Roman" w:eastAsia="宋体" w:cs="Times New Roman"/>
          <w:color w:val="auto"/>
          <w:sz w:val="24"/>
          <w:highlight w:val="yellow"/>
          <w:u w:val="none" w:color="auto"/>
          <w:lang w:val="en-US" w:eastAsia="zh-CN"/>
        </w:rPr>
      </w:pPr>
      <w:r>
        <w:rPr>
          <w:rFonts w:hint="eastAsia" w:ascii="Times New Roman" w:hAnsi="Times New Roman" w:eastAsia="宋体" w:cs="Times New Roman"/>
          <w:color w:val="auto"/>
          <w:kern w:val="0"/>
          <w:sz w:val="24"/>
          <w:szCs w:val="24"/>
          <w:highlight w:val="none"/>
          <w:u w:val="none" w:color="auto"/>
        </w:rPr>
        <w:t>评价</w:t>
      </w:r>
      <w:r>
        <w:rPr>
          <w:rFonts w:ascii="Times New Roman" w:hAnsi="Times New Roman" w:eastAsia="宋体" w:cs="Times New Roman"/>
          <w:color w:val="auto"/>
          <w:kern w:val="0"/>
          <w:sz w:val="24"/>
          <w:szCs w:val="24"/>
          <w:highlight w:val="none"/>
          <w:u w:val="none" w:color="auto"/>
        </w:rPr>
        <w:t>委托广西宁大检测技术有限公司于202</w:t>
      </w:r>
      <w:r>
        <w:rPr>
          <w:rFonts w:hint="eastAsia" w:ascii="Times New Roman" w:hAnsi="Times New Roman" w:eastAsia="宋体" w:cs="Times New Roman"/>
          <w:color w:val="auto"/>
          <w:kern w:val="0"/>
          <w:sz w:val="24"/>
          <w:szCs w:val="24"/>
          <w:highlight w:val="none"/>
          <w:u w:val="none" w:color="auto"/>
          <w:lang w:val="en-US" w:eastAsia="zh-CN"/>
        </w:rPr>
        <w:t>4</w:t>
      </w:r>
      <w:r>
        <w:rPr>
          <w:rFonts w:ascii="Times New Roman" w:hAnsi="Times New Roman" w:eastAsia="宋体" w:cs="Times New Roman"/>
          <w:color w:val="auto"/>
          <w:kern w:val="0"/>
          <w:sz w:val="24"/>
          <w:szCs w:val="24"/>
          <w:highlight w:val="none"/>
          <w:u w:val="none" w:color="auto"/>
        </w:rPr>
        <w:t>年</w:t>
      </w:r>
      <w:r>
        <w:rPr>
          <w:rFonts w:hint="eastAsia" w:ascii="Times New Roman" w:hAnsi="Times New Roman" w:eastAsia="宋体" w:cs="Times New Roman"/>
          <w:color w:val="auto"/>
          <w:kern w:val="0"/>
          <w:sz w:val="24"/>
          <w:szCs w:val="24"/>
          <w:highlight w:val="none"/>
          <w:u w:val="none" w:color="auto"/>
          <w:lang w:val="en-US" w:eastAsia="zh-CN"/>
        </w:rPr>
        <w:t>10</w:t>
      </w:r>
      <w:r>
        <w:rPr>
          <w:rFonts w:ascii="Times New Roman" w:hAnsi="Times New Roman" w:eastAsia="宋体" w:cs="Times New Roman"/>
          <w:color w:val="auto"/>
          <w:kern w:val="0"/>
          <w:sz w:val="24"/>
          <w:szCs w:val="24"/>
          <w:highlight w:val="none"/>
          <w:u w:val="none" w:color="auto"/>
        </w:rPr>
        <w:t>月</w:t>
      </w:r>
      <w:r>
        <w:rPr>
          <w:rFonts w:hint="eastAsia" w:ascii="Times New Roman" w:hAnsi="Times New Roman" w:eastAsia="宋体" w:cs="Times New Roman"/>
          <w:color w:val="auto"/>
          <w:kern w:val="0"/>
          <w:sz w:val="24"/>
          <w:szCs w:val="24"/>
          <w:highlight w:val="none"/>
          <w:u w:val="none" w:color="auto"/>
        </w:rPr>
        <w:t>1</w:t>
      </w:r>
      <w:r>
        <w:rPr>
          <w:rFonts w:hint="eastAsia" w:ascii="Times New Roman" w:hAnsi="Times New Roman" w:eastAsia="宋体" w:cs="Times New Roman"/>
          <w:color w:val="auto"/>
          <w:kern w:val="0"/>
          <w:sz w:val="24"/>
          <w:szCs w:val="24"/>
          <w:highlight w:val="none"/>
          <w:u w:val="none" w:color="auto"/>
          <w:lang w:val="en-US" w:eastAsia="zh-CN"/>
        </w:rPr>
        <w:t>6</w:t>
      </w:r>
      <w:r>
        <w:rPr>
          <w:rFonts w:ascii="Times New Roman" w:hAnsi="Times New Roman" w:eastAsia="宋体" w:cs="Times New Roman"/>
          <w:color w:val="auto"/>
          <w:kern w:val="0"/>
          <w:sz w:val="24"/>
          <w:szCs w:val="24"/>
          <w:highlight w:val="none"/>
          <w:u w:val="none" w:color="auto"/>
        </w:rPr>
        <w:t>～</w:t>
      </w:r>
      <w:r>
        <w:rPr>
          <w:rFonts w:hint="eastAsia" w:ascii="Times New Roman" w:hAnsi="Times New Roman" w:eastAsia="宋体" w:cs="Times New Roman"/>
          <w:color w:val="auto"/>
          <w:kern w:val="0"/>
          <w:sz w:val="24"/>
          <w:szCs w:val="24"/>
          <w:highlight w:val="none"/>
          <w:u w:val="none" w:color="auto"/>
        </w:rPr>
        <w:t>22</w:t>
      </w:r>
      <w:r>
        <w:rPr>
          <w:rFonts w:ascii="Times New Roman" w:hAnsi="Times New Roman" w:eastAsia="宋体" w:cs="Times New Roman"/>
          <w:color w:val="auto"/>
          <w:kern w:val="0"/>
          <w:sz w:val="24"/>
          <w:szCs w:val="24"/>
          <w:highlight w:val="none"/>
          <w:u w:val="none" w:color="auto"/>
        </w:rPr>
        <w:t>日</w:t>
      </w:r>
      <w:r>
        <w:rPr>
          <w:rFonts w:hint="eastAsia" w:ascii="Times New Roman" w:hAnsi="Times New Roman" w:eastAsia="宋体" w:cs="Times New Roman"/>
          <w:color w:val="auto"/>
          <w:kern w:val="0"/>
          <w:sz w:val="24"/>
          <w:szCs w:val="24"/>
          <w:highlight w:val="none"/>
          <w:u w:val="none" w:color="auto"/>
        </w:rPr>
        <w:t>在项目厂区进行颗粒物、</w:t>
      </w:r>
      <w:r>
        <w:rPr>
          <w:rFonts w:ascii="Times New Roman" w:hAnsi="Times New Roman" w:eastAsia="宋体" w:cs="Times New Roman"/>
          <w:color w:val="auto"/>
          <w:sz w:val="24"/>
          <w:szCs w:val="24"/>
          <w:highlight w:val="none"/>
          <w:u w:val="none" w:color="auto"/>
        </w:rPr>
        <w:t>甲苯、二甲苯</w:t>
      </w:r>
      <w:r>
        <w:rPr>
          <w:rFonts w:hint="eastAsia" w:ascii="Times New Roman" w:hAnsi="Times New Roman" w:eastAsia="宋体" w:cs="Times New Roman"/>
          <w:color w:val="auto"/>
          <w:sz w:val="24"/>
          <w:szCs w:val="24"/>
          <w:highlight w:val="none"/>
          <w:u w:val="none" w:color="auto"/>
          <w:lang w:val="en-US" w:eastAsia="zh-CN"/>
        </w:rPr>
        <w:t>、</w:t>
      </w:r>
      <w:r>
        <w:rPr>
          <w:rFonts w:hint="eastAsia" w:ascii="Times New Roman" w:hAnsi="Times New Roman" w:eastAsia="宋体" w:cs="Times New Roman"/>
          <w:color w:val="auto"/>
          <w:sz w:val="24"/>
          <w:szCs w:val="24"/>
          <w:highlight w:val="none"/>
          <w:u w:val="none" w:color="auto"/>
        </w:rPr>
        <w:t>非甲烷总烃的环境空气质量现状监测。</w:t>
      </w:r>
      <w:r>
        <w:rPr>
          <w:rFonts w:ascii="Times New Roman" w:hAnsi="Times New Roman" w:eastAsia="宋体" w:cs="Times New Roman"/>
          <w:color w:val="auto"/>
          <w:sz w:val="24"/>
          <w:szCs w:val="24"/>
          <w:highlight w:val="none"/>
          <w:u w:val="none" w:color="auto"/>
        </w:rPr>
        <w:t>苯、甲苯、二甲苯</w:t>
      </w:r>
      <w:r>
        <w:rPr>
          <w:rFonts w:hint="eastAsia" w:ascii="Times New Roman" w:hAnsi="Times New Roman" w:eastAsia="宋体" w:cs="Times New Roman"/>
          <w:color w:val="auto"/>
          <w:sz w:val="24"/>
          <w:szCs w:val="24"/>
          <w:highlight w:val="none"/>
          <w:u w:val="none" w:color="auto"/>
        </w:rPr>
        <w:t>、非甲烷总烃</w:t>
      </w:r>
      <w:r>
        <w:rPr>
          <w:rFonts w:ascii="Times New Roman" w:hAnsi="Times New Roman" w:eastAsia="宋体" w:cs="Times New Roman"/>
          <w:color w:val="auto"/>
          <w:sz w:val="24"/>
          <w:szCs w:val="24"/>
          <w:highlight w:val="none"/>
          <w:u w:val="none" w:color="auto"/>
        </w:rPr>
        <w:t>小时样每天采样四次，连续监测7天，采样时间分别为02:00时、08:00时、14:00时和20:00时（每小时不少于45分钟的采样时间）；</w:t>
      </w:r>
      <w:r>
        <w:rPr>
          <w:rFonts w:hint="eastAsia" w:ascii="Times New Roman" w:hAnsi="Times New Roman" w:eastAsia="宋体" w:cs="Times New Roman"/>
          <w:color w:val="auto"/>
          <w:kern w:val="0"/>
          <w:sz w:val="24"/>
          <w:szCs w:val="24"/>
          <w:highlight w:val="none"/>
          <w:u w:val="none" w:color="auto"/>
        </w:rPr>
        <w:t>颗粒物</w:t>
      </w:r>
      <w:r>
        <w:rPr>
          <w:rFonts w:ascii="Times New Roman" w:hAnsi="Times New Roman" w:eastAsia="宋体" w:cs="Times New Roman"/>
          <w:color w:val="auto"/>
          <w:sz w:val="24"/>
          <w:szCs w:val="24"/>
          <w:highlight w:val="none"/>
          <w:u w:val="none" w:color="auto"/>
        </w:rPr>
        <w:t>24小时连续采样，连续监测7天。</w:t>
      </w:r>
      <w:r>
        <w:rPr>
          <w:rFonts w:hint="eastAsia" w:ascii="Times New Roman" w:hAnsi="Times New Roman" w:eastAsia="宋体" w:cs="Times New Roman"/>
          <w:color w:val="auto"/>
          <w:kern w:val="0"/>
          <w:sz w:val="24"/>
          <w:szCs w:val="24"/>
          <w:highlight w:val="none"/>
          <w:u w:val="single" w:color="auto"/>
        </w:rPr>
        <w:t>评价</w:t>
      </w:r>
      <w:r>
        <w:rPr>
          <w:rFonts w:ascii="Times New Roman" w:hAnsi="Times New Roman" w:eastAsia="宋体" w:cs="Times New Roman"/>
          <w:color w:val="auto"/>
          <w:kern w:val="0"/>
          <w:sz w:val="24"/>
          <w:szCs w:val="24"/>
          <w:highlight w:val="none"/>
          <w:u w:val="single" w:color="auto"/>
        </w:rPr>
        <w:t>委托</w:t>
      </w:r>
      <w:r>
        <w:rPr>
          <w:rFonts w:hint="eastAsia" w:ascii="Times New Roman" w:hAnsi="Times New Roman" w:eastAsia="宋体" w:cs="Times New Roman"/>
          <w:color w:val="auto"/>
          <w:kern w:val="0"/>
          <w:sz w:val="24"/>
          <w:szCs w:val="24"/>
          <w:highlight w:val="none"/>
          <w:u w:val="single" w:color="auto"/>
        </w:rPr>
        <w:t>广西恒沁检测科技有限公司</w:t>
      </w:r>
      <w:r>
        <w:rPr>
          <w:rFonts w:ascii="Times New Roman" w:hAnsi="Times New Roman" w:eastAsia="宋体" w:cs="Times New Roman"/>
          <w:color w:val="auto"/>
          <w:kern w:val="0"/>
          <w:sz w:val="24"/>
          <w:szCs w:val="24"/>
          <w:highlight w:val="none"/>
          <w:u w:val="single" w:color="auto"/>
        </w:rPr>
        <w:t>于202</w:t>
      </w:r>
      <w:r>
        <w:rPr>
          <w:rFonts w:hint="eastAsia" w:ascii="Times New Roman" w:hAnsi="Times New Roman" w:eastAsia="宋体" w:cs="Times New Roman"/>
          <w:color w:val="auto"/>
          <w:kern w:val="0"/>
          <w:sz w:val="24"/>
          <w:szCs w:val="24"/>
          <w:highlight w:val="none"/>
          <w:u w:val="single" w:color="auto"/>
          <w:lang w:val="en-US" w:eastAsia="zh-CN"/>
        </w:rPr>
        <w:t>5</w:t>
      </w:r>
      <w:r>
        <w:rPr>
          <w:rFonts w:ascii="Times New Roman" w:hAnsi="Times New Roman" w:eastAsia="宋体" w:cs="Times New Roman"/>
          <w:color w:val="auto"/>
          <w:kern w:val="0"/>
          <w:sz w:val="24"/>
          <w:szCs w:val="24"/>
          <w:highlight w:val="none"/>
          <w:u w:val="single" w:color="auto"/>
        </w:rPr>
        <w:t>年</w:t>
      </w:r>
      <w:r>
        <w:rPr>
          <w:rFonts w:hint="eastAsia" w:ascii="Times New Roman" w:hAnsi="Times New Roman" w:eastAsia="宋体" w:cs="Times New Roman"/>
          <w:color w:val="auto"/>
          <w:kern w:val="0"/>
          <w:sz w:val="24"/>
          <w:szCs w:val="24"/>
          <w:highlight w:val="none"/>
          <w:u w:val="single" w:color="auto"/>
          <w:lang w:val="en-US" w:eastAsia="zh-CN"/>
        </w:rPr>
        <w:t>8</w:t>
      </w:r>
      <w:r>
        <w:rPr>
          <w:rFonts w:ascii="Times New Roman" w:hAnsi="Times New Roman" w:eastAsia="宋体" w:cs="Times New Roman"/>
          <w:color w:val="auto"/>
          <w:kern w:val="0"/>
          <w:sz w:val="24"/>
          <w:szCs w:val="24"/>
          <w:highlight w:val="none"/>
          <w:u w:val="single" w:color="auto"/>
        </w:rPr>
        <w:t>月</w:t>
      </w:r>
      <w:r>
        <w:rPr>
          <w:rFonts w:hint="eastAsia" w:ascii="Times New Roman" w:hAnsi="Times New Roman" w:eastAsia="宋体" w:cs="Times New Roman"/>
          <w:color w:val="auto"/>
          <w:kern w:val="0"/>
          <w:sz w:val="24"/>
          <w:szCs w:val="24"/>
          <w:highlight w:val="none"/>
          <w:u w:val="single" w:color="auto"/>
          <w:lang w:val="en-US" w:eastAsia="zh-CN"/>
        </w:rPr>
        <w:t>25</w:t>
      </w:r>
      <w:r>
        <w:rPr>
          <w:rFonts w:ascii="Times New Roman" w:hAnsi="Times New Roman" w:eastAsia="宋体" w:cs="Times New Roman"/>
          <w:color w:val="auto"/>
          <w:kern w:val="0"/>
          <w:sz w:val="24"/>
          <w:szCs w:val="24"/>
          <w:highlight w:val="none"/>
          <w:u w:val="single" w:color="auto"/>
        </w:rPr>
        <w:t>～</w:t>
      </w:r>
      <w:r>
        <w:rPr>
          <w:rFonts w:hint="eastAsia" w:ascii="Times New Roman" w:hAnsi="Times New Roman" w:eastAsia="宋体" w:cs="Times New Roman"/>
          <w:color w:val="auto"/>
          <w:kern w:val="0"/>
          <w:sz w:val="24"/>
          <w:szCs w:val="24"/>
          <w:highlight w:val="none"/>
          <w:u w:val="single" w:color="auto"/>
          <w:lang w:val="en-US" w:eastAsia="zh-CN"/>
        </w:rPr>
        <w:t>31</w:t>
      </w:r>
      <w:r>
        <w:rPr>
          <w:rFonts w:ascii="Times New Roman" w:hAnsi="Times New Roman" w:eastAsia="宋体" w:cs="Times New Roman"/>
          <w:color w:val="auto"/>
          <w:kern w:val="0"/>
          <w:sz w:val="24"/>
          <w:szCs w:val="24"/>
          <w:highlight w:val="none"/>
          <w:u w:val="single" w:color="auto"/>
        </w:rPr>
        <w:t>日</w:t>
      </w:r>
      <w:r>
        <w:rPr>
          <w:rFonts w:hint="eastAsia" w:ascii="Times New Roman" w:hAnsi="Times New Roman" w:eastAsia="宋体" w:cs="Times New Roman"/>
          <w:color w:val="auto"/>
          <w:kern w:val="0"/>
          <w:sz w:val="24"/>
          <w:szCs w:val="24"/>
          <w:highlight w:val="none"/>
          <w:u w:val="single" w:color="auto"/>
        </w:rPr>
        <w:t>在项目厂区进行</w:t>
      </w:r>
      <w:r>
        <w:rPr>
          <w:rFonts w:hint="eastAsia" w:ascii="Times New Roman" w:hAnsi="Times New Roman" w:eastAsia="宋体" w:cs="Times New Roman"/>
          <w:color w:val="auto"/>
          <w:kern w:val="0"/>
          <w:sz w:val="24"/>
          <w:szCs w:val="24"/>
          <w:highlight w:val="none"/>
          <w:u w:val="single" w:color="auto"/>
          <w:lang w:val="en-US" w:eastAsia="zh-CN"/>
        </w:rPr>
        <w:t>臭气浓度</w:t>
      </w:r>
      <w:r>
        <w:rPr>
          <w:rFonts w:hint="eastAsia" w:ascii="Times New Roman" w:hAnsi="Times New Roman" w:eastAsia="宋体" w:cs="Times New Roman"/>
          <w:color w:val="auto"/>
          <w:sz w:val="24"/>
          <w:szCs w:val="24"/>
          <w:highlight w:val="none"/>
          <w:u w:val="single" w:color="auto"/>
        </w:rPr>
        <w:t>的环境空气质量现状监测。</w:t>
      </w:r>
      <w:r>
        <w:rPr>
          <w:rFonts w:hint="eastAsia" w:ascii="Times New Roman" w:hAnsi="Times New Roman" w:eastAsia="宋体" w:cs="Times New Roman"/>
          <w:color w:val="auto"/>
          <w:sz w:val="24"/>
          <w:szCs w:val="24"/>
          <w:highlight w:val="none"/>
          <w:u w:val="single" w:color="auto"/>
          <w:lang w:val="en-US" w:eastAsia="zh-CN"/>
        </w:rPr>
        <w:t>臭气浓度</w:t>
      </w:r>
      <w:r>
        <w:rPr>
          <w:rFonts w:ascii="Times New Roman" w:hAnsi="Times New Roman" w:eastAsia="宋体" w:cs="Times New Roman"/>
          <w:color w:val="auto"/>
          <w:sz w:val="24"/>
          <w:szCs w:val="24"/>
          <w:highlight w:val="none"/>
          <w:u w:val="single" w:color="auto"/>
        </w:rPr>
        <w:t>小时样每天采样四次，连续监测7天，采样时间分别为02:00时、08:00时、14:00时和20:00时（每小时不少于45分钟的采样时间）</w:t>
      </w:r>
      <w:r>
        <w:rPr>
          <w:rFonts w:hint="eastAsia" w:ascii="Times New Roman" w:hAnsi="Times New Roman" w:eastAsia="宋体" w:cs="Times New Roman"/>
          <w:color w:val="auto"/>
          <w:sz w:val="24"/>
          <w:szCs w:val="24"/>
          <w:highlight w:val="none"/>
          <w:u w:val="single" w:color="auto"/>
          <w:lang w:eastAsia="zh-CN"/>
        </w:rPr>
        <w:t>。</w:t>
      </w:r>
    </w:p>
    <w:p w14:paraId="46AA5133">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3、采样和分析方法</w:t>
      </w:r>
    </w:p>
    <w:p w14:paraId="49EF756F">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大气污染物监测与分析方法见表</w:t>
      </w:r>
      <w:r>
        <w:rPr>
          <w:rFonts w:hint="eastAsia" w:ascii="Times New Roman" w:hAnsi="Times New Roman" w:eastAsia="宋体" w:cs="Times New Roman"/>
          <w:color w:val="auto"/>
          <w:sz w:val="24"/>
          <w:u w:val="none" w:color="auto"/>
        </w:rPr>
        <w:t>3</w:t>
      </w:r>
      <w:r>
        <w:rPr>
          <w:rFonts w:ascii="Times New Roman" w:hAnsi="Times New Roman" w:eastAsia="宋体" w:cs="Times New Roman"/>
          <w:color w:val="auto"/>
          <w:sz w:val="24"/>
          <w:u w:val="none" w:color="auto"/>
        </w:rPr>
        <w:t>.2-5。</w:t>
      </w:r>
    </w:p>
    <w:p w14:paraId="71CB34F9">
      <w:pPr>
        <w:autoSpaceDE w:val="0"/>
        <w:autoSpaceDN w:val="0"/>
        <w:adjustRightInd w:val="0"/>
        <w:jc w:val="center"/>
        <w:rPr>
          <w:rFonts w:ascii="Times New Roman" w:hAnsi="Times New Roman" w:eastAsia="宋体" w:cs="Times New Roman"/>
          <w:b/>
          <w:bCs/>
          <w:color w:val="auto"/>
          <w:kern w:val="0"/>
          <w:szCs w:val="24"/>
          <w:u w:val="none" w:color="auto"/>
        </w:rPr>
      </w:pPr>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3</w:t>
      </w:r>
      <w:r>
        <w:rPr>
          <w:rFonts w:ascii="Times New Roman" w:hAnsi="Times New Roman" w:eastAsia="宋体" w:cs="Times New Roman"/>
          <w:b/>
          <w:bCs/>
          <w:color w:val="auto"/>
          <w:kern w:val="0"/>
          <w:szCs w:val="24"/>
          <w:u w:val="none" w:color="auto"/>
        </w:rPr>
        <w:t>.2-5  大气污染物监测与分析方法</w:t>
      </w:r>
    </w:p>
    <w:tbl>
      <w:tblPr>
        <w:tblStyle w:val="37"/>
        <w:tblW w:w="8517"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76"/>
        <w:gridCol w:w="5753"/>
        <w:gridCol w:w="1488"/>
      </w:tblGrid>
      <w:tr w14:paraId="45A1F5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6" w:space="0"/>
              <w:left w:val="single" w:color="auto" w:sz="6" w:space="0"/>
              <w:bottom w:val="single" w:color="auto" w:sz="6" w:space="0"/>
              <w:right w:val="single" w:color="auto" w:sz="6" w:space="0"/>
            </w:tcBorders>
            <w:vAlign w:val="center"/>
          </w:tcPr>
          <w:p w14:paraId="24072DA8">
            <w:pPr>
              <w:autoSpaceDE w:val="0"/>
              <w:autoSpaceDN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监测项目</w:t>
            </w:r>
          </w:p>
        </w:tc>
        <w:tc>
          <w:tcPr>
            <w:tcW w:w="5753" w:type="dxa"/>
            <w:tcBorders>
              <w:top w:val="single" w:color="auto" w:sz="6" w:space="0"/>
              <w:left w:val="single" w:color="auto" w:sz="6" w:space="0"/>
              <w:bottom w:val="single" w:color="auto" w:sz="6" w:space="0"/>
              <w:right w:val="single" w:color="auto" w:sz="6" w:space="0"/>
            </w:tcBorders>
            <w:vAlign w:val="center"/>
          </w:tcPr>
          <w:p w14:paraId="2E8CAFBD">
            <w:pPr>
              <w:autoSpaceDE w:val="0"/>
              <w:autoSpaceDN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监测方法</w:t>
            </w:r>
          </w:p>
        </w:tc>
        <w:tc>
          <w:tcPr>
            <w:tcW w:w="1488" w:type="dxa"/>
            <w:tcBorders>
              <w:top w:val="single" w:color="auto" w:sz="6" w:space="0"/>
              <w:left w:val="single" w:color="auto" w:sz="6" w:space="0"/>
              <w:bottom w:val="single" w:color="auto" w:sz="6" w:space="0"/>
              <w:right w:val="single" w:color="auto" w:sz="6" w:space="0"/>
            </w:tcBorders>
            <w:vAlign w:val="center"/>
          </w:tcPr>
          <w:p w14:paraId="563871A8">
            <w:pPr>
              <w:autoSpaceDE w:val="0"/>
              <w:autoSpaceDN w:val="0"/>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检出限</w:t>
            </w:r>
          </w:p>
        </w:tc>
      </w:tr>
      <w:tr w14:paraId="101285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4" w:space="0"/>
              <w:left w:val="single" w:color="auto" w:sz="6" w:space="0"/>
              <w:bottom w:val="single" w:color="auto" w:sz="4" w:space="0"/>
              <w:right w:val="single" w:color="auto" w:sz="6" w:space="0"/>
            </w:tcBorders>
            <w:vAlign w:val="center"/>
          </w:tcPr>
          <w:p w14:paraId="11724217">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颗粒物</w:t>
            </w:r>
          </w:p>
        </w:tc>
        <w:tc>
          <w:tcPr>
            <w:tcW w:w="5753" w:type="dxa"/>
            <w:tcBorders>
              <w:top w:val="single" w:color="auto" w:sz="4" w:space="0"/>
              <w:bottom w:val="single" w:color="auto" w:sz="4" w:space="0"/>
            </w:tcBorders>
            <w:vAlign w:val="center"/>
          </w:tcPr>
          <w:p w14:paraId="2C6D6476">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环境空气 总悬浮颗粒物的测定 重量法</w:t>
            </w:r>
          </w:p>
          <w:p w14:paraId="509008B9">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GB/T 15432-1995</w:t>
            </w:r>
          </w:p>
        </w:tc>
        <w:tc>
          <w:tcPr>
            <w:tcW w:w="1488" w:type="dxa"/>
            <w:tcBorders>
              <w:top w:val="single" w:color="auto" w:sz="4" w:space="0"/>
              <w:bottom w:val="single" w:color="auto" w:sz="4" w:space="0"/>
            </w:tcBorders>
            <w:vAlign w:val="center"/>
          </w:tcPr>
          <w:p w14:paraId="20B7F4D1">
            <w:pPr>
              <w:autoSpaceDE w:val="0"/>
              <w:autoSpaceDN w:val="0"/>
              <w:jc w:val="center"/>
              <w:textAlignment w:val="center"/>
              <w:rPr>
                <w:rFonts w:ascii="Times New Roman" w:hAnsi="Times New Roman" w:eastAsia="宋体" w:cs="Times New Roman"/>
                <w:color w:val="auto"/>
                <w:kern w:val="0"/>
                <w:szCs w:val="20"/>
                <w:u w:val="none" w:color="auto"/>
                <w:vertAlign w:val="superscript"/>
              </w:rPr>
            </w:pPr>
            <w:r>
              <w:rPr>
                <w:rFonts w:ascii="Times New Roman" w:hAnsi="Times New Roman" w:eastAsia="宋体" w:cs="Times New Roman"/>
                <w:color w:val="auto"/>
                <w:kern w:val="0"/>
                <w:szCs w:val="20"/>
                <w:u w:val="none" w:color="auto"/>
              </w:rPr>
              <w:t>0.001mg/m</w:t>
            </w:r>
            <w:r>
              <w:rPr>
                <w:rFonts w:ascii="Times New Roman" w:hAnsi="Times New Roman" w:eastAsia="宋体" w:cs="Times New Roman"/>
                <w:color w:val="auto"/>
                <w:kern w:val="0"/>
                <w:szCs w:val="20"/>
                <w:u w:val="none" w:color="auto"/>
                <w:vertAlign w:val="superscript"/>
              </w:rPr>
              <w:t>3</w:t>
            </w:r>
          </w:p>
        </w:tc>
      </w:tr>
      <w:tr w14:paraId="13BA78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4" w:space="0"/>
              <w:left w:val="single" w:color="auto" w:sz="6" w:space="0"/>
              <w:bottom w:val="single" w:color="auto" w:sz="4" w:space="0"/>
              <w:right w:val="single" w:color="auto" w:sz="6" w:space="0"/>
            </w:tcBorders>
            <w:vAlign w:val="center"/>
          </w:tcPr>
          <w:p w14:paraId="589714C7">
            <w:pPr>
              <w:autoSpaceDE w:val="0"/>
              <w:autoSpaceDN w:val="0"/>
              <w:jc w:val="center"/>
              <w:textAlignment w:val="center"/>
              <w:rPr>
                <w:rFonts w:ascii="Times New Roman" w:hAnsi="Times New Roman" w:eastAsia="宋体" w:cs="Times New Roman"/>
                <w:color w:val="auto"/>
                <w:kern w:val="0"/>
                <w:szCs w:val="20"/>
                <w:u w:val="none" w:color="auto"/>
              </w:rPr>
            </w:pPr>
            <w:r>
              <w:rPr>
                <w:rFonts w:hint="eastAsia" w:ascii="Times New Roman" w:hAnsi="Times New Roman" w:eastAsia="宋体" w:cs="Times New Roman"/>
                <w:color w:val="auto"/>
                <w:kern w:val="0"/>
                <w:szCs w:val="20"/>
                <w:u w:val="none" w:color="auto"/>
              </w:rPr>
              <w:t>甲苯</w:t>
            </w:r>
          </w:p>
        </w:tc>
        <w:tc>
          <w:tcPr>
            <w:tcW w:w="5753" w:type="dxa"/>
            <w:vMerge w:val="restart"/>
            <w:tcBorders>
              <w:top w:val="single" w:color="auto" w:sz="4" w:space="0"/>
            </w:tcBorders>
            <w:vAlign w:val="center"/>
          </w:tcPr>
          <w:p w14:paraId="332CFB02">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环境空气 苯系物的测定 活性碳吸附/二硫化碳解析-气相色谱法 HJ 584-2010</w:t>
            </w:r>
          </w:p>
        </w:tc>
        <w:tc>
          <w:tcPr>
            <w:tcW w:w="1488" w:type="dxa"/>
            <w:tcBorders>
              <w:top w:val="single" w:color="auto" w:sz="4" w:space="0"/>
              <w:bottom w:val="single" w:color="auto" w:sz="4" w:space="0"/>
            </w:tcBorders>
            <w:vAlign w:val="center"/>
          </w:tcPr>
          <w:p w14:paraId="3FA5F282">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1.5×10</w:t>
            </w:r>
            <w:r>
              <w:rPr>
                <w:rFonts w:ascii="Times New Roman" w:hAnsi="Times New Roman" w:eastAsia="宋体" w:cs="Times New Roman"/>
                <w:color w:val="auto"/>
                <w:kern w:val="0"/>
                <w:szCs w:val="20"/>
                <w:u w:val="none" w:color="auto"/>
                <w:vertAlign w:val="superscript"/>
              </w:rPr>
              <w:t>-3</w:t>
            </w:r>
            <w:r>
              <w:rPr>
                <w:rFonts w:ascii="Times New Roman" w:hAnsi="Times New Roman" w:eastAsia="宋体" w:cs="Times New Roman"/>
                <w:color w:val="auto"/>
                <w:kern w:val="0"/>
                <w:szCs w:val="20"/>
                <w:u w:val="none" w:color="auto"/>
              </w:rPr>
              <w:t>mg/m</w:t>
            </w:r>
            <w:r>
              <w:rPr>
                <w:rFonts w:ascii="Times New Roman" w:hAnsi="Times New Roman" w:eastAsia="宋体" w:cs="Times New Roman"/>
                <w:color w:val="auto"/>
                <w:kern w:val="0"/>
                <w:szCs w:val="20"/>
                <w:u w:val="none" w:color="auto"/>
                <w:vertAlign w:val="superscript"/>
              </w:rPr>
              <w:t>3</w:t>
            </w:r>
          </w:p>
        </w:tc>
      </w:tr>
      <w:tr w14:paraId="07E1E1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4" w:space="0"/>
              <w:left w:val="single" w:color="auto" w:sz="6" w:space="0"/>
              <w:bottom w:val="single" w:color="auto" w:sz="4" w:space="0"/>
              <w:right w:val="single" w:color="auto" w:sz="6" w:space="0"/>
            </w:tcBorders>
            <w:vAlign w:val="center"/>
          </w:tcPr>
          <w:p w14:paraId="02CE3444">
            <w:pPr>
              <w:autoSpaceDE w:val="0"/>
              <w:autoSpaceDN w:val="0"/>
              <w:jc w:val="center"/>
              <w:textAlignment w:val="center"/>
              <w:rPr>
                <w:rFonts w:ascii="Times New Roman" w:hAnsi="Times New Roman" w:eastAsia="宋体" w:cs="Times New Roman"/>
                <w:color w:val="auto"/>
                <w:kern w:val="0"/>
                <w:szCs w:val="20"/>
                <w:u w:val="none" w:color="auto"/>
              </w:rPr>
            </w:pPr>
            <w:r>
              <w:rPr>
                <w:rFonts w:hint="eastAsia" w:ascii="Times New Roman" w:hAnsi="Times New Roman" w:eastAsia="宋体" w:cs="Times New Roman"/>
                <w:color w:val="auto"/>
                <w:kern w:val="0"/>
                <w:szCs w:val="20"/>
                <w:u w:val="none" w:color="auto"/>
              </w:rPr>
              <w:t>二甲苯</w:t>
            </w:r>
          </w:p>
        </w:tc>
        <w:tc>
          <w:tcPr>
            <w:tcW w:w="5753" w:type="dxa"/>
            <w:vMerge w:val="continue"/>
            <w:vAlign w:val="center"/>
          </w:tcPr>
          <w:p w14:paraId="4D3C5068">
            <w:pPr>
              <w:autoSpaceDE w:val="0"/>
              <w:autoSpaceDN w:val="0"/>
              <w:jc w:val="center"/>
              <w:textAlignment w:val="center"/>
              <w:rPr>
                <w:rFonts w:ascii="Times New Roman" w:hAnsi="Times New Roman" w:eastAsia="宋体" w:cs="Times New Roman"/>
                <w:color w:val="auto"/>
                <w:kern w:val="0"/>
                <w:szCs w:val="20"/>
                <w:u w:val="none" w:color="auto"/>
              </w:rPr>
            </w:pPr>
          </w:p>
        </w:tc>
        <w:tc>
          <w:tcPr>
            <w:tcW w:w="1488" w:type="dxa"/>
            <w:tcBorders>
              <w:top w:val="single" w:color="auto" w:sz="4" w:space="0"/>
              <w:bottom w:val="single" w:color="auto" w:sz="4" w:space="0"/>
            </w:tcBorders>
            <w:vAlign w:val="center"/>
          </w:tcPr>
          <w:p w14:paraId="0290E869">
            <w:pPr>
              <w:autoSpaceDE w:val="0"/>
              <w:autoSpaceDN w:val="0"/>
              <w:jc w:val="center"/>
              <w:textAlignment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1.5×10</w:t>
            </w:r>
            <w:r>
              <w:rPr>
                <w:rFonts w:ascii="Times New Roman" w:hAnsi="Times New Roman" w:eastAsia="宋体" w:cs="Times New Roman"/>
                <w:color w:val="auto"/>
                <w:kern w:val="0"/>
                <w:szCs w:val="20"/>
                <w:u w:val="none" w:color="auto"/>
                <w:vertAlign w:val="superscript"/>
              </w:rPr>
              <w:t>-3</w:t>
            </w:r>
            <w:r>
              <w:rPr>
                <w:rFonts w:ascii="Times New Roman" w:hAnsi="Times New Roman" w:eastAsia="宋体" w:cs="Times New Roman"/>
                <w:color w:val="auto"/>
                <w:kern w:val="0"/>
                <w:szCs w:val="20"/>
                <w:u w:val="none" w:color="auto"/>
              </w:rPr>
              <w:t>mg/m</w:t>
            </w:r>
            <w:r>
              <w:rPr>
                <w:rFonts w:ascii="Times New Roman" w:hAnsi="Times New Roman" w:eastAsia="宋体" w:cs="Times New Roman"/>
                <w:color w:val="auto"/>
                <w:kern w:val="0"/>
                <w:szCs w:val="20"/>
                <w:u w:val="none" w:color="auto"/>
                <w:vertAlign w:val="superscript"/>
              </w:rPr>
              <w:t>3</w:t>
            </w:r>
          </w:p>
        </w:tc>
      </w:tr>
      <w:tr w14:paraId="07B875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4" w:space="0"/>
              <w:left w:val="single" w:color="auto" w:sz="6" w:space="0"/>
              <w:bottom w:val="single" w:color="auto" w:sz="4" w:space="0"/>
              <w:right w:val="single" w:color="auto" w:sz="6" w:space="0"/>
            </w:tcBorders>
            <w:vAlign w:val="center"/>
          </w:tcPr>
          <w:p w14:paraId="46265D97">
            <w:pPr>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sz w:val="24"/>
                <w:u w:val="none" w:color="auto"/>
              </w:rPr>
              <w:t>非甲烷总烃</w:t>
            </w:r>
          </w:p>
        </w:tc>
        <w:tc>
          <w:tcPr>
            <w:tcW w:w="5753" w:type="dxa"/>
            <w:tcBorders>
              <w:top w:val="single" w:color="auto" w:sz="4" w:space="0"/>
              <w:bottom w:val="single" w:color="auto" w:sz="4" w:space="0"/>
            </w:tcBorders>
            <w:vAlign w:val="center"/>
          </w:tcPr>
          <w:p w14:paraId="1920283E">
            <w:pPr>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sz w:val="24"/>
                <w:u w:val="none" w:color="auto"/>
              </w:rPr>
              <w:t>环境空气 总烃、甲烷、非甲烷总烃的测定 直接进样-气相色谱法 （HJ 604-2017）</w:t>
            </w:r>
          </w:p>
        </w:tc>
        <w:tc>
          <w:tcPr>
            <w:tcW w:w="1488" w:type="dxa"/>
            <w:tcBorders>
              <w:top w:val="single" w:color="auto" w:sz="4" w:space="0"/>
              <w:bottom w:val="single" w:color="auto" w:sz="4" w:space="0"/>
            </w:tcBorders>
            <w:vAlign w:val="center"/>
          </w:tcPr>
          <w:p w14:paraId="7009FD6F">
            <w:pPr>
              <w:jc w:val="center"/>
              <w:rPr>
                <w:rFonts w:ascii="Times New Roman" w:hAnsi="Times New Roman" w:eastAsia="宋体" w:cs="Times New Roman"/>
                <w:color w:val="auto"/>
                <w:kern w:val="0"/>
                <w:szCs w:val="20"/>
                <w:u w:val="none" w:color="auto"/>
              </w:rPr>
            </w:pPr>
            <w:r>
              <w:rPr>
                <w:rFonts w:ascii="Times New Roman" w:hAnsi="Times New Roman" w:eastAsia="宋体" w:cs="Times New Roman"/>
                <w:color w:val="auto"/>
                <w:sz w:val="24"/>
                <w:u w:val="none" w:color="auto"/>
              </w:rPr>
              <w:t xml:space="preserve">0.07 </w:t>
            </w:r>
            <w:r>
              <w:rPr>
                <w:rFonts w:ascii="Times New Roman" w:hAnsi="Times New Roman" w:eastAsia="宋体" w:cs="Times New Roman"/>
                <w:color w:val="auto"/>
                <w:kern w:val="0"/>
                <w:sz w:val="24"/>
                <w:u w:val="none" w:color="auto"/>
              </w:rPr>
              <w:t>mg/m</w:t>
            </w:r>
            <w:r>
              <w:rPr>
                <w:rFonts w:ascii="Times New Roman" w:hAnsi="Times New Roman" w:eastAsia="宋体" w:cs="Times New Roman"/>
                <w:color w:val="auto"/>
                <w:kern w:val="0"/>
                <w:sz w:val="24"/>
                <w:u w:val="none" w:color="auto"/>
                <w:vertAlign w:val="superscript"/>
              </w:rPr>
              <w:t>3</w:t>
            </w:r>
          </w:p>
        </w:tc>
      </w:tr>
      <w:tr w14:paraId="3F11B3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76" w:type="dxa"/>
            <w:tcBorders>
              <w:top w:val="single" w:color="auto" w:sz="4" w:space="0"/>
              <w:left w:val="single" w:color="auto" w:sz="6" w:space="0"/>
              <w:bottom w:val="single" w:color="auto" w:sz="4" w:space="0"/>
              <w:right w:val="single" w:color="auto" w:sz="6" w:space="0"/>
            </w:tcBorders>
            <w:vAlign w:val="center"/>
          </w:tcPr>
          <w:p w14:paraId="4C2FDD1B">
            <w:pPr>
              <w:jc w:val="center"/>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臭气浓度</w:t>
            </w:r>
          </w:p>
        </w:tc>
        <w:tc>
          <w:tcPr>
            <w:tcW w:w="5753" w:type="dxa"/>
            <w:tcBorders>
              <w:top w:val="single" w:color="auto" w:sz="4" w:space="0"/>
              <w:bottom w:val="single" w:color="auto" w:sz="4" w:space="0"/>
            </w:tcBorders>
            <w:vAlign w:val="center"/>
          </w:tcPr>
          <w:p w14:paraId="2FB91C38">
            <w:pPr>
              <w:jc w:val="center"/>
              <w:rPr>
                <w:rFonts w:hint="eastAsia"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环境空气和废气 臭气的测定 三点比较式臭袋法</w:t>
            </w:r>
          </w:p>
          <w:p w14:paraId="18FD76E1">
            <w:pPr>
              <w:jc w:val="center"/>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（HJ 1262-2022）</w:t>
            </w:r>
          </w:p>
        </w:tc>
        <w:tc>
          <w:tcPr>
            <w:tcW w:w="1488" w:type="dxa"/>
            <w:tcBorders>
              <w:top w:val="single" w:color="auto" w:sz="4" w:space="0"/>
              <w:bottom w:val="single" w:color="auto" w:sz="4" w:space="0"/>
            </w:tcBorders>
            <w:vAlign w:val="center"/>
          </w:tcPr>
          <w:p w14:paraId="5C3C581F">
            <w:pPr>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10（无量纲）</w:t>
            </w:r>
          </w:p>
        </w:tc>
      </w:tr>
    </w:tbl>
    <w:p w14:paraId="0735A5B5">
      <w:pPr>
        <w:pStyle w:val="35"/>
        <w:spacing w:after="0" w:line="360" w:lineRule="auto"/>
        <w:ind w:firstLine="482" w:firstLineChars="200"/>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4、监测结果</w:t>
      </w:r>
    </w:p>
    <w:p w14:paraId="278086D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本次环境空气质量现状监测结果见表</w:t>
      </w:r>
      <w:r>
        <w:rPr>
          <w:rFonts w:hint="eastAsia" w:ascii="Times New Roman" w:hAnsi="Times New Roman" w:eastAsia="宋体" w:cs="Times New Roman"/>
          <w:color w:val="auto"/>
          <w:sz w:val="24"/>
          <w:u w:val="none" w:color="auto"/>
        </w:rPr>
        <w:t>3</w:t>
      </w:r>
      <w:r>
        <w:rPr>
          <w:rFonts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rPr>
        <w:t>6、3.2-7</w:t>
      </w:r>
      <w:r>
        <w:rPr>
          <w:rFonts w:ascii="Times New Roman" w:hAnsi="Times New Roman" w:eastAsia="宋体" w:cs="Times New Roman"/>
          <w:color w:val="auto"/>
          <w:sz w:val="24"/>
          <w:u w:val="none" w:color="auto"/>
        </w:rPr>
        <w:t>。</w:t>
      </w:r>
    </w:p>
    <w:p w14:paraId="40157CBD">
      <w:pPr>
        <w:pStyle w:val="65"/>
        <w:spacing w:line="240" w:lineRule="auto"/>
        <w:rPr>
          <w:color w:val="auto"/>
          <w:sz w:val="21"/>
          <w:szCs w:val="21"/>
          <w:u w:val="none" w:color="auto"/>
        </w:rPr>
      </w:pPr>
      <w:r>
        <w:rPr>
          <w:color w:val="auto"/>
          <w:sz w:val="21"/>
          <w:szCs w:val="21"/>
          <w:u w:val="none" w:color="auto"/>
        </w:rPr>
        <w:t>表</w:t>
      </w:r>
      <w:r>
        <w:rPr>
          <w:rFonts w:hint="eastAsia"/>
          <w:color w:val="auto"/>
          <w:sz w:val="21"/>
          <w:szCs w:val="21"/>
          <w:u w:val="none" w:color="auto"/>
        </w:rPr>
        <w:t>3</w:t>
      </w:r>
      <w:r>
        <w:rPr>
          <w:color w:val="auto"/>
          <w:sz w:val="21"/>
          <w:szCs w:val="21"/>
          <w:u w:val="none" w:color="auto"/>
        </w:rPr>
        <w:t>.2-6</w:t>
      </w:r>
      <w:r>
        <w:rPr>
          <w:rFonts w:hint="eastAsia"/>
          <w:color w:val="auto"/>
          <w:sz w:val="21"/>
          <w:szCs w:val="21"/>
          <w:u w:val="none" w:color="auto"/>
        </w:rPr>
        <w:t xml:space="preserve"> 小时值监测结果表   单位：mg/m</w:t>
      </w:r>
      <w:r>
        <w:rPr>
          <w:rFonts w:hint="eastAsia"/>
          <w:color w:val="auto"/>
          <w:sz w:val="21"/>
          <w:szCs w:val="21"/>
          <w:u w:val="none" w:color="auto"/>
          <w:vertAlign w:val="superscript"/>
        </w:rPr>
        <w:t>3</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1863"/>
        <w:gridCol w:w="1142"/>
        <w:gridCol w:w="1474"/>
        <w:gridCol w:w="1474"/>
        <w:gridCol w:w="1558"/>
      </w:tblGrid>
      <w:tr w14:paraId="4EE5F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noWrap w:val="0"/>
            <w:vAlign w:val="center"/>
          </w:tcPr>
          <w:p w14:paraId="0C1E864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监测点位</w:t>
            </w:r>
          </w:p>
        </w:tc>
        <w:tc>
          <w:tcPr>
            <w:tcW w:w="1093" w:type="pct"/>
            <w:vMerge w:val="restart"/>
            <w:noWrap w:val="0"/>
            <w:vAlign w:val="center"/>
          </w:tcPr>
          <w:p w14:paraId="2BAD283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监测日期</w:t>
            </w:r>
          </w:p>
        </w:tc>
        <w:tc>
          <w:tcPr>
            <w:tcW w:w="670" w:type="pct"/>
            <w:vMerge w:val="restart"/>
            <w:noWrap w:val="0"/>
            <w:vAlign w:val="center"/>
          </w:tcPr>
          <w:p w14:paraId="0C246131">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监测频次</w:t>
            </w:r>
          </w:p>
        </w:tc>
        <w:tc>
          <w:tcPr>
            <w:tcW w:w="2644" w:type="pct"/>
            <w:gridSpan w:val="3"/>
            <w:noWrap w:val="0"/>
            <w:vAlign w:val="center"/>
          </w:tcPr>
          <w:p w14:paraId="0CDC1A4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监测结果</w:t>
            </w:r>
          </w:p>
        </w:tc>
      </w:tr>
      <w:tr w14:paraId="7D3C6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4E0E3E2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1093" w:type="pct"/>
            <w:vMerge w:val="continue"/>
            <w:noWrap w:val="0"/>
            <w:vAlign w:val="center"/>
          </w:tcPr>
          <w:p w14:paraId="50497319">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vMerge w:val="continue"/>
            <w:noWrap w:val="0"/>
            <w:vAlign w:val="center"/>
          </w:tcPr>
          <w:p w14:paraId="361897D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865" w:type="pct"/>
            <w:noWrap w:val="0"/>
            <w:vAlign w:val="center"/>
          </w:tcPr>
          <w:p w14:paraId="325DBF2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甲苯(mg/m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w:t>
            </w:r>
          </w:p>
        </w:tc>
        <w:tc>
          <w:tcPr>
            <w:tcW w:w="865" w:type="pct"/>
            <w:noWrap w:val="0"/>
            <w:vAlign w:val="center"/>
          </w:tcPr>
          <w:p w14:paraId="7BA16B3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二甲苯(mg/m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w:t>
            </w:r>
          </w:p>
        </w:tc>
        <w:tc>
          <w:tcPr>
            <w:tcW w:w="913" w:type="pct"/>
            <w:noWrap w:val="0"/>
            <w:vAlign w:val="center"/>
          </w:tcPr>
          <w:p w14:paraId="36C84A4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非甲烷总烃(mg/m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w:t>
            </w:r>
          </w:p>
        </w:tc>
      </w:tr>
      <w:tr w14:paraId="2761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noWrap w:val="0"/>
            <w:vAlign w:val="center"/>
          </w:tcPr>
          <w:p w14:paraId="1D82DF6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G1项目场地</w:t>
            </w:r>
          </w:p>
        </w:tc>
        <w:tc>
          <w:tcPr>
            <w:tcW w:w="1093" w:type="pct"/>
            <w:vMerge w:val="restart"/>
            <w:noWrap w:val="0"/>
            <w:vAlign w:val="center"/>
          </w:tcPr>
          <w:p w14:paraId="0535A4B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2024.10.16</w:t>
            </w:r>
          </w:p>
        </w:tc>
        <w:tc>
          <w:tcPr>
            <w:tcW w:w="670" w:type="pct"/>
            <w:noWrap w:val="0"/>
            <w:vAlign w:val="center"/>
          </w:tcPr>
          <w:p w14:paraId="38BFFEA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7C08C69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rPr>
            </w:pPr>
          </w:p>
        </w:tc>
        <w:tc>
          <w:tcPr>
            <w:tcW w:w="865" w:type="pct"/>
            <w:noWrap w:val="0"/>
            <w:vAlign w:val="center"/>
          </w:tcPr>
          <w:p w14:paraId="7171343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75CB04E2">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DA1B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2824A7B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4361C7A5">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008DE84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0ED6C4D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rPr>
            </w:pPr>
          </w:p>
        </w:tc>
        <w:tc>
          <w:tcPr>
            <w:tcW w:w="865" w:type="pct"/>
            <w:noWrap w:val="0"/>
            <w:vAlign w:val="center"/>
          </w:tcPr>
          <w:p w14:paraId="0F2BCAF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44620B7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2CA51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19E5380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4D62D4C6">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7F8C451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605F5E1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rPr>
            </w:pPr>
          </w:p>
        </w:tc>
        <w:tc>
          <w:tcPr>
            <w:tcW w:w="865" w:type="pct"/>
            <w:noWrap w:val="0"/>
            <w:vAlign w:val="center"/>
          </w:tcPr>
          <w:p w14:paraId="12E50139">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3C912A5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BDAF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CF87E4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67265E36">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5B844D4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11A58FF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rPr>
            </w:pPr>
          </w:p>
        </w:tc>
        <w:tc>
          <w:tcPr>
            <w:tcW w:w="865" w:type="pct"/>
            <w:noWrap w:val="0"/>
            <w:vAlign w:val="center"/>
          </w:tcPr>
          <w:p w14:paraId="7BBE141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529C6B9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15115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32DFF85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3BEDE45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2024.10.17</w:t>
            </w:r>
          </w:p>
        </w:tc>
        <w:tc>
          <w:tcPr>
            <w:tcW w:w="670" w:type="pct"/>
            <w:noWrap w:val="0"/>
            <w:vAlign w:val="center"/>
          </w:tcPr>
          <w:p w14:paraId="7E35C08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5BBF647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495C721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5FE6884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3057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A90635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5E52F866">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63CFB5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290899F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4EF24D3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0C51C019">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1BFC7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8563EE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57DBCCCC">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082EA8C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5EAF9A7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53AFBBA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3A96433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7F99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51185B1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3BC8DE01">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2F076CF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2F82F38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44DA4B5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07389CB9">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3042D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283780B4">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2234E96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2024.10.18</w:t>
            </w:r>
          </w:p>
        </w:tc>
        <w:tc>
          <w:tcPr>
            <w:tcW w:w="670" w:type="pct"/>
            <w:noWrap w:val="0"/>
            <w:vAlign w:val="center"/>
          </w:tcPr>
          <w:p w14:paraId="5F36A86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7D0A70A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0B2A2AB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69E0B04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6BF1E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2ABC02E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0236D77B">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128BB04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4DB94E58">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0BD21882">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669D218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25F46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40F5CF4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2527FBEE">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176013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0FE270D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2858644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4B15D34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15A4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7E8FDE5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12D98B10">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61692EA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746E978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76AF357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5CD8F95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B4D4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6609D01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47FD8FF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2024.10.19</w:t>
            </w:r>
          </w:p>
        </w:tc>
        <w:tc>
          <w:tcPr>
            <w:tcW w:w="670" w:type="pct"/>
            <w:noWrap w:val="0"/>
            <w:vAlign w:val="center"/>
          </w:tcPr>
          <w:p w14:paraId="467A10D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454D0AC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3D6ABEC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1ABDBD6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1ECD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1327A3B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73D31C2E">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53A849C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3CF4B56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7F0BBB1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05A9CBB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A8F1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53A4BAB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0B80CD2F">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1B8F17A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719E18C2">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0E76E12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3321ECB2">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5297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58FC196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0F51B8F6">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46131F2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20AFCBC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2637247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6FB24DB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4CB4B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40B61B8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472386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2024.10.20</w:t>
            </w:r>
          </w:p>
        </w:tc>
        <w:tc>
          <w:tcPr>
            <w:tcW w:w="670" w:type="pct"/>
            <w:noWrap w:val="0"/>
            <w:vAlign w:val="center"/>
          </w:tcPr>
          <w:p w14:paraId="6F645C3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067018B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5883E0A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335264D8">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1236C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3BBE634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78BD8D7C">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14A2766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008460D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37E73DB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0CB2233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58850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15ED9090">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759029A7">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49EE154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0C0E371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3043501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2FA46A9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233AB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1E935531">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180C719D">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67650D3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4D29D95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561BB67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19447F1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0FB91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FBA90A0">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1962F29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2024.10.21</w:t>
            </w:r>
          </w:p>
        </w:tc>
        <w:tc>
          <w:tcPr>
            <w:tcW w:w="670" w:type="pct"/>
            <w:noWrap w:val="0"/>
            <w:vAlign w:val="center"/>
          </w:tcPr>
          <w:p w14:paraId="258BB23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493BD7C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01ADE83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10610B0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6AAA9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603D41C0">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34132F8D">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0CABD4D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0AAB098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08850D8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4216F9D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6E22B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6F4D4DD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638D253E">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758E774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364C852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6AC2609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6ED9CF0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4F334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58DE9C3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5422686B">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32EBAEA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69FF108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2595E86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0DA4A39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7167B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243BF3C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restart"/>
            <w:noWrap w:val="0"/>
            <w:vAlign w:val="center"/>
          </w:tcPr>
          <w:p w14:paraId="36DEEA1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2024.10.22</w:t>
            </w:r>
          </w:p>
        </w:tc>
        <w:tc>
          <w:tcPr>
            <w:tcW w:w="670" w:type="pct"/>
            <w:noWrap w:val="0"/>
            <w:vAlign w:val="center"/>
          </w:tcPr>
          <w:p w14:paraId="43B90A6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02：00</w:t>
            </w:r>
          </w:p>
        </w:tc>
        <w:tc>
          <w:tcPr>
            <w:tcW w:w="865" w:type="pct"/>
            <w:noWrap w:val="0"/>
            <w:vAlign w:val="center"/>
          </w:tcPr>
          <w:p w14:paraId="3860234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7378DAC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5BF4761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2C50B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935CA64">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0725E234">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6A73840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08：00</w:t>
            </w:r>
          </w:p>
        </w:tc>
        <w:tc>
          <w:tcPr>
            <w:tcW w:w="865" w:type="pct"/>
            <w:noWrap w:val="0"/>
            <w:vAlign w:val="center"/>
          </w:tcPr>
          <w:p w14:paraId="2C0965A8">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7340BF8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6DFECE1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21E9D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0FEE67E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015F3AF0">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1DD8485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14：00</w:t>
            </w:r>
          </w:p>
        </w:tc>
        <w:tc>
          <w:tcPr>
            <w:tcW w:w="865" w:type="pct"/>
            <w:noWrap w:val="0"/>
            <w:vAlign w:val="center"/>
          </w:tcPr>
          <w:p w14:paraId="14D8AB6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28B9820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2C0EAAB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r w14:paraId="3FE4B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noWrap w:val="0"/>
            <w:vAlign w:val="center"/>
          </w:tcPr>
          <w:p w14:paraId="45695D8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none" w:color="auto"/>
              </w:rPr>
            </w:pPr>
          </w:p>
        </w:tc>
        <w:tc>
          <w:tcPr>
            <w:tcW w:w="1093" w:type="pct"/>
            <w:vMerge w:val="continue"/>
            <w:noWrap w:val="0"/>
            <w:vAlign w:val="center"/>
          </w:tcPr>
          <w:p w14:paraId="4F4F9058">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none" w:color="auto"/>
              </w:rPr>
            </w:pPr>
          </w:p>
        </w:tc>
        <w:tc>
          <w:tcPr>
            <w:tcW w:w="670" w:type="pct"/>
            <w:noWrap w:val="0"/>
            <w:vAlign w:val="center"/>
          </w:tcPr>
          <w:p w14:paraId="494B80E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20：00</w:t>
            </w:r>
          </w:p>
        </w:tc>
        <w:tc>
          <w:tcPr>
            <w:tcW w:w="865" w:type="pct"/>
            <w:noWrap w:val="0"/>
            <w:vAlign w:val="center"/>
          </w:tcPr>
          <w:p w14:paraId="113B311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bidi="ar"/>
              </w:rPr>
            </w:pPr>
          </w:p>
        </w:tc>
        <w:tc>
          <w:tcPr>
            <w:tcW w:w="865" w:type="pct"/>
            <w:noWrap w:val="0"/>
            <w:vAlign w:val="center"/>
          </w:tcPr>
          <w:p w14:paraId="697499F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c>
          <w:tcPr>
            <w:tcW w:w="913" w:type="pct"/>
            <w:noWrap w:val="0"/>
            <w:vAlign w:val="center"/>
          </w:tcPr>
          <w:p w14:paraId="438CED7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none" w:color="auto"/>
                <w:lang w:val="en-US" w:eastAsia="zh-CN"/>
              </w:rPr>
            </w:pPr>
          </w:p>
        </w:tc>
      </w:tr>
    </w:tbl>
    <w:p w14:paraId="233B1C82">
      <w:pPr>
        <w:autoSpaceDE w:val="0"/>
        <w:autoSpaceDN w:val="0"/>
        <w:spacing w:line="360" w:lineRule="auto"/>
        <w:ind w:firstLine="420" w:firstLineChars="200"/>
        <w:jc w:val="left"/>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注：“</w:t>
      </w:r>
      <w:r>
        <w:rPr>
          <w:rFonts w:hint="eastAsia" w:ascii="Times New Roman" w:hAnsi="Times New Roman" w:eastAsia="宋体" w:cs="Times New Roman"/>
          <w:color w:val="auto"/>
          <w:u w:val="none" w:color="auto"/>
        </w:rPr>
        <w:t>ND</w:t>
      </w:r>
      <w:r>
        <w:rPr>
          <w:rFonts w:ascii="Times New Roman" w:hAnsi="Times New Roman" w:eastAsia="宋体" w:cs="Times New Roman"/>
          <w:color w:val="auto"/>
          <w:u w:val="none" w:color="auto"/>
        </w:rPr>
        <w:t>”表示监测结果低于方法检出限。</w:t>
      </w:r>
    </w:p>
    <w:p w14:paraId="004FBD11">
      <w:pPr>
        <w:pStyle w:val="65"/>
        <w:spacing w:line="240" w:lineRule="auto"/>
        <w:rPr>
          <w:color w:val="auto"/>
          <w:sz w:val="21"/>
          <w:szCs w:val="21"/>
          <w:highlight w:val="yellow"/>
          <w:u w:val="single" w:color="auto"/>
        </w:rPr>
      </w:pPr>
      <w:r>
        <w:rPr>
          <w:color w:val="auto"/>
          <w:sz w:val="21"/>
          <w:szCs w:val="21"/>
          <w:highlight w:val="none"/>
          <w:u w:val="single" w:color="auto"/>
        </w:rPr>
        <w:t>表</w:t>
      </w:r>
      <w:r>
        <w:rPr>
          <w:rFonts w:hint="eastAsia"/>
          <w:color w:val="auto"/>
          <w:sz w:val="21"/>
          <w:szCs w:val="21"/>
          <w:highlight w:val="none"/>
          <w:u w:val="single" w:color="auto"/>
        </w:rPr>
        <w:t>3</w:t>
      </w:r>
      <w:r>
        <w:rPr>
          <w:color w:val="auto"/>
          <w:sz w:val="21"/>
          <w:szCs w:val="21"/>
          <w:highlight w:val="none"/>
          <w:u w:val="single" w:color="auto"/>
        </w:rPr>
        <w:t>.2-</w:t>
      </w:r>
      <w:r>
        <w:rPr>
          <w:rFonts w:hint="eastAsia"/>
          <w:color w:val="auto"/>
          <w:sz w:val="21"/>
          <w:szCs w:val="21"/>
          <w:highlight w:val="none"/>
          <w:u w:val="single" w:color="auto"/>
          <w:lang w:val="en-US" w:eastAsia="zh-CN"/>
        </w:rPr>
        <w:t>7</w:t>
      </w:r>
      <w:r>
        <w:rPr>
          <w:rFonts w:hint="eastAsia"/>
          <w:color w:val="auto"/>
          <w:sz w:val="21"/>
          <w:szCs w:val="21"/>
          <w:highlight w:val="none"/>
          <w:u w:val="single" w:color="auto"/>
        </w:rPr>
        <w:t xml:space="preserve"> </w:t>
      </w:r>
      <w:r>
        <w:rPr>
          <w:rFonts w:hint="eastAsia"/>
          <w:color w:val="auto"/>
          <w:sz w:val="21"/>
          <w:szCs w:val="21"/>
          <w:highlight w:val="none"/>
          <w:u w:val="single" w:color="auto"/>
          <w:lang w:val="en-US" w:eastAsia="zh-CN"/>
        </w:rPr>
        <w:t>臭气浓度</w:t>
      </w:r>
      <w:r>
        <w:rPr>
          <w:rFonts w:hint="eastAsia"/>
          <w:color w:val="auto"/>
          <w:sz w:val="21"/>
          <w:szCs w:val="21"/>
          <w:highlight w:val="none"/>
          <w:u w:val="single" w:color="auto"/>
        </w:rPr>
        <w:t>小时值监测结果表   单位：mg/m</w:t>
      </w:r>
      <w:r>
        <w:rPr>
          <w:rFonts w:hint="eastAsia"/>
          <w:color w:val="auto"/>
          <w:sz w:val="21"/>
          <w:szCs w:val="21"/>
          <w:highlight w:val="none"/>
          <w:u w:val="single" w:color="auto"/>
          <w:vertAlign w:val="superscript"/>
        </w:rPr>
        <w:t>3</w:t>
      </w:r>
    </w:p>
    <w:tbl>
      <w:tblPr>
        <w:tblStyle w:val="3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3"/>
        <w:gridCol w:w="2894"/>
        <w:gridCol w:w="1773"/>
        <w:gridCol w:w="2290"/>
      </w:tblGrid>
      <w:tr w14:paraId="196D4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restart"/>
            <w:noWrap w:val="0"/>
            <w:vAlign w:val="center"/>
          </w:tcPr>
          <w:p w14:paraId="7036CA79">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监测点位</w:t>
            </w:r>
          </w:p>
        </w:tc>
        <w:tc>
          <w:tcPr>
            <w:tcW w:w="1698" w:type="pct"/>
            <w:vMerge w:val="restart"/>
            <w:noWrap w:val="0"/>
            <w:vAlign w:val="center"/>
          </w:tcPr>
          <w:p w14:paraId="283090D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监测日期</w:t>
            </w:r>
          </w:p>
        </w:tc>
        <w:tc>
          <w:tcPr>
            <w:tcW w:w="1040" w:type="pct"/>
            <w:vMerge w:val="restart"/>
            <w:noWrap w:val="0"/>
            <w:vAlign w:val="center"/>
          </w:tcPr>
          <w:p w14:paraId="7F9E8F40">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监测频次</w:t>
            </w:r>
          </w:p>
        </w:tc>
        <w:tc>
          <w:tcPr>
            <w:tcW w:w="1343" w:type="pct"/>
            <w:noWrap w:val="0"/>
            <w:vAlign w:val="center"/>
          </w:tcPr>
          <w:p w14:paraId="257FF56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监测结果</w:t>
            </w:r>
          </w:p>
        </w:tc>
      </w:tr>
      <w:tr w14:paraId="61F33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6B1FD2B1">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p>
        </w:tc>
        <w:tc>
          <w:tcPr>
            <w:tcW w:w="1698" w:type="pct"/>
            <w:vMerge w:val="continue"/>
            <w:noWrap w:val="0"/>
            <w:vAlign w:val="center"/>
          </w:tcPr>
          <w:p w14:paraId="09A36C1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p>
        </w:tc>
        <w:tc>
          <w:tcPr>
            <w:tcW w:w="1040" w:type="pct"/>
            <w:vMerge w:val="continue"/>
            <w:noWrap w:val="0"/>
            <w:vAlign w:val="center"/>
          </w:tcPr>
          <w:p w14:paraId="68A4EF5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rPr>
            </w:pPr>
          </w:p>
        </w:tc>
        <w:tc>
          <w:tcPr>
            <w:tcW w:w="1343" w:type="pct"/>
            <w:noWrap w:val="0"/>
            <w:vAlign w:val="center"/>
          </w:tcPr>
          <w:p w14:paraId="4AE5389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臭气浓度（无量纲）</w:t>
            </w:r>
          </w:p>
        </w:tc>
      </w:tr>
      <w:tr w14:paraId="218D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restart"/>
            <w:noWrap w:val="0"/>
            <w:vAlign w:val="center"/>
          </w:tcPr>
          <w:p w14:paraId="4072AAB4">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G1项目场地</w:t>
            </w:r>
          </w:p>
        </w:tc>
        <w:tc>
          <w:tcPr>
            <w:tcW w:w="1698" w:type="pct"/>
            <w:vMerge w:val="restart"/>
            <w:noWrap w:val="0"/>
            <w:vAlign w:val="center"/>
          </w:tcPr>
          <w:p w14:paraId="74DE188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25</w:t>
            </w:r>
          </w:p>
        </w:tc>
        <w:tc>
          <w:tcPr>
            <w:tcW w:w="1040" w:type="pct"/>
            <w:noWrap w:val="0"/>
            <w:vAlign w:val="center"/>
          </w:tcPr>
          <w:p w14:paraId="48AD29C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4F00D2B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u w:val="single" w:color="auto"/>
              </w:rPr>
            </w:pPr>
          </w:p>
        </w:tc>
      </w:tr>
      <w:tr w14:paraId="59355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64D7F44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4D7B5C96">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640E3D1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530FD65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rPr>
            </w:pPr>
          </w:p>
        </w:tc>
      </w:tr>
      <w:tr w14:paraId="1D1BA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0656477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3FA9D381">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5CA88F7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3A260609">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rPr>
            </w:pPr>
          </w:p>
        </w:tc>
      </w:tr>
      <w:tr w14:paraId="59A0E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722E693B">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6D2B0683">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FA0B9D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10388981">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rPr>
            </w:pPr>
          </w:p>
        </w:tc>
      </w:tr>
      <w:tr w14:paraId="27855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5CF5937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26A5ED8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26</w:t>
            </w:r>
          </w:p>
        </w:tc>
        <w:tc>
          <w:tcPr>
            <w:tcW w:w="1040" w:type="pct"/>
            <w:noWrap w:val="0"/>
            <w:vAlign w:val="center"/>
          </w:tcPr>
          <w:p w14:paraId="61F3210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23B6B1B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37BB0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0718088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16E732C8">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36BD0EC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4D52255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2B40B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B166E35">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5CA209A9">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2E2366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1D5F984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56A31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C2723E5">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3D3CACA4">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0278340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403F6505">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22619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6E452DE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706C2A0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27</w:t>
            </w:r>
          </w:p>
          <w:p w14:paraId="514D682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p>
        </w:tc>
        <w:tc>
          <w:tcPr>
            <w:tcW w:w="1040" w:type="pct"/>
            <w:noWrap w:val="0"/>
            <w:vAlign w:val="center"/>
          </w:tcPr>
          <w:p w14:paraId="2EEC19C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3C9B15B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1AC0C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22FFD86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37C5F36C">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22DD3C4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336A247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504F6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0E08C410">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1ECD5794">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6CFEEB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6AEE4D7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14381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3B0F8CB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772A406B">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E7803C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0ED1714D">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32A0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78C48FF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6C54152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28</w:t>
            </w:r>
          </w:p>
          <w:p w14:paraId="37A4402E">
            <w:pPr>
              <w:keepNext w:val="0"/>
              <w:keepLines w:val="0"/>
              <w:pageBreakBefore w:val="0"/>
              <w:kinsoku/>
              <w:wordWrap/>
              <w:overflowPunct/>
              <w:topLinePunct w:val="0"/>
              <w:autoSpaceDE/>
              <w:autoSpaceDN/>
              <w:bidi w:val="0"/>
              <w:adjustRightInd w:val="0"/>
              <w:snapToGrid w:val="0"/>
              <w:spacing w:line="240" w:lineRule="auto"/>
              <w:jc w:val="both"/>
              <w:rPr>
                <w:rFonts w:hint="default" w:ascii="Times New Roman" w:hAnsi="Times New Roman" w:eastAsia="宋体" w:cs="Times New Roman"/>
                <w:color w:val="auto"/>
                <w:sz w:val="21"/>
                <w:szCs w:val="21"/>
                <w:u w:val="single" w:color="auto"/>
                <w:lang w:val="en-US" w:eastAsia="zh-CN"/>
              </w:rPr>
            </w:pPr>
          </w:p>
        </w:tc>
        <w:tc>
          <w:tcPr>
            <w:tcW w:w="1040" w:type="pct"/>
            <w:noWrap w:val="0"/>
            <w:vAlign w:val="center"/>
          </w:tcPr>
          <w:p w14:paraId="6462721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44C0CB0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5F73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37F2CB1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3C9DA338">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496D9A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7B9BD79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10FAC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68815FB">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5D2504D8">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21A9140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7642D526">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66213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2809CBD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01F994CA">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53CD68B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3D46B6B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169A0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B5230F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618210B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29</w:t>
            </w:r>
          </w:p>
        </w:tc>
        <w:tc>
          <w:tcPr>
            <w:tcW w:w="1040" w:type="pct"/>
            <w:noWrap w:val="0"/>
            <w:vAlign w:val="center"/>
          </w:tcPr>
          <w:p w14:paraId="0491261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096FCBC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3887B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0317F23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5492A443">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60173E3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4F950E17">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7F85B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3431F48B">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52862EA0">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63628B0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5CB28FFB">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2DA6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725A98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296A8F91">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63AED18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301407D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4D904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4D5ACEF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5CBA0F3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30</w:t>
            </w:r>
          </w:p>
          <w:p w14:paraId="436925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p>
        </w:tc>
        <w:tc>
          <w:tcPr>
            <w:tcW w:w="1040" w:type="pct"/>
            <w:noWrap w:val="0"/>
            <w:vAlign w:val="center"/>
          </w:tcPr>
          <w:p w14:paraId="581980B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634BB3D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3DF32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2E262C5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64626C5A">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18B9C2F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09B001B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5F90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6E2CB609">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62490A3F">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5BC96FB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53221A8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76783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7CD1ECB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00224F71">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2F28F9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3F9FDEA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79DE4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4D8F826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restart"/>
            <w:noWrap w:val="0"/>
            <w:vAlign w:val="center"/>
          </w:tcPr>
          <w:p w14:paraId="43125F9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202</w:t>
            </w:r>
            <w:r>
              <w:rPr>
                <w:rFonts w:hint="eastAsia" w:ascii="Times New Roman" w:hAnsi="Times New Roman" w:eastAsia="宋体" w:cs="Times New Roman"/>
                <w:color w:val="auto"/>
                <w:sz w:val="21"/>
                <w:szCs w:val="21"/>
                <w:u w:val="single" w:color="auto"/>
                <w:lang w:val="en-US" w:eastAsia="zh-CN"/>
              </w:rPr>
              <w:t>5</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8</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31</w:t>
            </w:r>
          </w:p>
        </w:tc>
        <w:tc>
          <w:tcPr>
            <w:tcW w:w="1040" w:type="pct"/>
            <w:noWrap w:val="0"/>
            <w:vAlign w:val="center"/>
          </w:tcPr>
          <w:p w14:paraId="2222396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02：00</w:t>
            </w:r>
          </w:p>
        </w:tc>
        <w:tc>
          <w:tcPr>
            <w:tcW w:w="1343" w:type="pct"/>
            <w:noWrap w:val="0"/>
            <w:vAlign w:val="center"/>
          </w:tcPr>
          <w:p w14:paraId="210327F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61F4A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7B7666A6">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35E71880">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4A43AC6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08：00</w:t>
            </w:r>
          </w:p>
        </w:tc>
        <w:tc>
          <w:tcPr>
            <w:tcW w:w="1343" w:type="pct"/>
            <w:noWrap w:val="0"/>
            <w:vAlign w:val="center"/>
          </w:tcPr>
          <w:p w14:paraId="69461E29">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7CC61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11E20D0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017E692F">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3B65D53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14：00</w:t>
            </w:r>
          </w:p>
        </w:tc>
        <w:tc>
          <w:tcPr>
            <w:tcW w:w="1343" w:type="pct"/>
            <w:noWrap w:val="0"/>
            <w:vAlign w:val="center"/>
          </w:tcPr>
          <w:p w14:paraId="39FC6A84">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r w14:paraId="6EEF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 w:type="pct"/>
            <w:vMerge w:val="continue"/>
            <w:noWrap w:val="0"/>
            <w:vAlign w:val="center"/>
          </w:tcPr>
          <w:p w14:paraId="7D77990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0"/>
                <w:sz w:val="21"/>
                <w:szCs w:val="21"/>
                <w:u w:val="single" w:color="auto"/>
              </w:rPr>
            </w:pPr>
          </w:p>
        </w:tc>
        <w:tc>
          <w:tcPr>
            <w:tcW w:w="1698" w:type="pct"/>
            <w:vMerge w:val="continue"/>
            <w:noWrap w:val="0"/>
            <w:vAlign w:val="center"/>
          </w:tcPr>
          <w:p w14:paraId="5F13F50A">
            <w:pPr>
              <w:pStyle w:val="16"/>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u w:val="single" w:color="auto"/>
              </w:rPr>
            </w:pPr>
          </w:p>
        </w:tc>
        <w:tc>
          <w:tcPr>
            <w:tcW w:w="1040" w:type="pct"/>
            <w:noWrap w:val="0"/>
            <w:vAlign w:val="center"/>
          </w:tcPr>
          <w:p w14:paraId="1EDA732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lang w:val="en-US" w:eastAsia="zh-CN"/>
              </w:rPr>
              <w:t>20：00</w:t>
            </w:r>
          </w:p>
        </w:tc>
        <w:tc>
          <w:tcPr>
            <w:tcW w:w="1343" w:type="pct"/>
            <w:noWrap w:val="0"/>
            <w:vAlign w:val="center"/>
          </w:tcPr>
          <w:p w14:paraId="2BA75EC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u w:val="single" w:color="auto"/>
                <w:lang w:bidi="ar"/>
              </w:rPr>
            </w:pPr>
          </w:p>
        </w:tc>
      </w:tr>
    </w:tbl>
    <w:p w14:paraId="5D71F583">
      <w:pPr>
        <w:autoSpaceDE w:val="0"/>
        <w:autoSpaceDN w:val="0"/>
        <w:spacing w:line="360" w:lineRule="auto"/>
        <w:ind w:firstLine="420" w:firstLineChars="200"/>
        <w:jc w:val="left"/>
        <w:rPr>
          <w:rFonts w:ascii="Times New Roman" w:hAnsi="Times New Roman" w:eastAsia="宋体" w:cs="Times New Roman"/>
          <w:color w:val="auto"/>
          <w:u w:val="none" w:color="auto"/>
        </w:rPr>
      </w:pPr>
    </w:p>
    <w:p w14:paraId="7D4F7272">
      <w:pPr>
        <w:pStyle w:val="65"/>
        <w:spacing w:line="240" w:lineRule="auto"/>
        <w:rPr>
          <w:color w:val="auto"/>
          <w:sz w:val="21"/>
          <w:szCs w:val="21"/>
          <w:u w:val="none" w:color="auto"/>
        </w:rPr>
      </w:pPr>
      <w:r>
        <w:rPr>
          <w:rFonts w:hint="eastAsia"/>
          <w:color w:val="auto"/>
          <w:u w:val="none" w:color="auto"/>
        </w:rPr>
        <w:t>表3.2-</w:t>
      </w:r>
      <w:r>
        <w:rPr>
          <w:rFonts w:hint="eastAsia"/>
          <w:color w:val="auto"/>
          <w:u w:val="none" w:color="auto"/>
          <w:lang w:val="en-US" w:eastAsia="zh-CN"/>
        </w:rPr>
        <w:t>8</w:t>
      </w:r>
      <w:r>
        <w:rPr>
          <w:rFonts w:hint="eastAsia"/>
          <w:color w:val="auto"/>
          <w:u w:val="none" w:color="auto"/>
        </w:rPr>
        <w:t xml:space="preserve"> 日均值监测结果  </w:t>
      </w:r>
      <w:r>
        <w:rPr>
          <w:rFonts w:hint="eastAsia"/>
          <w:color w:val="auto"/>
          <w:sz w:val="21"/>
          <w:szCs w:val="21"/>
          <w:u w:val="none" w:color="auto"/>
        </w:rPr>
        <w:t>单位：mg/m</w:t>
      </w:r>
      <w:r>
        <w:rPr>
          <w:rFonts w:hint="eastAsia"/>
          <w:color w:val="auto"/>
          <w:sz w:val="21"/>
          <w:szCs w:val="21"/>
          <w:u w:val="none" w:color="auto"/>
          <w:vertAlign w:val="superscript"/>
        </w:rPr>
        <w:t>3</w:t>
      </w:r>
    </w:p>
    <w:tbl>
      <w:tblPr>
        <w:tblStyle w:val="37"/>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0"/>
        <w:gridCol w:w="2574"/>
        <w:gridCol w:w="4666"/>
      </w:tblGrid>
      <w:tr w14:paraId="07BF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restart"/>
            <w:vAlign w:val="center"/>
          </w:tcPr>
          <w:p w14:paraId="0FFBACAD">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监测点位</w:t>
            </w:r>
          </w:p>
        </w:tc>
        <w:tc>
          <w:tcPr>
            <w:tcW w:w="2574" w:type="dxa"/>
            <w:vMerge w:val="restart"/>
            <w:vAlign w:val="center"/>
          </w:tcPr>
          <w:p w14:paraId="0420175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监测日期</w:t>
            </w:r>
          </w:p>
        </w:tc>
        <w:tc>
          <w:tcPr>
            <w:tcW w:w="4666" w:type="dxa"/>
            <w:vAlign w:val="center"/>
          </w:tcPr>
          <w:p w14:paraId="5B0DD8E2">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监测结果</w:t>
            </w:r>
          </w:p>
        </w:tc>
      </w:tr>
      <w:tr w14:paraId="5A0EE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6AA2FEE7">
            <w:pPr>
              <w:jc w:val="center"/>
              <w:rPr>
                <w:rFonts w:ascii="Times New Roman" w:hAnsi="Times New Roman" w:eastAsia="宋体" w:cs="Times New Roman"/>
                <w:color w:val="auto"/>
                <w:szCs w:val="21"/>
                <w:u w:val="none" w:color="auto"/>
              </w:rPr>
            </w:pPr>
          </w:p>
        </w:tc>
        <w:tc>
          <w:tcPr>
            <w:tcW w:w="2574" w:type="dxa"/>
            <w:vMerge w:val="continue"/>
            <w:vAlign w:val="center"/>
          </w:tcPr>
          <w:p w14:paraId="7549FAF1">
            <w:pPr>
              <w:jc w:val="center"/>
              <w:rPr>
                <w:rFonts w:ascii="Times New Roman" w:hAnsi="Times New Roman" w:eastAsia="宋体" w:cs="Times New Roman"/>
                <w:color w:val="auto"/>
                <w:szCs w:val="21"/>
                <w:u w:val="none" w:color="auto"/>
              </w:rPr>
            </w:pPr>
          </w:p>
        </w:tc>
        <w:tc>
          <w:tcPr>
            <w:tcW w:w="4666" w:type="dxa"/>
            <w:vAlign w:val="center"/>
          </w:tcPr>
          <w:p w14:paraId="6CB6CD8D">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TSP</w:t>
            </w:r>
          </w:p>
        </w:tc>
      </w:tr>
      <w:tr w14:paraId="77959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restart"/>
            <w:vAlign w:val="center"/>
          </w:tcPr>
          <w:p w14:paraId="29430B3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G1项目场地</w:t>
            </w:r>
          </w:p>
        </w:tc>
        <w:tc>
          <w:tcPr>
            <w:tcW w:w="2574" w:type="dxa"/>
            <w:vAlign w:val="center"/>
          </w:tcPr>
          <w:p w14:paraId="217FC175">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2024.10.16</w:t>
            </w:r>
          </w:p>
        </w:tc>
        <w:tc>
          <w:tcPr>
            <w:tcW w:w="4666" w:type="dxa"/>
            <w:vAlign w:val="center"/>
          </w:tcPr>
          <w:p w14:paraId="31C46AC2">
            <w:pPr>
              <w:widowControl/>
              <w:jc w:val="center"/>
              <w:textAlignment w:val="center"/>
              <w:rPr>
                <w:rFonts w:ascii="Times New Roman" w:hAnsi="Times New Roman" w:eastAsia="宋体" w:cs="Times New Roman"/>
                <w:color w:val="auto"/>
                <w:kern w:val="0"/>
                <w:szCs w:val="21"/>
                <w:u w:val="none" w:color="auto"/>
                <w:lang w:bidi="ar"/>
              </w:rPr>
            </w:pPr>
          </w:p>
        </w:tc>
      </w:tr>
      <w:tr w14:paraId="06BEE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461A28F5">
            <w:pPr>
              <w:jc w:val="center"/>
              <w:rPr>
                <w:rFonts w:ascii="Times New Roman" w:hAnsi="Times New Roman" w:eastAsia="宋体" w:cs="Times New Roman"/>
                <w:color w:val="auto"/>
                <w:szCs w:val="21"/>
                <w:u w:val="none" w:color="auto"/>
              </w:rPr>
            </w:pPr>
          </w:p>
        </w:tc>
        <w:tc>
          <w:tcPr>
            <w:tcW w:w="2574" w:type="dxa"/>
            <w:vAlign w:val="center"/>
          </w:tcPr>
          <w:p w14:paraId="5090ADE3">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2024.10.17</w:t>
            </w:r>
          </w:p>
        </w:tc>
        <w:tc>
          <w:tcPr>
            <w:tcW w:w="4666" w:type="dxa"/>
            <w:vAlign w:val="center"/>
          </w:tcPr>
          <w:p w14:paraId="3ECEC46D">
            <w:pPr>
              <w:widowControl/>
              <w:jc w:val="center"/>
              <w:textAlignment w:val="center"/>
              <w:rPr>
                <w:rFonts w:ascii="Times New Roman" w:hAnsi="Times New Roman" w:eastAsia="宋体" w:cs="Times New Roman"/>
                <w:color w:val="auto"/>
                <w:kern w:val="0"/>
                <w:szCs w:val="21"/>
                <w:u w:val="none" w:color="auto"/>
                <w:lang w:bidi="ar"/>
              </w:rPr>
            </w:pPr>
          </w:p>
        </w:tc>
      </w:tr>
      <w:tr w14:paraId="79558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2A41E2A2">
            <w:pPr>
              <w:jc w:val="center"/>
              <w:rPr>
                <w:rFonts w:ascii="Times New Roman" w:hAnsi="Times New Roman" w:eastAsia="宋体" w:cs="Times New Roman"/>
                <w:color w:val="auto"/>
                <w:szCs w:val="21"/>
                <w:u w:val="none" w:color="auto"/>
              </w:rPr>
            </w:pPr>
          </w:p>
        </w:tc>
        <w:tc>
          <w:tcPr>
            <w:tcW w:w="2574" w:type="dxa"/>
            <w:vAlign w:val="center"/>
          </w:tcPr>
          <w:p w14:paraId="6DFC535D">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2024.10.18</w:t>
            </w:r>
          </w:p>
        </w:tc>
        <w:tc>
          <w:tcPr>
            <w:tcW w:w="4666" w:type="dxa"/>
            <w:vAlign w:val="center"/>
          </w:tcPr>
          <w:p w14:paraId="40AE61B3">
            <w:pPr>
              <w:widowControl/>
              <w:jc w:val="center"/>
              <w:textAlignment w:val="center"/>
              <w:rPr>
                <w:rFonts w:ascii="Times New Roman" w:hAnsi="Times New Roman" w:eastAsia="宋体" w:cs="Times New Roman"/>
                <w:color w:val="auto"/>
                <w:kern w:val="0"/>
                <w:szCs w:val="21"/>
                <w:u w:val="none" w:color="auto"/>
                <w:lang w:bidi="ar"/>
              </w:rPr>
            </w:pPr>
          </w:p>
        </w:tc>
      </w:tr>
      <w:tr w14:paraId="634D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370A77EE">
            <w:pPr>
              <w:jc w:val="center"/>
              <w:rPr>
                <w:rFonts w:ascii="Times New Roman" w:hAnsi="Times New Roman" w:eastAsia="宋体" w:cs="Times New Roman"/>
                <w:color w:val="auto"/>
                <w:szCs w:val="21"/>
                <w:u w:val="none" w:color="auto"/>
              </w:rPr>
            </w:pPr>
          </w:p>
        </w:tc>
        <w:tc>
          <w:tcPr>
            <w:tcW w:w="2574" w:type="dxa"/>
            <w:vAlign w:val="center"/>
          </w:tcPr>
          <w:p w14:paraId="55E6C24A">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2024.10.19</w:t>
            </w:r>
          </w:p>
        </w:tc>
        <w:tc>
          <w:tcPr>
            <w:tcW w:w="4666" w:type="dxa"/>
            <w:vAlign w:val="center"/>
          </w:tcPr>
          <w:p w14:paraId="59D9AFCD">
            <w:pPr>
              <w:widowControl/>
              <w:jc w:val="center"/>
              <w:textAlignment w:val="center"/>
              <w:rPr>
                <w:rFonts w:ascii="Times New Roman" w:hAnsi="Times New Roman" w:eastAsia="宋体" w:cs="Times New Roman"/>
                <w:color w:val="auto"/>
                <w:kern w:val="0"/>
                <w:szCs w:val="21"/>
                <w:u w:val="none" w:color="auto"/>
                <w:lang w:bidi="ar"/>
              </w:rPr>
            </w:pPr>
          </w:p>
        </w:tc>
      </w:tr>
      <w:tr w14:paraId="1BE27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14969668">
            <w:pPr>
              <w:spacing w:line="240" w:lineRule="exact"/>
              <w:jc w:val="center"/>
              <w:rPr>
                <w:rFonts w:ascii="Times New Roman" w:hAnsi="Times New Roman" w:eastAsia="宋体" w:cs="Times New Roman"/>
                <w:color w:val="auto"/>
                <w:szCs w:val="21"/>
                <w:u w:val="none" w:color="auto"/>
              </w:rPr>
            </w:pPr>
          </w:p>
        </w:tc>
        <w:tc>
          <w:tcPr>
            <w:tcW w:w="2574" w:type="dxa"/>
            <w:vAlign w:val="center"/>
          </w:tcPr>
          <w:p w14:paraId="58ACA63B">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2024.10.20</w:t>
            </w:r>
          </w:p>
        </w:tc>
        <w:tc>
          <w:tcPr>
            <w:tcW w:w="4666" w:type="dxa"/>
            <w:vAlign w:val="center"/>
          </w:tcPr>
          <w:p w14:paraId="57B0A819">
            <w:pPr>
              <w:widowControl/>
              <w:jc w:val="center"/>
              <w:textAlignment w:val="center"/>
              <w:rPr>
                <w:rFonts w:ascii="Times New Roman" w:hAnsi="Times New Roman" w:eastAsia="宋体" w:cs="Times New Roman"/>
                <w:color w:val="auto"/>
                <w:kern w:val="0"/>
                <w:szCs w:val="21"/>
                <w:u w:val="none" w:color="auto"/>
                <w:lang w:bidi="ar"/>
              </w:rPr>
            </w:pPr>
          </w:p>
        </w:tc>
      </w:tr>
      <w:tr w14:paraId="28A2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0AB49099">
            <w:pPr>
              <w:jc w:val="center"/>
              <w:rPr>
                <w:rFonts w:ascii="Times New Roman" w:hAnsi="Times New Roman" w:eastAsia="宋体" w:cs="Times New Roman"/>
                <w:color w:val="auto"/>
                <w:szCs w:val="21"/>
                <w:u w:val="none" w:color="auto"/>
              </w:rPr>
            </w:pPr>
          </w:p>
        </w:tc>
        <w:tc>
          <w:tcPr>
            <w:tcW w:w="2574" w:type="dxa"/>
            <w:vAlign w:val="center"/>
          </w:tcPr>
          <w:p w14:paraId="67F466B3">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2024.10.21</w:t>
            </w:r>
          </w:p>
        </w:tc>
        <w:tc>
          <w:tcPr>
            <w:tcW w:w="4666" w:type="dxa"/>
            <w:vAlign w:val="center"/>
          </w:tcPr>
          <w:p w14:paraId="3008E04A">
            <w:pPr>
              <w:widowControl/>
              <w:jc w:val="center"/>
              <w:textAlignment w:val="center"/>
              <w:rPr>
                <w:rFonts w:ascii="Times New Roman" w:hAnsi="Times New Roman" w:eastAsia="宋体" w:cs="Times New Roman"/>
                <w:color w:val="auto"/>
                <w:kern w:val="0"/>
                <w:szCs w:val="21"/>
                <w:u w:val="none" w:color="auto"/>
                <w:lang w:bidi="ar"/>
              </w:rPr>
            </w:pPr>
          </w:p>
        </w:tc>
      </w:tr>
      <w:tr w14:paraId="2BA3D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dxa"/>
            <w:vMerge w:val="continue"/>
            <w:vAlign w:val="center"/>
          </w:tcPr>
          <w:p w14:paraId="12D62D54">
            <w:pPr>
              <w:jc w:val="center"/>
              <w:rPr>
                <w:rFonts w:ascii="Times New Roman" w:hAnsi="Times New Roman" w:eastAsia="宋体" w:cs="Times New Roman"/>
                <w:color w:val="auto"/>
                <w:szCs w:val="21"/>
                <w:u w:val="none" w:color="auto"/>
              </w:rPr>
            </w:pPr>
          </w:p>
        </w:tc>
        <w:tc>
          <w:tcPr>
            <w:tcW w:w="2574" w:type="dxa"/>
            <w:vAlign w:val="center"/>
          </w:tcPr>
          <w:p w14:paraId="71E9B373">
            <w:pPr>
              <w:adjustRightInd w:val="0"/>
              <w:snapToGrid w:val="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 w:val="24"/>
                <w:u w:val="none" w:color="auto"/>
                <w:lang w:val="en-US" w:eastAsia="zh-CN"/>
              </w:rPr>
              <w:t>2024.10.22</w:t>
            </w:r>
          </w:p>
        </w:tc>
        <w:tc>
          <w:tcPr>
            <w:tcW w:w="4666" w:type="dxa"/>
            <w:vAlign w:val="center"/>
          </w:tcPr>
          <w:p w14:paraId="293AD015">
            <w:pPr>
              <w:widowControl/>
              <w:jc w:val="center"/>
              <w:textAlignment w:val="center"/>
              <w:rPr>
                <w:rFonts w:ascii="Times New Roman" w:hAnsi="Times New Roman" w:eastAsia="宋体" w:cs="Times New Roman"/>
                <w:color w:val="auto"/>
                <w:kern w:val="0"/>
                <w:szCs w:val="21"/>
                <w:u w:val="none" w:color="auto"/>
                <w:lang w:bidi="ar"/>
              </w:rPr>
            </w:pPr>
          </w:p>
        </w:tc>
      </w:tr>
    </w:tbl>
    <w:p w14:paraId="67FFECD1">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5、监测结果评价</w:t>
      </w:r>
    </w:p>
    <w:p w14:paraId="28A9D822">
      <w:pPr>
        <w:autoSpaceDE w:val="0"/>
        <w:autoSpaceDN w:val="0"/>
        <w:spacing w:line="360" w:lineRule="auto"/>
        <w:ind w:firstLine="482" w:firstLineChars="200"/>
        <w:jc w:val="left"/>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（1）评价方法</w:t>
      </w:r>
    </w:p>
    <w:p w14:paraId="09DD386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采用单因子指数法进行评价，分析评价因子小时浓度和日均浓度值变化范围、超标率及变化规律。其表达式为：</w:t>
      </w:r>
    </w:p>
    <w:p w14:paraId="4E155AB4">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676275" cy="25717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676275" cy="257175"/>
                    </a:xfrm>
                    <a:prstGeom prst="rect">
                      <a:avLst/>
                    </a:prstGeom>
                    <a:noFill/>
                    <a:ln>
                      <a:noFill/>
                    </a:ln>
                  </pic:spPr>
                </pic:pic>
              </a:graphicData>
            </a:graphic>
          </wp:inline>
        </w:drawing>
      </w:r>
    </w:p>
    <w:p w14:paraId="07AFBD0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式中：Pi，j—i类污染物单因子指数，无量纲；</w:t>
      </w:r>
    </w:p>
    <w:p w14:paraId="5E7CA62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Ci，j—i类污染物实测浓度，mg/Nm</w:t>
      </w:r>
      <w:r>
        <w:rPr>
          <w:rFonts w:ascii="Times New Roman" w:hAnsi="Times New Roman" w:eastAsia="宋体" w:cs="Times New Roman"/>
          <w:color w:val="auto"/>
          <w:sz w:val="24"/>
          <w:u w:val="none" w:color="auto"/>
          <w:vertAlign w:val="superscript"/>
        </w:rPr>
        <w:t>3</w:t>
      </w:r>
      <w:r>
        <w:rPr>
          <w:rFonts w:ascii="Times New Roman" w:hAnsi="Times New Roman" w:eastAsia="宋体" w:cs="Times New Roman"/>
          <w:color w:val="auto"/>
          <w:sz w:val="24"/>
          <w:u w:val="none" w:color="auto"/>
        </w:rPr>
        <w:t>；</w:t>
      </w:r>
    </w:p>
    <w:p w14:paraId="7CE594BF">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Csi—i类污染物的评价标准值，mg/Nm</w:t>
      </w:r>
      <w:r>
        <w:rPr>
          <w:rFonts w:ascii="Times New Roman" w:hAnsi="Times New Roman" w:eastAsia="宋体" w:cs="Times New Roman"/>
          <w:color w:val="auto"/>
          <w:sz w:val="24"/>
          <w:u w:val="none" w:color="auto"/>
          <w:vertAlign w:val="superscript"/>
        </w:rPr>
        <w:t>3</w:t>
      </w:r>
      <w:r>
        <w:rPr>
          <w:rFonts w:ascii="Times New Roman" w:hAnsi="Times New Roman" w:eastAsia="宋体" w:cs="Times New Roman"/>
          <w:color w:val="auto"/>
          <w:sz w:val="24"/>
          <w:u w:val="none" w:color="auto"/>
        </w:rPr>
        <w:t>。</w:t>
      </w:r>
    </w:p>
    <w:p w14:paraId="1D0D843D">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当Pi，j≤1时说明环境质量达标，Pi，j＞1小，环境质量超标。</w:t>
      </w:r>
    </w:p>
    <w:p w14:paraId="2D28932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根据污染物单因子指数计算结果，分析环境空气现状质量是否满足所在区域功能区划的要求，为项目实施对环境空气的影响分析提供依据。</w:t>
      </w:r>
    </w:p>
    <w:p w14:paraId="012A3B9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（2）评价结果</w:t>
      </w:r>
    </w:p>
    <w:p w14:paraId="3565C95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本次现状监测评价结果见表</w:t>
      </w:r>
      <w:r>
        <w:rPr>
          <w:rFonts w:hint="eastAsia" w:ascii="Times New Roman" w:hAnsi="Times New Roman" w:eastAsia="宋体" w:cs="Times New Roman"/>
          <w:color w:val="auto"/>
          <w:sz w:val="24"/>
          <w:u w:val="none" w:color="auto"/>
        </w:rPr>
        <w:t>3</w:t>
      </w:r>
      <w:r>
        <w:rPr>
          <w:rFonts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rPr>
        <w:t>8</w:t>
      </w:r>
      <w:r>
        <w:rPr>
          <w:rFonts w:ascii="Times New Roman" w:hAnsi="Times New Roman" w:eastAsia="宋体" w:cs="Times New Roman"/>
          <w:color w:val="auto"/>
          <w:sz w:val="24"/>
          <w:u w:val="none" w:color="auto"/>
        </w:rPr>
        <w:t>。</w:t>
      </w:r>
    </w:p>
    <w:p w14:paraId="1817C3B7">
      <w:pPr>
        <w:widowControl/>
        <w:jc w:val="center"/>
        <w:rPr>
          <w:rFonts w:ascii="Times New Roman" w:hAnsi="Times New Roman" w:cs="Times New Roman"/>
          <w:color w:val="auto"/>
          <w:szCs w:val="21"/>
          <w:u w:val="none" w:color="auto"/>
        </w:rPr>
      </w:pPr>
      <w:r>
        <w:rPr>
          <w:rFonts w:ascii="Times New Roman" w:hAnsi="Times New Roman" w:eastAsia="宋体" w:cs="Times New Roman"/>
          <w:b/>
          <w:bCs/>
          <w:color w:val="auto"/>
          <w:szCs w:val="21"/>
          <w:u w:val="none" w:color="auto"/>
        </w:rPr>
        <w:t>表</w:t>
      </w:r>
      <w:r>
        <w:rPr>
          <w:rFonts w:hint="eastAsia" w:ascii="Times New Roman" w:hAnsi="Times New Roman" w:eastAsia="宋体" w:cs="Times New Roman"/>
          <w:b/>
          <w:bCs/>
          <w:color w:val="auto"/>
          <w:szCs w:val="21"/>
          <w:u w:val="none" w:color="auto"/>
        </w:rPr>
        <w:t>3</w:t>
      </w:r>
      <w:r>
        <w:rPr>
          <w:rFonts w:ascii="Times New Roman" w:hAnsi="Times New Roman" w:eastAsia="宋体" w:cs="Times New Roman"/>
          <w:b/>
          <w:bCs/>
          <w:color w:val="auto"/>
          <w:szCs w:val="21"/>
          <w:u w:val="none" w:color="auto"/>
        </w:rPr>
        <w:t>.2-</w:t>
      </w:r>
      <w:r>
        <w:rPr>
          <w:rFonts w:hint="eastAsia" w:ascii="Times New Roman" w:hAnsi="Times New Roman" w:eastAsia="宋体" w:cs="Times New Roman"/>
          <w:b/>
          <w:bCs/>
          <w:color w:val="auto"/>
          <w:szCs w:val="21"/>
          <w:u w:val="none" w:color="auto"/>
        </w:rPr>
        <w:t>8</w:t>
      </w:r>
      <w:r>
        <w:rPr>
          <w:rFonts w:ascii="Times New Roman" w:hAnsi="Times New Roman" w:eastAsia="宋体" w:cs="Times New Roman"/>
          <w:b/>
          <w:bCs/>
          <w:color w:val="auto"/>
          <w:szCs w:val="21"/>
          <w:u w:val="none" w:color="auto"/>
        </w:rPr>
        <w:t xml:space="preserve">  特征污染物现状评价结果分析表</w:t>
      </w:r>
    </w:p>
    <w:tbl>
      <w:tblPr>
        <w:tblStyle w:val="37"/>
        <w:tblW w:w="87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320"/>
        <w:gridCol w:w="1325"/>
        <w:gridCol w:w="965"/>
        <w:gridCol w:w="1325"/>
        <w:gridCol w:w="1494"/>
        <w:gridCol w:w="711"/>
        <w:gridCol w:w="755"/>
      </w:tblGrid>
      <w:tr w14:paraId="1EEAF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19" w:type="dxa"/>
            <w:vMerge w:val="restart"/>
            <w:vAlign w:val="center"/>
          </w:tcPr>
          <w:p w14:paraId="657AAD1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监测</w:t>
            </w:r>
          </w:p>
          <w:p w14:paraId="3F6912C7">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点位</w:t>
            </w:r>
          </w:p>
        </w:tc>
        <w:tc>
          <w:tcPr>
            <w:tcW w:w="1320" w:type="dxa"/>
            <w:vMerge w:val="restart"/>
            <w:vAlign w:val="center"/>
          </w:tcPr>
          <w:p w14:paraId="3376168E">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污染物</w:t>
            </w:r>
          </w:p>
        </w:tc>
        <w:tc>
          <w:tcPr>
            <w:tcW w:w="1325" w:type="dxa"/>
            <w:vMerge w:val="restart"/>
            <w:vAlign w:val="center"/>
          </w:tcPr>
          <w:p w14:paraId="2FDDAB2C">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平均</w:t>
            </w:r>
          </w:p>
          <w:p w14:paraId="3E31C69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时间</w:t>
            </w:r>
          </w:p>
        </w:tc>
        <w:tc>
          <w:tcPr>
            <w:tcW w:w="965" w:type="dxa"/>
            <w:vMerge w:val="restart"/>
            <w:vAlign w:val="center"/>
          </w:tcPr>
          <w:p w14:paraId="4F56B13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评价标准mg/m</w:t>
            </w:r>
            <w:r>
              <w:rPr>
                <w:rFonts w:ascii="Times New Roman" w:hAnsi="Times New Roman" w:eastAsia="宋体" w:cs="Times New Roman"/>
                <w:color w:val="auto"/>
                <w:szCs w:val="21"/>
                <w:u w:val="none" w:color="auto"/>
                <w:vertAlign w:val="superscript"/>
              </w:rPr>
              <w:t>3</w:t>
            </w:r>
          </w:p>
        </w:tc>
        <w:tc>
          <w:tcPr>
            <w:tcW w:w="1325" w:type="dxa"/>
            <w:vMerge w:val="restart"/>
            <w:vAlign w:val="center"/>
          </w:tcPr>
          <w:p w14:paraId="356F55A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监测浓度范围mg/m</w:t>
            </w:r>
            <w:r>
              <w:rPr>
                <w:rFonts w:ascii="Times New Roman" w:hAnsi="Times New Roman" w:eastAsia="宋体" w:cs="Times New Roman"/>
                <w:color w:val="auto"/>
                <w:szCs w:val="21"/>
                <w:u w:val="none" w:color="auto"/>
                <w:vertAlign w:val="superscript"/>
              </w:rPr>
              <w:t>3</w:t>
            </w:r>
          </w:p>
        </w:tc>
        <w:tc>
          <w:tcPr>
            <w:tcW w:w="1494" w:type="dxa"/>
            <w:vMerge w:val="restart"/>
            <w:vAlign w:val="center"/>
          </w:tcPr>
          <w:p w14:paraId="454A7BC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浓度占标率</w:t>
            </w:r>
          </w:p>
        </w:tc>
        <w:tc>
          <w:tcPr>
            <w:tcW w:w="711" w:type="dxa"/>
            <w:vMerge w:val="restart"/>
            <w:vAlign w:val="center"/>
          </w:tcPr>
          <w:p w14:paraId="2660B66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超标率%</w:t>
            </w:r>
          </w:p>
        </w:tc>
        <w:tc>
          <w:tcPr>
            <w:tcW w:w="755" w:type="dxa"/>
            <w:vMerge w:val="restart"/>
            <w:vAlign w:val="center"/>
          </w:tcPr>
          <w:p w14:paraId="6EEFCE1E">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达标</w:t>
            </w:r>
          </w:p>
          <w:p w14:paraId="7339DCE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情况</w:t>
            </w:r>
          </w:p>
        </w:tc>
      </w:tr>
      <w:tr w14:paraId="4B8BE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19" w:type="dxa"/>
            <w:vMerge w:val="continue"/>
            <w:vAlign w:val="center"/>
          </w:tcPr>
          <w:p w14:paraId="3C20DB28">
            <w:pPr>
              <w:adjustRightInd w:val="0"/>
              <w:snapToGrid w:val="0"/>
              <w:jc w:val="center"/>
              <w:rPr>
                <w:rFonts w:ascii="Times New Roman" w:hAnsi="Times New Roman" w:eastAsia="宋体" w:cs="Times New Roman"/>
                <w:color w:val="auto"/>
                <w:szCs w:val="21"/>
                <w:u w:val="none" w:color="auto"/>
              </w:rPr>
            </w:pPr>
          </w:p>
        </w:tc>
        <w:tc>
          <w:tcPr>
            <w:tcW w:w="1320" w:type="dxa"/>
            <w:vMerge w:val="continue"/>
            <w:vAlign w:val="center"/>
          </w:tcPr>
          <w:p w14:paraId="3A863CEF">
            <w:pPr>
              <w:adjustRightInd w:val="0"/>
              <w:snapToGrid w:val="0"/>
              <w:jc w:val="center"/>
              <w:rPr>
                <w:rFonts w:ascii="Times New Roman" w:hAnsi="Times New Roman" w:eastAsia="宋体" w:cs="Times New Roman"/>
                <w:color w:val="auto"/>
                <w:szCs w:val="21"/>
                <w:u w:val="none" w:color="auto"/>
              </w:rPr>
            </w:pPr>
          </w:p>
        </w:tc>
        <w:tc>
          <w:tcPr>
            <w:tcW w:w="1325" w:type="dxa"/>
            <w:vMerge w:val="continue"/>
            <w:vAlign w:val="center"/>
          </w:tcPr>
          <w:p w14:paraId="1E0BEA64">
            <w:pPr>
              <w:adjustRightInd w:val="0"/>
              <w:snapToGrid w:val="0"/>
              <w:jc w:val="center"/>
              <w:rPr>
                <w:rFonts w:ascii="Times New Roman" w:hAnsi="Times New Roman" w:eastAsia="宋体" w:cs="Times New Roman"/>
                <w:color w:val="auto"/>
                <w:szCs w:val="21"/>
                <w:u w:val="none" w:color="auto"/>
              </w:rPr>
            </w:pPr>
          </w:p>
        </w:tc>
        <w:tc>
          <w:tcPr>
            <w:tcW w:w="965" w:type="dxa"/>
            <w:vMerge w:val="continue"/>
            <w:vAlign w:val="center"/>
          </w:tcPr>
          <w:p w14:paraId="1B083DDF">
            <w:pPr>
              <w:adjustRightInd w:val="0"/>
              <w:snapToGrid w:val="0"/>
              <w:jc w:val="center"/>
              <w:rPr>
                <w:rFonts w:ascii="Times New Roman" w:hAnsi="Times New Roman" w:eastAsia="宋体" w:cs="Times New Roman"/>
                <w:color w:val="auto"/>
                <w:szCs w:val="21"/>
                <w:u w:val="none" w:color="auto"/>
              </w:rPr>
            </w:pPr>
          </w:p>
        </w:tc>
        <w:tc>
          <w:tcPr>
            <w:tcW w:w="1325" w:type="dxa"/>
            <w:vMerge w:val="continue"/>
            <w:vAlign w:val="center"/>
          </w:tcPr>
          <w:p w14:paraId="0366A114">
            <w:pPr>
              <w:adjustRightInd w:val="0"/>
              <w:snapToGrid w:val="0"/>
              <w:jc w:val="center"/>
              <w:rPr>
                <w:rFonts w:ascii="Times New Roman" w:hAnsi="Times New Roman" w:eastAsia="宋体" w:cs="Times New Roman"/>
                <w:color w:val="auto"/>
                <w:szCs w:val="21"/>
                <w:u w:val="none" w:color="auto"/>
              </w:rPr>
            </w:pPr>
          </w:p>
        </w:tc>
        <w:tc>
          <w:tcPr>
            <w:tcW w:w="1494" w:type="dxa"/>
            <w:vMerge w:val="continue"/>
            <w:vAlign w:val="center"/>
          </w:tcPr>
          <w:p w14:paraId="7FED5425">
            <w:pPr>
              <w:adjustRightInd w:val="0"/>
              <w:snapToGrid w:val="0"/>
              <w:jc w:val="center"/>
              <w:rPr>
                <w:rFonts w:ascii="Times New Roman" w:hAnsi="Times New Roman" w:eastAsia="宋体" w:cs="Times New Roman"/>
                <w:color w:val="auto"/>
                <w:szCs w:val="21"/>
                <w:u w:val="none" w:color="auto"/>
              </w:rPr>
            </w:pPr>
          </w:p>
        </w:tc>
        <w:tc>
          <w:tcPr>
            <w:tcW w:w="711" w:type="dxa"/>
            <w:vMerge w:val="continue"/>
            <w:vAlign w:val="center"/>
          </w:tcPr>
          <w:p w14:paraId="69277939">
            <w:pPr>
              <w:adjustRightInd w:val="0"/>
              <w:snapToGrid w:val="0"/>
              <w:jc w:val="center"/>
              <w:rPr>
                <w:rFonts w:ascii="Times New Roman" w:hAnsi="Times New Roman" w:eastAsia="宋体" w:cs="Times New Roman"/>
                <w:color w:val="auto"/>
                <w:szCs w:val="21"/>
                <w:u w:val="none" w:color="auto"/>
              </w:rPr>
            </w:pPr>
          </w:p>
        </w:tc>
        <w:tc>
          <w:tcPr>
            <w:tcW w:w="755" w:type="dxa"/>
            <w:vMerge w:val="continue"/>
            <w:vAlign w:val="center"/>
          </w:tcPr>
          <w:p w14:paraId="5DB4D5B4">
            <w:pPr>
              <w:adjustRightInd w:val="0"/>
              <w:snapToGrid w:val="0"/>
              <w:jc w:val="center"/>
              <w:rPr>
                <w:rFonts w:ascii="Times New Roman" w:hAnsi="Times New Roman" w:eastAsia="宋体" w:cs="Times New Roman"/>
                <w:color w:val="auto"/>
                <w:szCs w:val="21"/>
                <w:u w:val="none" w:color="auto"/>
              </w:rPr>
            </w:pPr>
          </w:p>
        </w:tc>
      </w:tr>
      <w:tr w14:paraId="4DFD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9" w:type="dxa"/>
            <w:vMerge w:val="restart"/>
            <w:vAlign w:val="center"/>
          </w:tcPr>
          <w:p w14:paraId="4DEC75DA">
            <w:pPr>
              <w:autoSpaceDE w:val="0"/>
              <w:autoSpaceDN w:val="0"/>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G1厂址</w:t>
            </w:r>
          </w:p>
        </w:tc>
        <w:tc>
          <w:tcPr>
            <w:tcW w:w="1320" w:type="dxa"/>
            <w:vAlign w:val="center"/>
          </w:tcPr>
          <w:p w14:paraId="3881DF5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TSP</w:t>
            </w:r>
          </w:p>
        </w:tc>
        <w:tc>
          <w:tcPr>
            <w:tcW w:w="1325" w:type="dxa"/>
            <w:vAlign w:val="center"/>
          </w:tcPr>
          <w:p w14:paraId="2265ADC6">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24</w:t>
            </w:r>
            <w:r>
              <w:rPr>
                <w:rFonts w:ascii="Times New Roman" w:hAnsi="Times New Roman" w:eastAsia="宋体" w:cs="Times New Roman"/>
                <w:color w:val="auto"/>
                <w:szCs w:val="21"/>
                <w:u w:val="none" w:color="auto"/>
              </w:rPr>
              <w:t>小时平均</w:t>
            </w:r>
          </w:p>
        </w:tc>
        <w:tc>
          <w:tcPr>
            <w:tcW w:w="965" w:type="dxa"/>
            <w:vAlign w:val="center"/>
          </w:tcPr>
          <w:p w14:paraId="0C119FD2">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0.3</w:t>
            </w:r>
          </w:p>
        </w:tc>
        <w:tc>
          <w:tcPr>
            <w:tcW w:w="1325" w:type="dxa"/>
            <w:vAlign w:val="center"/>
          </w:tcPr>
          <w:p w14:paraId="3FF46C35">
            <w:pPr>
              <w:adjustRightInd w:val="0"/>
              <w:snapToGrid w:val="0"/>
              <w:jc w:val="center"/>
              <w:rPr>
                <w:rFonts w:ascii="Times New Roman" w:hAnsi="Times New Roman" w:eastAsia="宋体" w:cs="Times New Roman"/>
                <w:color w:val="auto"/>
                <w:szCs w:val="21"/>
                <w:u w:val="none" w:color="auto"/>
              </w:rPr>
            </w:pPr>
          </w:p>
        </w:tc>
        <w:tc>
          <w:tcPr>
            <w:tcW w:w="1494" w:type="dxa"/>
            <w:vAlign w:val="center"/>
          </w:tcPr>
          <w:p w14:paraId="4F6B6B54">
            <w:pPr>
              <w:adjustRightInd w:val="0"/>
              <w:snapToGrid w:val="0"/>
              <w:jc w:val="center"/>
              <w:rPr>
                <w:rFonts w:ascii="Times New Roman" w:hAnsi="Times New Roman" w:eastAsia="宋体" w:cs="Times New Roman"/>
                <w:color w:val="auto"/>
                <w:szCs w:val="21"/>
                <w:u w:val="none" w:color="auto"/>
              </w:rPr>
            </w:pPr>
          </w:p>
        </w:tc>
        <w:tc>
          <w:tcPr>
            <w:tcW w:w="711" w:type="dxa"/>
            <w:vAlign w:val="center"/>
          </w:tcPr>
          <w:p w14:paraId="7ED2C97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w:t>
            </w:r>
          </w:p>
        </w:tc>
        <w:tc>
          <w:tcPr>
            <w:tcW w:w="755" w:type="dxa"/>
            <w:vAlign w:val="center"/>
          </w:tcPr>
          <w:p w14:paraId="015CFF1E">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达标</w:t>
            </w:r>
          </w:p>
        </w:tc>
      </w:tr>
      <w:tr w14:paraId="621E3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9" w:type="dxa"/>
            <w:vMerge w:val="continue"/>
            <w:vAlign w:val="center"/>
          </w:tcPr>
          <w:p w14:paraId="0A7C7BB3">
            <w:pPr>
              <w:adjustRightInd w:val="0"/>
              <w:snapToGrid w:val="0"/>
              <w:jc w:val="center"/>
              <w:rPr>
                <w:rFonts w:ascii="Times New Roman" w:hAnsi="Times New Roman" w:eastAsia="宋体" w:cs="Times New Roman"/>
                <w:color w:val="auto"/>
                <w:szCs w:val="21"/>
                <w:u w:val="none" w:color="auto"/>
              </w:rPr>
            </w:pPr>
          </w:p>
        </w:tc>
        <w:tc>
          <w:tcPr>
            <w:tcW w:w="1320" w:type="dxa"/>
            <w:vAlign w:val="center"/>
          </w:tcPr>
          <w:p w14:paraId="0B5CE8F8">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w:t>
            </w:r>
          </w:p>
        </w:tc>
        <w:tc>
          <w:tcPr>
            <w:tcW w:w="1325" w:type="dxa"/>
            <w:vAlign w:val="center"/>
          </w:tcPr>
          <w:p w14:paraId="0A33EB2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1小时平均</w:t>
            </w:r>
          </w:p>
        </w:tc>
        <w:tc>
          <w:tcPr>
            <w:tcW w:w="965" w:type="dxa"/>
            <w:vAlign w:val="center"/>
          </w:tcPr>
          <w:p w14:paraId="3C94E181">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0.2</w:t>
            </w:r>
          </w:p>
        </w:tc>
        <w:tc>
          <w:tcPr>
            <w:tcW w:w="1325" w:type="dxa"/>
            <w:vAlign w:val="center"/>
          </w:tcPr>
          <w:p w14:paraId="70A62B51">
            <w:pPr>
              <w:adjustRightInd w:val="0"/>
              <w:snapToGrid w:val="0"/>
              <w:jc w:val="center"/>
              <w:rPr>
                <w:rFonts w:ascii="Times New Roman" w:hAnsi="Times New Roman" w:eastAsia="宋体" w:cs="Times New Roman"/>
                <w:color w:val="auto"/>
                <w:szCs w:val="21"/>
                <w:u w:val="none" w:color="auto"/>
              </w:rPr>
            </w:pPr>
          </w:p>
        </w:tc>
        <w:tc>
          <w:tcPr>
            <w:tcW w:w="1494" w:type="dxa"/>
            <w:vAlign w:val="center"/>
          </w:tcPr>
          <w:p w14:paraId="52116AC7">
            <w:pPr>
              <w:adjustRightInd w:val="0"/>
              <w:snapToGrid w:val="0"/>
              <w:jc w:val="center"/>
              <w:rPr>
                <w:rFonts w:ascii="Times New Roman" w:hAnsi="Times New Roman" w:eastAsia="宋体" w:cs="Times New Roman"/>
                <w:color w:val="auto"/>
                <w:szCs w:val="21"/>
                <w:u w:val="none" w:color="auto"/>
              </w:rPr>
            </w:pPr>
          </w:p>
        </w:tc>
        <w:tc>
          <w:tcPr>
            <w:tcW w:w="711" w:type="dxa"/>
            <w:vAlign w:val="center"/>
          </w:tcPr>
          <w:p w14:paraId="16F3CFC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w:t>
            </w:r>
          </w:p>
        </w:tc>
        <w:tc>
          <w:tcPr>
            <w:tcW w:w="755" w:type="dxa"/>
            <w:vAlign w:val="center"/>
          </w:tcPr>
          <w:p w14:paraId="4E2CF18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达标</w:t>
            </w:r>
          </w:p>
        </w:tc>
      </w:tr>
      <w:tr w14:paraId="40E47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9" w:type="dxa"/>
            <w:vMerge w:val="continue"/>
            <w:vAlign w:val="center"/>
          </w:tcPr>
          <w:p w14:paraId="7BF07656">
            <w:pPr>
              <w:adjustRightInd w:val="0"/>
              <w:snapToGrid w:val="0"/>
              <w:jc w:val="center"/>
              <w:rPr>
                <w:rFonts w:ascii="Times New Roman" w:hAnsi="Times New Roman" w:eastAsia="宋体" w:cs="Times New Roman"/>
                <w:color w:val="auto"/>
                <w:szCs w:val="21"/>
                <w:u w:val="none" w:color="auto"/>
              </w:rPr>
            </w:pPr>
          </w:p>
        </w:tc>
        <w:tc>
          <w:tcPr>
            <w:tcW w:w="1320" w:type="dxa"/>
            <w:vAlign w:val="center"/>
          </w:tcPr>
          <w:p w14:paraId="2891C31C">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二甲苯</w:t>
            </w:r>
          </w:p>
        </w:tc>
        <w:tc>
          <w:tcPr>
            <w:tcW w:w="1325" w:type="dxa"/>
            <w:vAlign w:val="center"/>
          </w:tcPr>
          <w:p w14:paraId="0DA6C99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1小时平均</w:t>
            </w:r>
          </w:p>
        </w:tc>
        <w:tc>
          <w:tcPr>
            <w:tcW w:w="965" w:type="dxa"/>
            <w:vAlign w:val="center"/>
          </w:tcPr>
          <w:p w14:paraId="1E75C54A">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0.2</w:t>
            </w:r>
          </w:p>
        </w:tc>
        <w:tc>
          <w:tcPr>
            <w:tcW w:w="1325" w:type="dxa"/>
            <w:vAlign w:val="center"/>
          </w:tcPr>
          <w:p w14:paraId="3AB08ABA">
            <w:pPr>
              <w:adjustRightInd w:val="0"/>
              <w:snapToGrid w:val="0"/>
              <w:jc w:val="center"/>
              <w:rPr>
                <w:rFonts w:ascii="Times New Roman" w:hAnsi="Times New Roman" w:eastAsia="宋体" w:cs="Times New Roman"/>
                <w:color w:val="auto"/>
                <w:szCs w:val="21"/>
                <w:u w:val="none" w:color="auto"/>
              </w:rPr>
            </w:pPr>
          </w:p>
        </w:tc>
        <w:tc>
          <w:tcPr>
            <w:tcW w:w="1494" w:type="dxa"/>
            <w:vAlign w:val="center"/>
          </w:tcPr>
          <w:p w14:paraId="703C4720">
            <w:pPr>
              <w:adjustRightInd w:val="0"/>
              <w:snapToGrid w:val="0"/>
              <w:jc w:val="center"/>
              <w:rPr>
                <w:rFonts w:ascii="Times New Roman" w:hAnsi="Times New Roman" w:eastAsia="宋体" w:cs="Times New Roman"/>
                <w:color w:val="auto"/>
                <w:szCs w:val="21"/>
                <w:u w:val="none" w:color="auto"/>
              </w:rPr>
            </w:pPr>
          </w:p>
        </w:tc>
        <w:tc>
          <w:tcPr>
            <w:tcW w:w="711" w:type="dxa"/>
            <w:vAlign w:val="center"/>
          </w:tcPr>
          <w:p w14:paraId="749B6FC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w:t>
            </w:r>
          </w:p>
        </w:tc>
        <w:tc>
          <w:tcPr>
            <w:tcW w:w="755" w:type="dxa"/>
            <w:vAlign w:val="center"/>
          </w:tcPr>
          <w:p w14:paraId="4485E2E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达标</w:t>
            </w:r>
          </w:p>
        </w:tc>
      </w:tr>
      <w:tr w14:paraId="101C3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819" w:type="dxa"/>
            <w:vMerge w:val="continue"/>
            <w:vAlign w:val="center"/>
          </w:tcPr>
          <w:p w14:paraId="44499E17">
            <w:pPr>
              <w:adjustRightInd w:val="0"/>
              <w:snapToGrid w:val="0"/>
              <w:jc w:val="center"/>
              <w:rPr>
                <w:rFonts w:ascii="Times New Roman" w:hAnsi="Times New Roman" w:eastAsia="宋体" w:cs="Times New Roman"/>
                <w:color w:val="auto"/>
                <w:szCs w:val="21"/>
                <w:u w:val="none" w:color="auto"/>
              </w:rPr>
            </w:pPr>
          </w:p>
        </w:tc>
        <w:tc>
          <w:tcPr>
            <w:tcW w:w="1320" w:type="dxa"/>
            <w:vAlign w:val="center"/>
          </w:tcPr>
          <w:p w14:paraId="36080B0A">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非甲烷总烃</w:t>
            </w:r>
          </w:p>
        </w:tc>
        <w:tc>
          <w:tcPr>
            <w:tcW w:w="1325" w:type="dxa"/>
            <w:vAlign w:val="center"/>
          </w:tcPr>
          <w:p w14:paraId="0A82E28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1小时平均</w:t>
            </w:r>
          </w:p>
        </w:tc>
        <w:tc>
          <w:tcPr>
            <w:tcW w:w="965" w:type="dxa"/>
            <w:vAlign w:val="center"/>
          </w:tcPr>
          <w:p w14:paraId="6A8020D2">
            <w:pPr>
              <w:adjustRightInd w:val="0"/>
              <w:snapToGrid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w:t>
            </w:r>
          </w:p>
        </w:tc>
        <w:tc>
          <w:tcPr>
            <w:tcW w:w="1325" w:type="dxa"/>
            <w:vAlign w:val="center"/>
          </w:tcPr>
          <w:p w14:paraId="3A90A811">
            <w:pPr>
              <w:adjustRightInd w:val="0"/>
              <w:snapToGrid w:val="0"/>
              <w:jc w:val="center"/>
              <w:rPr>
                <w:rFonts w:ascii="Times New Roman" w:hAnsi="Times New Roman" w:eastAsia="宋体" w:cs="Times New Roman"/>
                <w:color w:val="auto"/>
                <w:szCs w:val="21"/>
                <w:u w:val="none" w:color="auto"/>
              </w:rPr>
            </w:pPr>
          </w:p>
        </w:tc>
        <w:tc>
          <w:tcPr>
            <w:tcW w:w="1494" w:type="dxa"/>
            <w:vAlign w:val="center"/>
          </w:tcPr>
          <w:p w14:paraId="70F25947">
            <w:pPr>
              <w:adjustRightInd w:val="0"/>
              <w:snapToGrid w:val="0"/>
              <w:jc w:val="center"/>
              <w:rPr>
                <w:rFonts w:ascii="Times New Roman" w:hAnsi="Times New Roman" w:eastAsia="宋体" w:cs="Times New Roman"/>
                <w:color w:val="auto"/>
                <w:szCs w:val="21"/>
                <w:u w:val="none" w:color="auto"/>
              </w:rPr>
            </w:pPr>
          </w:p>
        </w:tc>
        <w:tc>
          <w:tcPr>
            <w:tcW w:w="711" w:type="dxa"/>
            <w:vAlign w:val="center"/>
          </w:tcPr>
          <w:p w14:paraId="3545C8C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w:t>
            </w:r>
          </w:p>
        </w:tc>
        <w:tc>
          <w:tcPr>
            <w:tcW w:w="755" w:type="dxa"/>
            <w:vAlign w:val="center"/>
          </w:tcPr>
          <w:p w14:paraId="3C2EACF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达标</w:t>
            </w:r>
          </w:p>
        </w:tc>
      </w:tr>
      <w:tr w14:paraId="1BDC3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819" w:type="dxa"/>
            <w:vMerge w:val="continue"/>
            <w:vAlign w:val="center"/>
          </w:tcPr>
          <w:p w14:paraId="555478AB">
            <w:pPr>
              <w:adjustRightInd w:val="0"/>
              <w:snapToGrid w:val="0"/>
              <w:jc w:val="center"/>
              <w:rPr>
                <w:color w:val="auto"/>
              </w:rPr>
            </w:pPr>
          </w:p>
        </w:tc>
        <w:tc>
          <w:tcPr>
            <w:tcW w:w="1320" w:type="dxa"/>
            <w:vAlign w:val="center"/>
          </w:tcPr>
          <w:p w14:paraId="04B674E8">
            <w:pPr>
              <w:adjustRightInd w:val="0"/>
              <w:snapToGrid w:val="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臭气浓度</w:t>
            </w:r>
          </w:p>
        </w:tc>
        <w:tc>
          <w:tcPr>
            <w:tcW w:w="1325" w:type="dxa"/>
            <w:vAlign w:val="center"/>
          </w:tcPr>
          <w:p w14:paraId="21651313">
            <w:pPr>
              <w:adjustRightInd w:val="0"/>
              <w:snapToGrid w:val="0"/>
              <w:jc w:val="center"/>
              <w:rPr>
                <w:rFonts w:hint="eastAsia"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1小时平均</w:t>
            </w:r>
          </w:p>
        </w:tc>
        <w:tc>
          <w:tcPr>
            <w:tcW w:w="965" w:type="dxa"/>
            <w:vAlign w:val="center"/>
          </w:tcPr>
          <w:p w14:paraId="56330C11">
            <w:pPr>
              <w:adjustRightInd w:val="0"/>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20（无量纲）</w:t>
            </w:r>
          </w:p>
        </w:tc>
        <w:tc>
          <w:tcPr>
            <w:tcW w:w="1325" w:type="dxa"/>
            <w:vAlign w:val="center"/>
          </w:tcPr>
          <w:p w14:paraId="75ADB4A2">
            <w:pPr>
              <w:adjustRightInd w:val="0"/>
              <w:snapToGrid w:val="0"/>
              <w:jc w:val="center"/>
              <w:rPr>
                <w:rFonts w:hint="eastAsia" w:ascii="Times New Roman" w:hAnsi="Times New Roman" w:eastAsia="宋体" w:cs="Times New Roman"/>
                <w:color w:val="auto"/>
                <w:szCs w:val="21"/>
                <w:u w:val="single" w:color="auto"/>
              </w:rPr>
            </w:pPr>
          </w:p>
        </w:tc>
        <w:tc>
          <w:tcPr>
            <w:tcW w:w="1494" w:type="dxa"/>
            <w:vAlign w:val="center"/>
          </w:tcPr>
          <w:p w14:paraId="46C2BC3A">
            <w:pPr>
              <w:adjustRightInd w:val="0"/>
              <w:snapToGrid w:val="0"/>
              <w:jc w:val="center"/>
              <w:rPr>
                <w:rFonts w:hint="default" w:ascii="Times New Roman" w:hAnsi="Times New Roman" w:eastAsia="宋体" w:cs="Times New Roman"/>
                <w:color w:val="auto"/>
                <w:szCs w:val="21"/>
                <w:u w:val="single" w:color="auto"/>
                <w:lang w:val="en-US" w:eastAsia="zh-CN"/>
              </w:rPr>
            </w:pPr>
          </w:p>
        </w:tc>
        <w:tc>
          <w:tcPr>
            <w:tcW w:w="711" w:type="dxa"/>
            <w:vAlign w:val="center"/>
          </w:tcPr>
          <w:p w14:paraId="65503785">
            <w:pPr>
              <w:adjustRightInd w:val="0"/>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w:t>
            </w:r>
          </w:p>
        </w:tc>
        <w:tc>
          <w:tcPr>
            <w:tcW w:w="755" w:type="dxa"/>
            <w:vAlign w:val="center"/>
          </w:tcPr>
          <w:p w14:paraId="64B263AE">
            <w:pPr>
              <w:adjustRightInd w:val="0"/>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达标</w:t>
            </w:r>
          </w:p>
        </w:tc>
      </w:tr>
    </w:tbl>
    <w:p w14:paraId="73F60CEA">
      <w:pPr>
        <w:autoSpaceDE w:val="0"/>
        <w:autoSpaceDN w:val="0"/>
        <w:spacing w:line="360" w:lineRule="auto"/>
        <w:ind w:firstLine="482" w:firstLineChars="200"/>
        <w:rPr>
          <w:rFonts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注：未检出，按检出限的一半计算。</w:t>
      </w:r>
    </w:p>
    <w:p w14:paraId="78CE9A5A">
      <w:pPr>
        <w:autoSpaceDE w:val="0"/>
        <w:autoSpaceDN w:val="0"/>
        <w:spacing w:line="360" w:lineRule="auto"/>
        <w:ind w:firstLine="482" w:firstLineChars="200"/>
        <w:rPr>
          <w:rFonts w:ascii="Times New Roman" w:hAnsi="Times New Roman" w:eastAsia="宋体" w:cs="Times New Roman"/>
          <w:b/>
          <w:color w:val="auto"/>
          <w:sz w:val="24"/>
          <w:szCs w:val="24"/>
          <w:u w:val="none" w:color="auto"/>
        </w:rPr>
      </w:pPr>
      <w:r>
        <w:rPr>
          <w:rFonts w:ascii="Times New Roman" w:hAnsi="Times New Roman" w:eastAsia="宋体" w:cs="Times New Roman"/>
          <w:b/>
          <w:color w:val="auto"/>
          <w:sz w:val="24"/>
          <w:szCs w:val="24"/>
          <w:u w:val="none" w:color="auto"/>
        </w:rPr>
        <w:t>（3）结果分析</w:t>
      </w:r>
    </w:p>
    <w:p w14:paraId="67F81EDA">
      <w:pPr>
        <w:autoSpaceDE w:val="0"/>
        <w:autoSpaceDN w:val="0"/>
        <w:spacing w:line="360" w:lineRule="auto"/>
        <w:ind w:firstLine="480" w:firstLineChars="200"/>
        <w:rPr>
          <w:rFonts w:ascii="Times New Roman" w:hAnsi="Times New Roman" w:eastAsia="宋体" w:cs="Times New Roman"/>
          <w:color w:val="auto"/>
          <w:sz w:val="24"/>
          <w:szCs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color w:val="auto"/>
          <w:sz w:val="24"/>
          <w:szCs w:val="24"/>
          <w:u w:val="none" w:color="auto"/>
        </w:rPr>
        <w:t>根据监测结果可知：环境空气质量现状监测点位TSP</w:t>
      </w:r>
      <w:r>
        <w:rPr>
          <w:rFonts w:hint="eastAsia" w:ascii="Times New Roman" w:hAnsi="Times New Roman" w:eastAsia="宋体" w:cs="Times New Roman"/>
          <w:color w:val="auto"/>
          <w:sz w:val="24"/>
          <w:szCs w:val="24"/>
          <w:u w:val="none" w:color="auto"/>
        </w:rPr>
        <w:t>满足</w:t>
      </w:r>
      <w:r>
        <w:rPr>
          <w:rFonts w:ascii="Times New Roman" w:hAnsi="Times New Roman" w:eastAsia="宋体" w:cs="Times New Roman"/>
          <w:color w:val="auto"/>
          <w:spacing w:val="10"/>
          <w:sz w:val="24"/>
          <w:szCs w:val="24"/>
          <w:u w:val="none" w:color="auto"/>
        </w:rPr>
        <w:t>《环境空气质量标准》(GB3095-2012)中二级标准</w:t>
      </w:r>
      <w:r>
        <w:rPr>
          <w:rFonts w:hint="eastAsia" w:ascii="Times New Roman" w:hAnsi="Times New Roman" w:eastAsia="宋体" w:cs="Times New Roman"/>
          <w:color w:val="auto"/>
          <w:spacing w:val="10"/>
          <w:sz w:val="24"/>
          <w:szCs w:val="24"/>
          <w:u w:val="none" w:color="auto"/>
        </w:rPr>
        <w:t>；甲苯、二甲苯满足《</w:t>
      </w:r>
      <w:r>
        <w:rPr>
          <w:rFonts w:ascii="Times New Roman" w:hAnsi="Times New Roman" w:eastAsia="宋体" w:cs="Times New Roman"/>
          <w:color w:val="auto"/>
          <w:kern w:val="0"/>
          <w:sz w:val="24"/>
          <w:szCs w:val="20"/>
          <w:u w:val="none" w:color="auto"/>
        </w:rPr>
        <w:t>环境影响评价技术导则 大气环境》（HJ2.2-2018）</w:t>
      </w:r>
      <w:r>
        <w:rPr>
          <w:rFonts w:hint="eastAsia" w:ascii="Times New Roman" w:hAnsi="Times New Roman" w:eastAsia="宋体" w:cs="Times New Roman"/>
          <w:color w:val="auto"/>
          <w:kern w:val="0"/>
          <w:sz w:val="24"/>
          <w:szCs w:val="20"/>
          <w:u w:val="none" w:color="auto"/>
        </w:rPr>
        <w:t>附录D中标准要求；非甲烷总烃满足《大气污染物综合排放标准详解》建议值2.0mg/m</w:t>
      </w:r>
      <w:r>
        <w:rPr>
          <w:rFonts w:hint="eastAsia" w:ascii="Times New Roman" w:hAnsi="Times New Roman" w:eastAsia="宋体" w:cs="Times New Roman"/>
          <w:color w:val="auto"/>
          <w:kern w:val="0"/>
          <w:sz w:val="24"/>
          <w:szCs w:val="20"/>
          <w:u w:val="none" w:color="auto"/>
          <w:vertAlign w:val="superscript"/>
        </w:rPr>
        <w:t>3</w:t>
      </w:r>
      <w:r>
        <w:rPr>
          <w:rFonts w:hint="eastAsia" w:ascii="Times New Roman" w:hAnsi="Times New Roman" w:eastAsia="宋体" w:cs="Times New Roman"/>
          <w:color w:val="auto"/>
          <w:kern w:val="0"/>
          <w:sz w:val="24"/>
          <w:szCs w:val="20"/>
          <w:u w:val="none" w:color="auto"/>
        </w:rPr>
        <w:t>要求</w:t>
      </w:r>
      <w:r>
        <w:rPr>
          <w:rFonts w:hint="eastAsia" w:ascii="Times New Roman" w:hAnsi="Times New Roman" w:eastAsia="宋体" w:cs="Times New Roman"/>
          <w:color w:val="auto"/>
          <w:kern w:val="0"/>
          <w:sz w:val="24"/>
          <w:szCs w:val="20"/>
          <w:u w:val="none" w:color="auto"/>
          <w:lang w:eastAsia="zh-CN"/>
        </w:rPr>
        <w:t>；</w:t>
      </w:r>
      <w:r>
        <w:rPr>
          <w:rFonts w:hint="eastAsia" w:ascii="Times New Roman" w:hAnsi="Times New Roman" w:eastAsia="宋体" w:cs="Times New Roman"/>
          <w:color w:val="auto"/>
          <w:kern w:val="0"/>
          <w:sz w:val="24"/>
          <w:szCs w:val="20"/>
          <w:u w:val="single" w:color="auto"/>
          <w:lang w:val="en-US" w:eastAsia="zh-CN"/>
        </w:rPr>
        <w:t>臭气浓度满足《恶臭污染物排放标准》（GB14554-93）中表1的新扩改建项目厂界二级标准值要求</w:t>
      </w:r>
      <w:r>
        <w:rPr>
          <w:rFonts w:ascii="Times New Roman" w:hAnsi="Times New Roman" w:eastAsia="宋体" w:cs="Times New Roman"/>
          <w:color w:val="auto"/>
          <w:sz w:val="24"/>
          <w:szCs w:val="24"/>
          <w:u w:val="none" w:color="auto"/>
        </w:rPr>
        <w:t>。</w:t>
      </w:r>
    </w:p>
    <w:p w14:paraId="2F5D3CBF">
      <w:pPr>
        <w:autoSpaceDE w:val="0"/>
        <w:autoSpaceDN w:val="0"/>
        <w:spacing w:line="360" w:lineRule="auto"/>
        <w:ind w:firstLine="420" w:firstLineChars="200"/>
        <w:jc w:val="center"/>
        <w:rPr>
          <w:rFonts w:ascii="Times New Roman" w:hAnsi="Times New Roman" w:eastAsia="宋体" w:cs="Times New Roman"/>
          <w:color w:val="auto"/>
          <w:sz w:val="24"/>
          <w:szCs w:val="24"/>
          <w:u w:val="none" w:color="auto"/>
        </w:rPr>
      </w:pPr>
      <w:r>
        <w:rPr>
          <w:color w:val="auto"/>
        </w:rPr>
        <w:drawing>
          <wp:inline distT="0" distB="0" distL="114300" distR="114300">
            <wp:extent cx="7110095" cy="4838065"/>
            <wp:effectExtent l="0" t="0" r="5080" b="635"/>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29"/>
                    <a:srcRect r="7025" b="5184"/>
                    <a:stretch>
                      <a:fillRect/>
                    </a:stretch>
                  </pic:blipFill>
                  <pic:spPr>
                    <a:xfrm>
                      <a:off x="0" y="0"/>
                      <a:ext cx="7110095" cy="4838065"/>
                    </a:xfrm>
                    <a:prstGeom prst="rect">
                      <a:avLst/>
                    </a:prstGeom>
                    <a:noFill/>
                    <a:ln>
                      <a:noFill/>
                    </a:ln>
                  </pic:spPr>
                </pic:pic>
              </a:graphicData>
            </a:graphic>
          </wp:inline>
        </w:drawing>
      </w:r>
    </w:p>
    <w:p w14:paraId="72440D47">
      <w:pPr>
        <w:autoSpaceDE w:val="0"/>
        <w:autoSpaceDN w:val="0"/>
        <w:spacing w:line="360" w:lineRule="auto"/>
        <w:ind w:firstLine="482" w:firstLineChars="200"/>
        <w:jc w:val="center"/>
        <w:rPr>
          <w:rFonts w:hint="eastAsia" w:ascii="Times New Roman" w:hAnsi="Times New Roman" w:eastAsia="宋体" w:cs="Times New Roman"/>
          <w:b/>
          <w:bCs/>
          <w:color w:val="auto"/>
          <w:sz w:val="24"/>
          <w:szCs w:val="24"/>
          <w:u w:val="single" w:color="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b/>
          <w:bCs/>
          <w:color w:val="auto"/>
          <w:sz w:val="24"/>
          <w:szCs w:val="24"/>
          <w:u w:val="single" w:color="auto"/>
          <w:lang w:val="en-US" w:eastAsia="zh-CN"/>
        </w:rPr>
        <w:t>图3.2-1 监测布点图</w:t>
      </w:r>
    </w:p>
    <w:p w14:paraId="54AE3F40">
      <w:pPr>
        <w:pStyle w:val="3"/>
        <w:bidi w:val="0"/>
        <w:rPr>
          <w:color w:val="auto"/>
          <w:u w:val="none" w:color="auto"/>
        </w:rPr>
      </w:pPr>
      <w:bookmarkStart w:id="179" w:name="_Toc3728198"/>
      <w:bookmarkStart w:id="180" w:name="_Toc3529"/>
      <w:r>
        <w:rPr>
          <w:color w:val="auto"/>
          <w:u w:val="none" w:color="auto"/>
        </w:rPr>
        <w:t>海水环境质量现状调查与评价</w:t>
      </w:r>
      <w:bookmarkEnd w:id="179"/>
      <w:bookmarkEnd w:id="180"/>
    </w:p>
    <w:p w14:paraId="1F5B24DD">
      <w:pPr>
        <w:autoSpaceDE w:val="0"/>
        <w:autoSpaceDN w:val="0"/>
        <w:spacing w:line="360" w:lineRule="auto"/>
        <w:ind w:firstLine="480" w:firstLineChars="200"/>
        <w:jc w:val="left"/>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项目</w:t>
      </w:r>
      <w:r>
        <w:rPr>
          <w:rFonts w:hint="eastAsia" w:ascii="Times New Roman" w:hAnsi="Times New Roman" w:eastAsia="宋体" w:cs="Times New Roman"/>
          <w:color w:val="auto"/>
          <w:sz w:val="24"/>
          <w:u w:val="single" w:color="auto"/>
        </w:rPr>
        <w:t>生活</w:t>
      </w:r>
      <w:r>
        <w:rPr>
          <w:rFonts w:ascii="Times New Roman" w:hAnsi="Times New Roman" w:eastAsia="宋体" w:cs="Times New Roman"/>
          <w:color w:val="auto"/>
          <w:sz w:val="24"/>
          <w:u w:val="single" w:color="auto"/>
        </w:rPr>
        <w:t>污水</w:t>
      </w:r>
      <w:r>
        <w:rPr>
          <w:rFonts w:hint="eastAsia" w:ascii="Times New Roman" w:hAnsi="Times New Roman" w:eastAsia="宋体" w:cs="Times New Roman"/>
          <w:color w:val="auto"/>
          <w:sz w:val="24"/>
          <w:u w:val="single" w:color="auto"/>
        </w:rPr>
        <w:t>经化粪池处理后</w:t>
      </w:r>
      <w:r>
        <w:rPr>
          <w:rFonts w:ascii="Times New Roman" w:hAnsi="Times New Roman" w:eastAsia="宋体" w:cs="Times New Roman"/>
          <w:color w:val="auto"/>
          <w:sz w:val="24"/>
          <w:u w:val="single" w:color="auto"/>
        </w:rPr>
        <w:t>排入</w:t>
      </w:r>
      <w:r>
        <w:rPr>
          <w:rFonts w:hint="eastAsia" w:ascii="Times New Roman" w:hAnsi="Times New Roman" w:eastAsia="宋体" w:cs="Times New Roman"/>
          <w:color w:val="auto"/>
          <w:sz w:val="24"/>
          <w:u w:val="single" w:color="auto"/>
        </w:rPr>
        <w:t>市政污水管网，经</w:t>
      </w:r>
      <w:r>
        <w:rPr>
          <w:rFonts w:ascii="Times New Roman" w:hAnsi="Times New Roman" w:eastAsia="宋体" w:cs="Times New Roman"/>
          <w:color w:val="auto"/>
          <w:sz w:val="24"/>
          <w:u w:val="single" w:color="auto"/>
        </w:rPr>
        <w:t>大榄坪污水处理厂处理</w:t>
      </w:r>
      <w:r>
        <w:rPr>
          <w:rFonts w:hint="eastAsia" w:ascii="Times New Roman" w:hAnsi="Times New Roman" w:eastAsia="宋体" w:cs="Times New Roman"/>
          <w:color w:val="auto"/>
          <w:sz w:val="24"/>
          <w:u w:val="single" w:color="auto"/>
        </w:rPr>
        <w:t>达标后</w:t>
      </w:r>
      <w:r>
        <w:rPr>
          <w:rFonts w:ascii="Times New Roman" w:hAnsi="Times New Roman" w:eastAsia="宋体" w:cs="Times New Roman"/>
          <w:color w:val="auto"/>
          <w:sz w:val="24"/>
          <w:u w:val="single" w:color="auto"/>
        </w:rPr>
        <w:t>尾水排入钦州港大榄坪</w:t>
      </w:r>
      <w:r>
        <w:rPr>
          <w:rFonts w:hint="eastAsia" w:ascii="Times New Roman" w:hAnsi="Times New Roman" w:eastAsia="宋体" w:cs="Times New Roman"/>
          <w:color w:val="auto"/>
          <w:sz w:val="24"/>
          <w:u w:val="single" w:color="auto"/>
          <w:lang w:val="en-US" w:eastAsia="zh-CN"/>
        </w:rPr>
        <w:t>排污混合</w:t>
      </w:r>
      <w:r>
        <w:rPr>
          <w:rFonts w:ascii="Times New Roman" w:hAnsi="Times New Roman" w:eastAsia="宋体" w:cs="Times New Roman"/>
          <w:color w:val="auto"/>
          <w:sz w:val="24"/>
          <w:u w:val="single" w:color="auto"/>
        </w:rPr>
        <w:t>区（GX0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lang w:val="en-US" w:eastAsia="zh-CN"/>
        </w:rPr>
        <w:t>雨水排入钦州港金鼓江排污混合区</w:t>
      </w:r>
      <w:r>
        <w:rPr>
          <w:rFonts w:ascii="Times New Roman" w:hAnsi="Times New Roman" w:eastAsia="宋体" w:cs="Times New Roman"/>
          <w:color w:val="auto"/>
          <w:sz w:val="24"/>
          <w:u w:val="single" w:color="auto"/>
        </w:rPr>
        <w:t>（GX0</w:t>
      </w:r>
      <w:r>
        <w:rPr>
          <w:rFonts w:hint="eastAsia" w:ascii="Times New Roman" w:hAnsi="Times New Roman" w:eastAsia="宋体" w:cs="Times New Roman"/>
          <w:color w:val="auto"/>
          <w:sz w:val="24"/>
          <w:u w:val="single" w:color="auto"/>
          <w:lang w:val="en-US" w:eastAsia="zh-CN"/>
        </w:rPr>
        <w:t>56</w:t>
      </w:r>
      <w:r>
        <w:rPr>
          <w:rFonts w:ascii="Times New Roman" w:hAnsi="Times New Roman" w:eastAsia="宋体" w:cs="Times New Roman"/>
          <w:color w:val="auto"/>
          <w:sz w:val="24"/>
          <w:u w:val="single" w:color="auto"/>
        </w:rPr>
        <w:t>DⅣ）。根据《广西壮族自治区</w:t>
      </w:r>
      <w:r>
        <w:rPr>
          <w:rFonts w:hint="eastAsia" w:ascii="Times New Roman" w:hAnsi="Times New Roman" w:eastAsia="宋体" w:cs="Times New Roman"/>
          <w:color w:val="auto"/>
          <w:sz w:val="24"/>
          <w:u w:val="single" w:color="auto"/>
          <w:lang w:val="en-US" w:eastAsia="zh-CN"/>
        </w:rPr>
        <w:t>生态环境厅</w:t>
      </w:r>
      <w:r>
        <w:rPr>
          <w:rFonts w:ascii="Times New Roman" w:hAnsi="Times New Roman" w:eastAsia="宋体" w:cs="Times New Roman"/>
          <w:color w:val="auto"/>
          <w:sz w:val="24"/>
          <w:u w:val="single" w:color="auto"/>
        </w:rPr>
        <w:t>关于印发广西壮族自治区近岸海域环境功能区划调整方案的通知》（桂</w:t>
      </w:r>
      <w:r>
        <w:rPr>
          <w:rFonts w:hint="eastAsia" w:ascii="Times New Roman" w:hAnsi="Times New Roman" w:eastAsia="宋体" w:cs="Times New Roman"/>
          <w:color w:val="auto"/>
          <w:sz w:val="24"/>
          <w:u w:val="single" w:color="auto"/>
          <w:lang w:val="en-US" w:eastAsia="zh-CN"/>
        </w:rPr>
        <w:t>环</w:t>
      </w:r>
      <w:r>
        <w:rPr>
          <w:rFonts w:ascii="Times New Roman" w:hAnsi="Times New Roman" w:eastAsia="宋体" w:cs="Times New Roman"/>
          <w:color w:val="auto"/>
          <w:sz w:val="24"/>
          <w:u w:val="single" w:color="auto"/>
        </w:rPr>
        <w:t>发[20</w:t>
      </w:r>
      <w:r>
        <w:rPr>
          <w:rFonts w:hint="eastAsia" w:ascii="Times New Roman" w:hAnsi="Times New Roman" w:eastAsia="宋体" w:cs="Times New Roman"/>
          <w:color w:val="auto"/>
          <w:sz w:val="24"/>
          <w:u w:val="single" w:color="auto"/>
          <w:lang w:val="en-US" w:eastAsia="zh-CN"/>
        </w:rPr>
        <w:t>23</w:t>
      </w:r>
      <w:r>
        <w:rPr>
          <w:rFonts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lang w:val="en-US" w:eastAsia="zh-CN"/>
        </w:rPr>
        <w:t>9</w:t>
      </w:r>
      <w:r>
        <w:rPr>
          <w:rFonts w:ascii="Times New Roman" w:hAnsi="Times New Roman" w:eastAsia="宋体" w:cs="Times New Roman"/>
          <w:color w:val="auto"/>
          <w:sz w:val="24"/>
          <w:u w:val="single" w:color="auto"/>
        </w:rPr>
        <w:t>号），GX0</w:t>
      </w:r>
      <w:r>
        <w:rPr>
          <w:rFonts w:hint="eastAsia" w:ascii="Times New Roman" w:hAnsi="Times New Roman" w:eastAsia="宋体" w:cs="Times New Roman"/>
          <w:color w:val="auto"/>
          <w:sz w:val="24"/>
          <w:u w:val="single" w:color="auto"/>
          <w:lang w:val="en-US" w:eastAsia="zh-CN"/>
        </w:rPr>
        <w:t>56</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sz w:val="24"/>
          <w:u w:val="single" w:color="auto"/>
          <w:lang w:eastAsia="zh-CN"/>
        </w:rPr>
        <w:t>、</w:t>
      </w:r>
      <w:r>
        <w:rPr>
          <w:rFonts w:ascii="Times New Roman" w:hAnsi="Times New Roman" w:eastAsia="宋体" w:cs="Times New Roman"/>
          <w:color w:val="auto"/>
          <w:sz w:val="24"/>
          <w:u w:val="single" w:color="auto"/>
        </w:rPr>
        <w:t>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DⅣ主导功能</w:t>
      </w:r>
      <w:r>
        <w:rPr>
          <w:rFonts w:hint="eastAsia" w:ascii="Times New Roman" w:hAnsi="Times New Roman" w:eastAsia="宋体" w:cs="Times New Roman"/>
          <w:color w:val="auto"/>
          <w:sz w:val="24"/>
          <w:u w:val="single" w:color="auto"/>
          <w:lang w:val="en-US" w:eastAsia="zh-CN"/>
        </w:rPr>
        <w:t>均</w:t>
      </w:r>
      <w:r>
        <w:rPr>
          <w:rFonts w:ascii="Times New Roman" w:hAnsi="Times New Roman" w:eastAsia="宋体" w:cs="Times New Roman"/>
          <w:color w:val="auto"/>
          <w:sz w:val="24"/>
          <w:u w:val="single" w:color="auto"/>
        </w:rPr>
        <w:t>为港口、工业、生活排污用海，属四类环境功能区，纳污海域执行《海水水质标准》（GB3097-1997）中第四类标准。</w:t>
      </w:r>
    </w:p>
    <w:p w14:paraId="16EA13B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本次评价引用广西生态环境厅公布的</w:t>
      </w:r>
      <w:r>
        <w:rPr>
          <w:rFonts w:hint="eastAsia" w:ascii="Times New Roman" w:hAnsi="Times New Roman" w:eastAsia="宋体" w:cs="Times New Roman"/>
          <w:color w:val="auto"/>
          <w:sz w:val="24"/>
          <w:u w:val="none" w:color="auto"/>
        </w:rPr>
        <w:t>202</w:t>
      </w:r>
      <w:r>
        <w:rPr>
          <w:rFonts w:hint="eastAsia" w:ascii="Times New Roman" w:hAnsi="Times New Roman" w:eastAsia="宋体" w:cs="Times New Roman"/>
          <w:color w:val="auto"/>
          <w:sz w:val="24"/>
          <w:u w:val="none" w:color="auto"/>
          <w:lang w:val="en-US" w:eastAsia="zh-CN"/>
        </w:rPr>
        <w:t>3</w:t>
      </w:r>
      <w:r>
        <w:rPr>
          <w:rFonts w:ascii="Times New Roman" w:hAnsi="Times New Roman" w:eastAsia="宋体" w:cs="Times New Roman"/>
          <w:color w:val="auto"/>
          <w:sz w:val="24"/>
          <w:u w:val="none" w:color="auto"/>
        </w:rPr>
        <w:t>年近岸海域丰水期、平水期、枯水期的海水监测信息结果，本次对大榄坪污水处理厂深海排放</w:t>
      </w:r>
      <w:r>
        <w:rPr>
          <w:rFonts w:hint="eastAsia" w:ascii="Times New Roman" w:hAnsi="Times New Roman" w:eastAsia="宋体" w:cs="Times New Roman"/>
          <w:color w:val="auto"/>
          <w:sz w:val="24"/>
          <w:u w:val="none" w:color="auto"/>
        </w:rPr>
        <w:t>区（</w:t>
      </w:r>
      <w:r>
        <w:rPr>
          <w:rFonts w:ascii="Times New Roman" w:hAnsi="Times New Roman" w:eastAsia="宋体" w:cs="Times New Roman"/>
          <w:color w:val="auto"/>
          <w:sz w:val="24"/>
          <w:u w:val="none" w:color="auto"/>
        </w:rPr>
        <w:t>GX0</w:t>
      </w:r>
      <w:r>
        <w:rPr>
          <w:rFonts w:hint="eastAsia" w:ascii="Times New Roman" w:hAnsi="Times New Roman" w:eastAsia="宋体" w:cs="Times New Roman"/>
          <w:color w:val="auto"/>
          <w:sz w:val="24"/>
          <w:u w:val="none" w:color="auto"/>
          <w:lang w:val="en-US" w:eastAsia="zh-CN"/>
        </w:rPr>
        <w:t>57</w:t>
      </w:r>
      <w:r>
        <w:rPr>
          <w:rFonts w:ascii="Times New Roman" w:hAnsi="Times New Roman" w:eastAsia="宋体" w:cs="Times New Roman"/>
          <w:color w:val="auto"/>
          <w:sz w:val="24"/>
          <w:u w:val="none" w:color="auto"/>
        </w:rPr>
        <w:t>DⅣ</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海水水质进行统计分析</w:t>
      </w:r>
      <w:r>
        <w:rPr>
          <w:rFonts w:hint="eastAsia" w:ascii="Times New Roman" w:hAnsi="Times New Roman" w:eastAsia="宋体" w:cs="Times New Roman"/>
          <w:color w:val="auto"/>
          <w:sz w:val="24"/>
          <w:u w:val="none" w:color="auto"/>
        </w:rPr>
        <w:t>。</w:t>
      </w:r>
    </w:p>
    <w:p w14:paraId="14B5E73D">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1、监测时间和监测因子</w:t>
      </w:r>
    </w:p>
    <w:p w14:paraId="2BBFD790">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枯水期</w:t>
      </w:r>
      <w:r>
        <w:rPr>
          <w:rFonts w:ascii="Times New Roman" w:hAnsi="Times New Roman" w:eastAsia="宋体" w:cs="Times New Roman"/>
          <w:color w:val="auto"/>
          <w:sz w:val="24"/>
          <w:u w:val="none" w:color="auto"/>
        </w:rPr>
        <w:t>监测时间为20</w:t>
      </w:r>
      <w:r>
        <w:rPr>
          <w:rFonts w:hint="eastAsia"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lang w:val="en-US" w:eastAsia="zh-CN"/>
        </w:rPr>
        <w:t>3</w:t>
      </w:r>
      <w:r>
        <w:rPr>
          <w:rFonts w:ascii="Times New Roman" w:hAnsi="Times New Roman" w:eastAsia="宋体" w:cs="Times New Roman"/>
          <w:color w:val="auto"/>
          <w:sz w:val="24"/>
          <w:u w:val="none" w:color="auto"/>
        </w:rPr>
        <w:t>年4月</w:t>
      </w:r>
      <w:r>
        <w:rPr>
          <w:rFonts w:hint="eastAsia" w:ascii="Times New Roman" w:hAnsi="Times New Roman" w:eastAsia="宋体" w:cs="Times New Roman"/>
          <w:color w:val="auto"/>
          <w:sz w:val="24"/>
          <w:u w:val="none" w:color="auto"/>
        </w:rPr>
        <w:t>2</w:t>
      </w:r>
      <w:r>
        <w:rPr>
          <w:rFonts w:ascii="Times New Roman" w:hAnsi="Times New Roman" w:eastAsia="宋体" w:cs="Times New Roman"/>
          <w:color w:val="auto"/>
          <w:sz w:val="24"/>
          <w:u w:val="none" w:color="auto"/>
        </w:rPr>
        <w:t>6日</w:t>
      </w:r>
      <w:r>
        <w:rPr>
          <w:rFonts w:hint="eastAsia" w:ascii="Times New Roman" w:hAnsi="Times New Roman" w:eastAsia="宋体" w:cs="Times New Roman"/>
          <w:color w:val="auto"/>
          <w:sz w:val="24"/>
          <w:u w:val="none" w:color="auto"/>
        </w:rPr>
        <w:t>，丰水期</w:t>
      </w:r>
      <w:r>
        <w:rPr>
          <w:rFonts w:ascii="Times New Roman" w:hAnsi="Times New Roman" w:eastAsia="宋体" w:cs="Times New Roman"/>
          <w:color w:val="auto"/>
          <w:sz w:val="24"/>
          <w:u w:val="none" w:color="auto"/>
        </w:rPr>
        <w:t>监测时间为20</w:t>
      </w:r>
      <w:r>
        <w:rPr>
          <w:rFonts w:hint="eastAsia"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lang w:val="en-US" w:eastAsia="zh-CN"/>
        </w:rPr>
        <w:t>3</w:t>
      </w:r>
      <w:r>
        <w:rPr>
          <w:rFonts w:ascii="Times New Roman" w:hAnsi="Times New Roman" w:eastAsia="宋体" w:cs="Times New Roman"/>
          <w:color w:val="auto"/>
          <w:sz w:val="24"/>
          <w:u w:val="none" w:color="auto"/>
        </w:rPr>
        <w:t>年</w:t>
      </w:r>
      <w:r>
        <w:rPr>
          <w:rFonts w:hint="eastAsia" w:ascii="Times New Roman" w:hAnsi="Times New Roman" w:eastAsia="宋体" w:cs="Times New Roman"/>
          <w:color w:val="auto"/>
          <w:sz w:val="24"/>
          <w:u w:val="none" w:color="auto"/>
        </w:rPr>
        <w:t>7</w:t>
      </w:r>
      <w:r>
        <w:rPr>
          <w:rFonts w:ascii="Times New Roman" w:hAnsi="Times New Roman" w:eastAsia="宋体" w:cs="Times New Roman"/>
          <w:color w:val="auto"/>
          <w:sz w:val="24"/>
          <w:u w:val="none" w:color="auto"/>
        </w:rPr>
        <w:t>月</w:t>
      </w:r>
      <w:r>
        <w:rPr>
          <w:rFonts w:hint="eastAsia" w:ascii="Times New Roman" w:hAnsi="Times New Roman" w:eastAsia="宋体" w:cs="Times New Roman"/>
          <w:color w:val="auto"/>
          <w:sz w:val="24"/>
          <w:u w:val="none" w:color="auto"/>
        </w:rPr>
        <w:t>13</w:t>
      </w:r>
      <w:r>
        <w:rPr>
          <w:rFonts w:ascii="Times New Roman" w:hAnsi="Times New Roman" w:eastAsia="宋体" w:cs="Times New Roman"/>
          <w:color w:val="auto"/>
          <w:sz w:val="24"/>
          <w:u w:val="none" w:color="auto"/>
        </w:rPr>
        <w:t>日</w:t>
      </w:r>
      <w:r>
        <w:rPr>
          <w:rFonts w:hint="eastAsia" w:ascii="Times New Roman" w:hAnsi="Times New Roman" w:eastAsia="宋体" w:cs="Times New Roman"/>
          <w:color w:val="auto"/>
          <w:sz w:val="24"/>
          <w:u w:val="none" w:color="auto"/>
        </w:rPr>
        <w:t>，平水期</w:t>
      </w:r>
      <w:r>
        <w:rPr>
          <w:rFonts w:ascii="Times New Roman" w:hAnsi="Times New Roman" w:eastAsia="宋体" w:cs="Times New Roman"/>
          <w:color w:val="auto"/>
          <w:sz w:val="24"/>
          <w:u w:val="none" w:color="auto"/>
        </w:rPr>
        <w:t>监测时间为20</w:t>
      </w:r>
      <w:r>
        <w:rPr>
          <w:rFonts w:hint="eastAsia"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lang w:val="en-US" w:eastAsia="zh-CN"/>
        </w:rPr>
        <w:t>3</w:t>
      </w:r>
      <w:r>
        <w:rPr>
          <w:rFonts w:ascii="Times New Roman" w:hAnsi="Times New Roman" w:eastAsia="宋体" w:cs="Times New Roman"/>
          <w:color w:val="auto"/>
          <w:sz w:val="24"/>
          <w:u w:val="none" w:color="auto"/>
        </w:rPr>
        <w:t>年</w:t>
      </w:r>
      <w:r>
        <w:rPr>
          <w:rFonts w:hint="eastAsia" w:ascii="Times New Roman" w:hAnsi="Times New Roman" w:eastAsia="宋体" w:cs="Times New Roman"/>
          <w:color w:val="auto"/>
          <w:sz w:val="24"/>
          <w:u w:val="none" w:color="auto"/>
        </w:rPr>
        <w:t>11</w:t>
      </w:r>
      <w:r>
        <w:rPr>
          <w:rFonts w:ascii="Times New Roman" w:hAnsi="Times New Roman" w:eastAsia="宋体" w:cs="Times New Roman"/>
          <w:color w:val="auto"/>
          <w:sz w:val="24"/>
          <w:u w:val="none" w:color="auto"/>
        </w:rPr>
        <w:t>月</w:t>
      </w:r>
      <w:r>
        <w:rPr>
          <w:rFonts w:hint="eastAsia" w:ascii="Times New Roman" w:hAnsi="Times New Roman" w:eastAsia="宋体" w:cs="Times New Roman"/>
          <w:color w:val="auto"/>
          <w:sz w:val="24"/>
          <w:u w:val="none" w:color="auto"/>
        </w:rPr>
        <w:t>5</w:t>
      </w:r>
      <w:r>
        <w:rPr>
          <w:rFonts w:ascii="Times New Roman" w:hAnsi="Times New Roman" w:eastAsia="宋体" w:cs="Times New Roman"/>
          <w:color w:val="auto"/>
          <w:sz w:val="24"/>
          <w:u w:val="none" w:color="auto"/>
        </w:rPr>
        <w:t>日</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监测因子为 pH、溶解氧、悬浮物、化学需氧量、活性磷酸盐、氨氮、硝酸盐氮、亚硝酸盐氮、无机氮、非离子氨、石油类、汞、铜、铅、镉。</w:t>
      </w:r>
    </w:p>
    <w:p w14:paraId="515C349D">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2、评价标准</w:t>
      </w:r>
    </w:p>
    <w:p w14:paraId="3B046B16">
      <w:pPr>
        <w:autoSpaceDE w:val="0"/>
        <w:autoSpaceDN w:val="0"/>
        <w:spacing w:line="360" w:lineRule="auto"/>
        <w:ind w:firstLine="480" w:firstLineChars="200"/>
        <w:jc w:val="left"/>
        <w:rPr>
          <w:color w:val="auto"/>
          <w:u w:val="none" w:color="auto"/>
        </w:rPr>
      </w:pPr>
      <w:r>
        <w:rPr>
          <w:rFonts w:hint="eastAsia" w:ascii="Times New Roman" w:hAnsi="Times New Roman" w:eastAsia="宋体" w:cs="Times New Roman"/>
          <w:color w:val="auto"/>
          <w:sz w:val="24"/>
          <w:u w:val="none" w:color="auto"/>
        </w:rPr>
        <w:t>根据已颁布的广西近岸海洋环境区划局部调整图，引用监测点占地海域执行《海水水质标准》（GB3097-1997）四类，详见下表。</w:t>
      </w:r>
    </w:p>
    <w:p w14:paraId="1C5A6273">
      <w:pPr>
        <w:autoSpaceDE w:val="0"/>
        <w:autoSpaceDN w:val="0"/>
        <w:jc w:val="center"/>
        <w:rPr>
          <w:rFonts w:ascii="Times New Roman" w:hAnsi="Times New Roman" w:eastAsia="宋体" w:cs="Times New Roman"/>
          <w:color w:val="auto"/>
          <w:szCs w:val="21"/>
          <w:u w:val="none" w:color="auto"/>
        </w:rPr>
      </w:pPr>
      <w:r>
        <w:rPr>
          <w:rFonts w:ascii="Times New Roman" w:hAnsi="Times New Roman" w:eastAsia="宋体" w:cs="Times New Roman"/>
          <w:b/>
          <w:bCs/>
          <w:color w:val="auto"/>
          <w:szCs w:val="21"/>
          <w:u w:val="none" w:color="auto"/>
        </w:rPr>
        <w:t>表3.3-1 广西近岸海域环境质量监测站点及功能</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4155"/>
        <w:gridCol w:w="2003"/>
        <w:gridCol w:w="1203"/>
      </w:tblGrid>
      <w:tr w14:paraId="76544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EF01D7C">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站点</w:t>
            </w:r>
          </w:p>
        </w:tc>
        <w:tc>
          <w:tcPr>
            <w:tcW w:w="4155" w:type="dxa"/>
          </w:tcPr>
          <w:p w14:paraId="19DA976B">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海洋环境功能</w:t>
            </w:r>
          </w:p>
        </w:tc>
        <w:tc>
          <w:tcPr>
            <w:tcW w:w="2003" w:type="dxa"/>
          </w:tcPr>
          <w:p w14:paraId="4D556D68">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水质功能要求</w:t>
            </w:r>
          </w:p>
        </w:tc>
        <w:tc>
          <w:tcPr>
            <w:tcW w:w="1203" w:type="dxa"/>
          </w:tcPr>
          <w:p w14:paraId="7973030B">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备注</w:t>
            </w:r>
          </w:p>
        </w:tc>
      </w:tr>
      <w:tr w14:paraId="4A9C4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6A28188E">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GX006</w:t>
            </w:r>
          </w:p>
        </w:tc>
        <w:tc>
          <w:tcPr>
            <w:tcW w:w="4155" w:type="dxa"/>
          </w:tcPr>
          <w:p w14:paraId="255F8FDE">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 w:val="21"/>
                <w:szCs w:val="21"/>
                <w:u w:val="single" w:color="auto"/>
              </w:rPr>
              <w:t>钦州港大榄坪</w:t>
            </w:r>
            <w:r>
              <w:rPr>
                <w:rFonts w:hint="eastAsia" w:ascii="Times New Roman" w:hAnsi="Times New Roman" w:eastAsia="宋体" w:cs="Times New Roman"/>
                <w:color w:val="auto"/>
                <w:sz w:val="21"/>
                <w:szCs w:val="21"/>
                <w:u w:val="single" w:color="auto"/>
                <w:lang w:val="en-US" w:eastAsia="zh-CN"/>
              </w:rPr>
              <w:t>排污混合</w:t>
            </w:r>
            <w:r>
              <w:rPr>
                <w:rFonts w:ascii="Times New Roman" w:hAnsi="Times New Roman" w:eastAsia="宋体" w:cs="Times New Roman"/>
                <w:color w:val="auto"/>
                <w:sz w:val="21"/>
                <w:szCs w:val="21"/>
                <w:u w:val="single" w:color="auto"/>
              </w:rPr>
              <w:t>区（GX0</w:t>
            </w:r>
            <w:r>
              <w:rPr>
                <w:rFonts w:hint="eastAsia" w:ascii="Times New Roman" w:hAnsi="Times New Roman" w:eastAsia="宋体" w:cs="Times New Roman"/>
                <w:color w:val="auto"/>
                <w:sz w:val="21"/>
                <w:szCs w:val="21"/>
                <w:u w:val="single" w:color="auto"/>
                <w:lang w:val="en-US" w:eastAsia="zh-CN"/>
              </w:rPr>
              <w:t>57</w:t>
            </w:r>
            <w:r>
              <w:rPr>
                <w:rFonts w:ascii="Times New Roman" w:hAnsi="Times New Roman" w:eastAsia="宋体" w:cs="Times New Roman"/>
                <w:color w:val="auto"/>
                <w:sz w:val="21"/>
                <w:szCs w:val="21"/>
                <w:u w:val="single" w:color="auto"/>
              </w:rPr>
              <w:t>DⅣ）</w:t>
            </w:r>
          </w:p>
        </w:tc>
        <w:tc>
          <w:tcPr>
            <w:tcW w:w="2003" w:type="dxa"/>
          </w:tcPr>
          <w:p w14:paraId="33EEE167">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四类</w:t>
            </w:r>
          </w:p>
        </w:tc>
        <w:tc>
          <w:tcPr>
            <w:tcW w:w="1203" w:type="dxa"/>
          </w:tcPr>
          <w:p w14:paraId="4653F808">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r>
    </w:tbl>
    <w:p w14:paraId="53D73D7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3、评价方法</w:t>
      </w:r>
    </w:p>
    <w:p w14:paraId="7A21D370">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根据 HJ442-2008《近岸海域环境监测规范》，调查区域海水环境质量现状评价采用单因子污染指数法进行评价，公式如下：</w:t>
      </w:r>
    </w:p>
    <w:p w14:paraId="09D6854D">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P</w:t>
      </w:r>
      <w:r>
        <w:rPr>
          <w:rFonts w:ascii="Times New Roman" w:hAnsi="Times New Roman" w:eastAsia="宋体" w:cs="Times New Roman"/>
          <w:color w:val="auto"/>
          <w:sz w:val="24"/>
          <w:u w:val="none" w:color="auto"/>
          <w:vertAlign w:val="subscript"/>
        </w:rPr>
        <w:t>ij</w:t>
      </w:r>
      <w:r>
        <w:rPr>
          <w:rFonts w:ascii="Times New Roman" w:hAnsi="Times New Roman" w:eastAsia="宋体" w:cs="Times New Roman"/>
          <w:color w:val="auto"/>
          <w:sz w:val="24"/>
          <w:u w:val="none" w:color="auto"/>
        </w:rPr>
        <w:t>=C</w:t>
      </w:r>
      <w:r>
        <w:rPr>
          <w:rFonts w:ascii="Times New Roman" w:hAnsi="Times New Roman" w:eastAsia="宋体" w:cs="Times New Roman"/>
          <w:color w:val="auto"/>
          <w:sz w:val="24"/>
          <w:u w:val="none" w:color="auto"/>
          <w:vertAlign w:val="subscript"/>
        </w:rPr>
        <w:t>ij</w:t>
      </w:r>
      <w:r>
        <w:rPr>
          <w:rFonts w:ascii="Times New Roman" w:hAnsi="Times New Roman" w:eastAsia="宋体" w:cs="Times New Roman"/>
          <w:color w:val="auto"/>
          <w:sz w:val="24"/>
          <w:u w:val="none" w:color="auto"/>
        </w:rPr>
        <w:t>/C</w:t>
      </w:r>
      <w:r>
        <w:rPr>
          <w:rFonts w:ascii="Times New Roman" w:hAnsi="Times New Roman" w:eastAsia="宋体" w:cs="Times New Roman"/>
          <w:color w:val="auto"/>
          <w:sz w:val="24"/>
          <w:u w:val="none" w:color="auto"/>
          <w:vertAlign w:val="subscript"/>
        </w:rPr>
        <w:t>si</w:t>
      </w:r>
    </w:p>
    <w:p w14:paraId="6CC44239">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式中：P</w:t>
      </w:r>
      <w:r>
        <w:rPr>
          <w:rFonts w:ascii="Times New Roman" w:hAnsi="Times New Roman" w:eastAsia="宋体" w:cs="Times New Roman"/>
          <w:color w:val="auto"/>
          <w:sz w:val="24"/>
          <w:szCs w:val="24"/>
          <w:u w:val="none" w:color="auto"/>
          <w:vertAlign w:val="subscript"/>
        </w:rPr>
        <w:t>ij</w:t>
      </w:r>
      <w:r>
        <w:rPr>
          <w:rFonts w:ascii="Times New Roman" w:hAnsi="Times New Roman" w:eastAsia="宋体" w:cs="Times New Roman"/>
          <w:color w:val="auto"/>
          <w:sz w:val="24"/>
          <w:szCs w:val="24"/>
          <w:u w:val="none" w:color="auto"/>
        </w:rPr>
        <w:t>——单项水质评价因子i在第j取样点的污染指数；</w:t>
      </w:r>
    </w:p>
    <w:p w14:paraId="3AC72A7B">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C</w:t>
      </w:r>
      <w:r>
        <w:rPr>
          <w:rFonts w:ascii="Times New Roman" w:hAnsi="Times New Roman" w:eastAsia="宋体" w:cs="Times New Roman"/>
          <w:color w:val="auto"/>
          <w:sz w:val="24"/>
          <w:szCs w:val="24"/>
          <w:u w:val="none" w:color="auto"/>
          <w:vertAlign w:val="subscript"/>
        </w:rPr>
        <w:t>ij</w:t>
      </w:r>
      <w:r>
        <w:rPr>
          <w:rFonts w:ascii="Times New Roman" w:hAnsi="Times New Roman" w:eastAsia="宋体" w:cs="Times New Roman"/>
          <w:color w:val="auto"/>
          <w:sz w:val="24"/>
          <w:szCs w:val="24"/>
          <w:u w:val="none" w:color="auto"/>
        </w:rPr>
        <w:t>——水质评价因子i在第j取样点的浓度(mg/L)；</w:t>
      </w:r>
    </w:p>
    <w:p w14:paraId="18922341">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C</w:t>
      </w:r>
      <w:r>
        <w:rPr>
          <w:rFonts w:ascii="Times New Roman" w:hAnsi="Times New Roman" w:eastAsia="宋体" w:cs="Times New Roman"/>
          <w:color w:val="auto"/>
          <w:sz w:val="24"/>
          <w:szCs w:val="24"/>
          <w:u w:val="none" w:color="auto"/>
          <w:vertAlign w:val="subscript"/>
        </w:rPr>
        <w:t>si</w:t>
      </w:r>
      <w:r>
        <w:rPr>
          <w:rFonts w:ascii="Times New Roman" w:hAnsi="Times New Roman" w:eastAsia="宋体" w:cs="Times New Roman"/>
          <w:color w:val="auto"/>
          <w:sz w:val="24"/>
          <w:szCs w:val="24"/>
          <w:u w:val="none" w:color="auto"/>
        </w:rPr>
        <w:t>——评价因子i的评价标准(mg/L)；</w:t>
      </w:r>
    </w:p>
    <w:p w14:paraId="55C9F6C9">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pH</w:t>
      </w:r>
      <w:r>
        <w:rPr>
          <w:rFonts w:hint="eastAsia" w:ascii="Times New Roman" w:hAnsi="Times New Roman" w:eastAsia="宋体" w:cs="Times New Roman"/>
          <w:color w:val="auto"/>
          <w:sz w:val="24"/>
          <w:szCs w:val="24"/>
          <w:u w:val="none" w:color="auto"/>
        </w:rPr>
        <w:t>污染指数按下式</w:t>
      </w:r>
      <w:r>
        <w:rPr>
          <w:rFonts w:ascii="Times New Roman" w:hAnsi="Times New Roman" w:eastAsia="宋体" w:cs="Times New Roman"/>
          <w:color w:val="auto"/>
          <w:sz w:val="24"/>
          <w:szCs w:val="24"/>
          <w:u w:val="none" w:color="auto"/>
        </w:rPr>
        <w:t>计算：</w:t>
      </w:r>
    </w:p>
    <w:p w14:paraId="483CE989">
      <w:pPr>
        <w:pStyle w:val="35"/>
        <w:spacing w:after="0" w:line="360" w:lineRule="auto"/>
        <w:ind w:firstLine="480" w:firstLineChars="200"/>
        <w:rPr>
          <w:rFonts w:eastAsia="宋体"/>
          <w:color w:val="auto"/>
          <w:sz w:val="24"/>
          <w:szCs w:val="24"/>
          <w:u w:val="none" w:color="auto"/>
        </w:rPr>
      </w:pPr>
      <w:r>
        <w:rPr>
          <w:rFonts w:ascii="Times New Roman" w:hAnsi="Times New Roman" w:eastAsia="宋体" w:cs="Times New Roman"/>
          <w:color w:val="auto"/>
          <w:sz w:val="24"/>
          <w:szCs w:val="24"/>
          <w:u w:val="none" w:color="auto"/>
        </w:rPr>
        <w:t>当pH≤7.0</w:t>
      </w:r>
      <w:r>
        <w:rPr>
          <w:rFonts w:hint="eastAsia" w:ascii="Times New Roman" w:hAnsi="Times New Roman" w:eastAsia="宋体" w:cs="Times New Roman"/>
          <w:color w:val="auto"/>
          <w:sz w:val="24"/>
          <w:szCs w:val="24"/>
          <w:u w:val="none" w:color="auto"/>
        </w:rPr>
        <w:t>时：</w:t>
      </w:r>
    </w:p>
    <w:p w14:paraId="52AB7F9A">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1238250" cy="457200"/>
            <wp:effectExtent l="0" t="0" r="0" b="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238250" cy="457200"/>
                    </a:xfrm>
                    <a:prstGeom prst="rect">
                      <a:avLst/>
                    </a:prstGeom>
                    <a:noFill/>
                    <a:ln>
                      <a:noFill/>
                    </a:ln>
                    <a:effectLst/>
                  </pic:spPr>
                </pic:pic>
              </a:graphicData>
            </a:graphic>
          </wp:inline>
        </w:drawing>
      </w:r>
    </w:p>
    <w:p w14:paraId="1F6368CE">
      <w:pPr>
        <w:pStyle w:val="35"/>
        <w:spacing w:after="0" w:line="360" w:lineRule="auto"/>
        <w:ind w:firstLine="480" w:firstLineChars="200"/>
        <w:rPr>
          <w:rFonts w:eastAsia="宋体"/>
          <w:color w:val="auto"/>
          <w:sz w:val="24"/>
          <w:szCs w:val="24"/>
          <w:u w:val="none" w:color="auto"/>
        </w:rPr>
      </w:pPr>
      <w:r>
        <w:rPr>
          <w:rFonts w:ascii="Times New Roman" w:hAnsi="Times New Roman" w:eastAsia="宋体" w:cs="Times New Roman"/>
          <w:color w:val="auto"/>
          <w:sz w:val="24"/>
          <w:szCs w:val="24"/>
          <w:u w:val="none" w:color="auto"/>
        </w:rPr>
        <w:t>当pH</w:t>
      </w:r>
      <w:r>
        <w:rPr>
          <w:rFonts w:ascii="Times New Roman" w:hAnsi="Times New Roman" w:eastAsia="宋体" w:cs="Times New Roman"/>
          <w:color w:val="auto"/>
          <w:sz w:val="24"/>
          <w:u w:val="none" w:color="auto"/>
        </w:rPr>
        <w:t>＞7.0</w:t>
      </w:r>
      <w:r>
        <w:rPr>
          <w:rFonts w:hint="eastAsia" w:ascii="Times New Roman" w:hAnsi="Times New Roman" w:eastAsia="宋体" w:cs="Times New Roman"/>
          <w:color w:val="auto"/>
          <w:sz w:val="24"/>
          <w:szCs w:val="24"/>
          <w:u w:val="none" w:color="auto"/>
        </w:rPr>
        <w:t>时：</w:t>
      </w:r>
    </w:p>
    <w:p w14:paraId="0B691D2F">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1238250" cy="457200"/>
            <wp:effectExtent l="0" t="0" r="11430" b="0"/>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238250" cy="457200"/>
                    </a:xfrm>
                    <a:prstGeom prst="rect">
                      <a:avLst/>
                    </a:prstGeom>
                    <a:noFill/>
                    <a:ln>
                      <a:noFill/>
                    </a:ln>
                    <a:effectLst/>
                  </pic:spPr>
                </pic:pic>
              </a:graphicData>
            </a:graphic>
          </wp:inline>
        </w:drawing>
      </w:r>
    </w:p>
    <w:p w14:paraId="7070684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 pHs――海水pH标准的上限值或下限值。</w:t>
      </w:r>
    </w:p>
    <w:p w14:paraId="721737BD">
      <w:pPr>
        <w:autoSpaceDE w:val="0"/>
        <w:autoSpaceDN w:val="0"/>
        <w:spacing w:line="360" w:lineRule="auto"/>
        <w:ind w:firstLine="420" w:firstLineChars="200"/>
        <w:jc w:val="left"/>
        <w:rPr>
          <w:rFonts w:ascii="Times New Roman" w:hAnsi="Times New Roman" w:eastAsia="宋体" w:cs="Times New Roman"/>
          <w:color w:val="auto"/>
          <w:sz w:val="24"/>
          <w:u w:val="none" w:color="auto"/>
        </w:rPr>
      </w:pPr>
      <w:r>
        <w:rPr>
          <w:color w:val="auto"/>
          <w:u w:val="none" w:color="auto"/>
        </w:rPr>
        <w:drawing>
          <wp:inline distT="0" distB="0" distL="114300" distR="114300">
            <wp:extent cx="5295900" cy="2188210"/>
            <wp:effectExtent l="0" t="0" r="7620" b="635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2"/>
                    <a:stretch>
                      <a:fillRect/>
                    </a:stretch>
                  </pic:blipFill>
                  <pic:spPr>
                    <a:xfrm>
                      <a:off x="0" y="0"/>
                      <a:ext cx="5295900" cy="2188210"/>
                    </a:xfrm>
                    <a:prstGeom prst="rect">
                      <a:avLst/>
                    </a:prstGeom>
                    <a:noFill/>
                    <a:ln>
                      <a:noFill/>
                    </a:ln>
                  </pic:spPr>
                </pic:pic>
              </a:graphicData>
            </a:graphic>
          </wp:inline>
        </w:drawing>
      </w:r>
    </w:p>
    <w:p w14:paraId="0167DF73">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4、监测结果统计及评价</w:t>
      </w:r>
    </w:p>
    <w:p w14:paraId="298AC23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根据表</w:t>
      </w:r>
      <w:r>
        <w:rPr>
          <w:rFonts w:hint="eastAsia" w:ascii="Times New Roman" w:hAnsi="Times New Roman" w:eastAsia="宋体" w:cs="Times New Roman"/>
          <w:color w:val="auto"/>
          <w:sz w:val="24"/>
          <w:u w:val="none" w:color="auto"/>
        </w:rPr>
        <w:t>3.3-1</w:t>
      </w:r>
      <w:r>
        <w:rPr>
          <w:rFonts w:ascii="Times New Roman" w:hAnsi="Times New Roman" w:eastAsia="宋体" w:cs="Times New Roman"/>
          <w:color w:val="auto"/>
          <w:sz w:val="24"/>
          <w:u w:val="none" w:color="auto"/>
        </w:rPr>
        <w:t>可知，</w:t>
      </w:r>
      <w:r>
        <w:rPr>
          <w:rFonts w:hint="eastAsia" w:ascii="Times New Roman" w:hAnsi="Times New Roman" w:eastAsia="宋体" w:cs="Times New Roman"/>
          <w:color w:val="auto"/>
          <w:kern w:val="0"/>
          <w:sz w:val="24"/>
          <w:szCs w:val="24"/>
          <w:u w:val="none" w:color="auto"/>
        </w:rPr>
        <w:t>202</w:t>
      </w:r>
      <w:r>
        <w:rPr>
          <w:rFonts w:hint="eastAsia" w:ascii="Times New Roman" w:hAnsi="Times New Roman" w:eastAsia="宋体" w:cs="Times New Roman"/>
          <w:color w:val="auto"/>
          <w:kern w:val="0"/>
          <w:sz w:val="24"/>
          <w:szCs w:val="24"/>
          <w:u w:val="none" w:color="auto"/>
          <w:lang w:val="en-US" w:eastAsia="zh-CN"/>
        </w:rPr>
        <w:t>3</w:t>
      </w:r>
      <w:r>
        <w:rPr>
          <w:rFonts w:hint="eastAsia" w:ascii="Times New Roman" w:hAnsi="Times New Roman" w:eastAsia="宋体" w:cs="Times New Roman"/>
          <w:color w:val="auto"/>
          <w:kern w:val="0"/>
          <w:sz w:val="24"/>
          <w:szCs w:val="24"/>
          <w:u w:val="none" w:color="auto"/>
        </w:rPr>
        <w:t>年大榄坪污水处理厂尾水排放区域海水各监测因子均达到《海水水质标准》（GB3097-1997）第四类标准。</w:t>
      </w:r>
    </w:p>
    <w:p w14:paraId="4E8E31A6">
      <w:pPr>
        <w:autoSpaceDE w:val="0"/>
        <w:autoSpaceDN w:val="0"/>
        <w:spacing w:line="360" w:lineRule="auto"/>
        <w:ind w:firstLine="480" w:firstLineChars="200"/>
        <w:jc w:val="left"/>
        <w:rPr>
          <w:rFonts w:ascii="Times New Roman" w:hAnsi="Times New Roman" w:eastAsia="宋体" w:cs="Times New Roman"/>
          <w:color w:val="auto"/>
          <w:sz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66ED72C">
      <w:pPr>
        <w:autoSpaceDE w:val="0"/>
        <w:autoSpaceDN w:val="0"/>
        <w:spacing w:line="360" w:lineRule="auto"/>
        <w:jc w:val="center"/>
        <w:rPr>
          <w:rFonts w:ascii="Times New Roman" w:hAnsi="Times New Roman" w:eastAsia="宋体" w:cs="Times New Roman"/>
          <w:b/>
          <w:bCs/>
          <w:color w:val="auto"/>
          <w:sz w:val="24"/>
          <w:u w:val="none" w:color="auto"/>
        </w:rPr>
      </w:pPr>
      <w:r>
        <w:rPr>
          <w:rFonts w:hint="eastAsia" w:ascii="Times New Roman" w:hAnsi="Times New Roman" w:eastAsia="宋体" w:cs="Times New Roman"/>
          <w:b/>
          <w:bCs/>
          <w:color w:val="auto"/>
          <w:sz w:val="24"/>
          <w:u w:val="none" w:color="auto"/>
        </w:rPr>
        <w:t>表3.3-1  202</w:t>
      </w:r>
      <w:r>
        <w:rPr>
          <w:rFonts w:hint="eastAsia" w:ascii="Times New Roman" w:hAnsi="Times New Roman" w:eastAsia="宋体" w:cs="Times New Roman"/>
          <w:b/>
          <w:bCs/>
          <w:color w:val="auto"/>
          <w:sz w:val="24"/>
          <w:u w:val="none" w:color="auto"/>
          <w:lang w:val="en-US" w:eastAsia="zh-CN"/>
        </w:rPr>
        <w:t>3</w:t>
      </w:r>
      <w:r>
        <w:rPr>
          <w:rFonts w:hint="eastAsia" w:ascii="Times New Roman" w:hAnsi="Times New Roman" w:eastAsia="宋体" w:cs="Times New Roman"/>
          <w:b/>
          <w:bCs/>
          <w:color w:val="auto"/>
          <w:sz w:val="24"/>
          <w:u w:val="none" w:color="auto"/>
        </w:rPr>
        <w:t>年大榄坪污水处理厂尾水排放区海水水质监测结果统计与评价表</w:t>
      </w:r>
    </w:p>
    <w:tbl>
      <w:tblPr>
        <w:tblStyle w:val="37"/>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5"/>
        <w:gridCol w:w="1413"/>
        <w:gridCol w:w="1177"/>
        <w:gridCol w:w="1263"/>
        <w:gridCol w:w="1413"/>
        <w:gridCol w:w="1893"/>
        <w:gridCol w:w="1412"/>
      </w:tblGrid>
      <w:tr w14:paraId="21C409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blHeader/>
          <w:jc w:val="center"/>
        </w:trPr>
        <w:tc>
          <w:tcPr>
            <w:tcW w:w="715" w:type="dxa"/>
            <w:vMerge w:val="restart"/>
            <w:vAlign w:val="center"/>
          </w:tcPr>
          <w:p w14:paraId="7BF26B80">
            <w:pPr>
              <w:jc w:val="center"/>
              <w:rPr>
                <w:rFonts w:hint="default" w:ascii="Times New Roman" w:hAnsi="Times New Roman" w:eastAsia="宋体" w:cs="Times New Roman"/>
                <w:color w:val="auto"/>
                <w:spacing w:val="-2"/>
                <w:kern w:val="0"/>
                <w:sz w:val="21"/>
                <w:szCs w:val="21"/>
                <w:u w:val="none" w:color="auto"/>
              </w:rPr>
            </w:pPr>
            <w:bookmarkStart w:id="181" w:name="_Toc3728206"/>
            <w:r>
              <w:rPr>
                <w:rFonts w:hint="default" w:ascii="Times New Roman" w:hAnsi="Times New Roman" w:eastAsia="宋体" w:cs="Times New Roman"/>
                <w:color w:val="auto"/>
                <w:spacing w:val="-2"/>
                <w:kern w:val="0"/>
                <w:sz w:val="21"/>
                <w:szCs w:val="21"/>
                <w:u w:val="none" w:color="auto"/>
              </w:rPr>
              <w:t>序号</w:t>
            </w:r>
          </w:p>
        </w:tc>
        <w:tc>
          <w:tcPr>
            <w:tcW w:w="1413" w:type="dxa"/>
            <w:vMerge w:val="restart"/>
            <w:vAlign w:val="center"/>
          </w:tcPr>
          <w:p w14:paraId="2AE1DB1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项目</w:t>
            </w:r>
          </w:p>
        </w:tc>
        <w:tc>
          <w:tcPr>
            <w:tcW w:w="3853" w:type="dxa"/>
            <w:gridSpan w:val="3"/>
            <w:vAlign w:val="center"/>
          </w:tcPr>
          <w:p w14:paraId="6894F2B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监测日期</w:t>
            </w:r>
          </w:p>
        </w:tc>
        <w:tc>
          <w:tcPr>
            <w:tcW w:w="1893" w:type="dxa"/>
            <w:vMerge w:val="restart"/>
            <w:vAlign w:val="center"/>
          </w:tcPr>
          <w:p w14:paraId="1FD6965B">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标准值</w:t>
            </w:r>
          </w:p>
        </w:tc>
        <w:tc>
          <w:tcPr>
            <w:tcW w:w="1412" w:type="dxa"/>
            <w:vMerge w:val="restart"/>
            <w:vAlign w:val="center"/>
          </w:tcPr>
          <w:p w14:paraId="5CE6962F">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达标情况</w:t>
            </w:r>
          </w:p>
        </w:tc>
      </w:tr>
      <w:tr w14:paraId="48B9B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blHeader/>
          <w:jc w:val="center"/>
        </w:trPr>
        <w:tc>
          <w:tcPr>
            <w:tcW w:w="715" w:type="dxa"/>
            <w:vMerge w:val="continue"/>
            <w:vAlign w:val="center"/>
          </w:tcPr>
          <w:p w14:paraId="1204FDFF">
            <w:pPr>
              <w:jc w:val="center"/>
              <w:rPr>
                <w:rFonts w:hint="default" w:ascii="Times New Roman" w:hAnsi="Times New Roman" w:eastAsia="宋体" w:cs="Times New Roman"/>
                <w:color w:val="auto"/>
                <w:spacing w:val="-2"/>
                <w:kern w:val="0"/>
                <w:sz w:val="21"/>
                <w:szCs w:val="21"/>
                <w:u w:val="none" w:color="auto"/>
              </w:rPr>
            </w:pPr>
          </w:p>
        </w:tc>
        <w:tc>
          <w:tcPr>
            <w:tcW w:w="1413" w:type="dxa"/>
            <w:vMerge w:val="continue"/>
            <w:vAlign w:val="center"/>
          </w:tcPr>
          <w:p w14:paraId="57500273">
            <w:pPr>
              <w:jc w:val="center"/>
              <w:rPr>
                <w:rFonts w:hint="default" w:ascii="Times New Roman" w:hAnsi="Times New Roman" w:eastAsia="宋体" w:cs="Times New Roman"/>
                <w:color w:val="auto"/>
                <w:spacing w:val="-2"/>
                <w:kern w:val="0"/>
                <w:sz w:val="21"/>
                <w:szCs w:val="21"/>
                <w:u w:val="none" w:color="auto"/>
              </w:rPr>
            </w:pPr>
          </w:p>
        </w:tc>
        <w:tc>
          <w:tcPr>
            <w:tcW w:w="1177" w:type="dxa"/>
            <w:vAlign w:val="center"/>
          </w:tcPr>
          <w:p w14:paraId="1236339F">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202</w:t>
            </w:r>
            <w:r>
              <w:rPr>
                <w:rFonts w:hint="default" w:ascii="Times New Roman" w:hAnsi="Times New Roman" w:eastAsia="宋体" w:cs="Times New Roman"/>
                <w:color w:val="auto"/>
                <w:spacing w:val="-2"/>
                <w:kern w:val="0"/>
                <w:sz w:val="21"/>
                <w:szCs w:val="21"/>
                <w:u w:val="none" w:color="auto"/>
                <w:lang w:val="en-US" w:eastAsia="zh-CN"/>
              </w:rPr>
              <w:t>3</w:t>
            </w:r>
            <w:r>
              <w:rPr>
                <w:rFonts w:hint="default" w:ascii="Times New Roman" w:hAnsi="Times New Roman" w:eastAsia="宋体" w:cs="Times New Roman"/>
                <w:color w:val="auto"/>
                <w:spacing w:val="-2"/>
                <w:kern w:val="0"/>
                <w:sz w:val="21"/>
                <w:szCs w:val="21"/>
                <w:u w:val="none" w:color="auto"/>
              </w:rPr>
              <w:t>.4.26</w:t>
            </w:r>
          </w:p>
          <w:p w14:paraId="352BA2BF">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枯水期</w:t>
            </w:r>
          </w:p>
        </w:tc>
        <w:tc>
          <w:tcPr>
            <w:tcW w:w="1263" w:type="dxa"/>
            <w:vAlign w:val="center"/>
          </w:tcPr>
          <w:p w14:paraId="77B6C8A6">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202</w:t>
            </w:r>
            <w:r>
              <w:rPr>
                <w:rFonts w:hint="default" w:ascii="Times New Roman" w:hAnsi="Times New Roman" w:eastAsia="宋体" w:cs="Times New Roman"/>
                <w:color w:val="auto"/>
                <w:spacing w:val="-2"/>
                <w:kern w:val="0"/>
                <w:sz w:val="21"/>
                <w:szCs w:val="21"/>
                <w:u w:val="none" w:color="auto"/>
                <w:lang w:val="en-US" w:eastAsia="zh-CN"/>
              </w:rPr>
              <w:t>3</w:t>
            </w:r>
            <w:r>
              <w:rPr>
                <w:rFonts w:hint="default" w:ascii="Times New Roman" w:hAnsi="Times New Roman" w:eastAsia="宋体" w:cs="Times New Roman"/>
                <w:color w:val="auto"/>
                <w:spacing w:val="-2"/>
                <w:kern w:val="0"/>
                <w:sz w:val="21"/>
                <w:szCs w:val="21"/>
                <w:u w:val="none" w:color="auto"/>
              </w:rPr>
              <w:t>.7.13</w:t>
            </w:r>
          </w:p>
          <w:p w14:paraId="611A16DA">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丰水期</w:t>
            </w:r>
          </w:p>
        </w:tc>
        <w:tc>
          <w:tcPr>
            <w:tcW w:w="1413" w:type="dxa"/>
            <w:vAlign w:val="center"/>
          </w:tcPr>
          <w:p w14:paraId="3C2B927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202</w:t>
            </w:r>
            <w:r>
              <w:rPr>
                <w:rFonts w:hint="default" w:ascii="Times New Roman" w:hAnsi="Times New Roman" w:eastAsia="宋体" w:cs="Times New Roman"/>
                <w:color w:val="auto"/>
                <w:spacing w:val="-2"/>
                <w:kern w:val="0"/>
                <w:sz w:val="21"/>
                <w:szCs w:val="21"/>
                <w:u w:val="none" w:color="auto"/>
                <w:lang w:val="en-US" w:eastAsia="zh-CN"/>
              </w:rPr>
              <w:t>3</w:t>
            </w:r>
            <w:r>
              <w:rPr>
                <w:rFonts w:hint="default" w:ascii="Times New Roman" w:hAnsi="Times New Roman" w:eastAsia="宋体" w:cs="Times New Roman"/>
                <w:color w:val="auto"/>
                <w:spacing w:val="-2"/>
                <w:kern w:val="0"/>
                <w:sz w:val="21"/>
                <w:szCs w:val="21"/>
                <w:u w:val="none" w:color="auto"/>
              </w:rPr>
              <w:t>.11.05</w:t>
            </w:r>
          </w:p>
          <w:p w14:paraId="568B5AE8">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平水期</w:t>
            </w:r>
          </w:p>
        </w:tc>
        <w:tc>
          <w:tcPr>
            <w:tcW w:w="1893" w:type="dxa"/>
            <w:vMerge w:val="continue"/>
            <w:vAlign w:val="center"/>
          </w:tcPr>
          <w:p w14:paraId="63288BB9">
            <w:pPr>
              <w:jc w:val="center"/>
              <w:rPr>
                <w:rFonts w:hint="default" w:ascii="Times New Roman" w:hAnsi="Times New Roman" w:eastAsia="宋体" w:cs="Times New Roman"/>
                <w:color w:val="auto"/>
                <w:spacing w:val="-2"/>
                <w:kern w:val="0"/>
                <w:sz w:val="21"/>
                <w:szCs w:val="21"/>
                <w:u w:val="none" w:color="auto"/>
              </w:rPr>
            </w:pPr>
          </w:p>
        </w:tc>
        <w:tc>
          <w:tcPr>
            <w:tcW w:w="1412" w:type="dxa"/>
            <w:vMerge w:val="continue"/>
            <w:vAlign w:val="center"/>
          </w:tcPr>
          <w:p w14:paraId="550384DB">
            <w:pPr>
              <w:jc w:val="center"/>
              <w:rPr>
                <w:rFonts w:hint="default" w:ascii="Times New Roman" w:hAnsi="Times New Roman" w:eastAsia="宋体" w:cs="Times New Roman"/>
                <w:color w:val="auto"/>
                <w:spacing w:val="-2"/>
                <w:kern w:val="0"/>
                <w:sz w:val="21"/>
                <w:szCs w:val="21"/>
                <w:u w:val="none" w:color="auto"/>
              </w:rPr>
            </w:pPr>
          </w:p>
        </w:tc>
      </w:tr>
      <w:tr w14:paraId="1F4383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743BA3D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w:t>
            </w:r>
          </w:p>
        </w:tc>
        <w:tc>
          <w:tcPr>
            <w:tcW w:w="1413" w:type="dxa"/>
            <w:vAlign w:val="center"/>
          </w:tcPr>
          <w:p w14:paraId="54C04FD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PH</w:t>
            </w:r>
          </w:p>
        </w:tc>
        <w:tc>
          <w:tcPr>
            <w:tcW w:w="1177" w:type="dxa"/>
            <w:vAlign w:val="center"/>
          </w:tcPr>
          <w:p w14:paraId="6D25EF27">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1613DC2E">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63C1EE7E">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168A21EA">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6.8~8.8</w:t>
            </w:r>
          </w:p>
        </w:tc>
        <w:tc>
          <w:tcPr>
            <w:tcW w:w="1412" w:type="dxa"/>
            <w:vAlign w:val="center"/>
          </w:tcPr>
          <w:p w14:paraId="0013BA0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64F9A0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677E150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2</w:t>
            </w:r>
          </w:p>
        </w:tc>
        <w:tc>
          <w:tcPr>
            <w:tcW w:w="1413" w:type="dxa"/>
            <w:vAlign w:val="center"/>
          </w:tcPr>
          <w:p w14:paraId="441734D6">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溶解氧</w:t>
            </w:r>
          </w:p>
        </w:tc>
        <w:tc>
          <w:tcPr>
            <w:tcW w:w="1177" w:type="dxa"/>
            <w:vAlign w:val="center"/>
          </w:tcPr>
          <w:p w14:paraId="4EA4C2EA">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20DE68E4">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50AC9AAB">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53519E6E">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＞3</w:t>
            </w:r>
          </w:p>
        </w:tc>
        <w:tc>
          <w:tcPr>
            <w:tcW w:w="1412" w:type="dxa"/>
            <w:vAlign w:val="center"/>
          </w:tcPr>
          <w:p w14:paraId="7233A9BA">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4C4B18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20229017">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3</w:t>
            </w:r>
          </w:p>
        </w:tc>
        <w:tc>
          <w:tcPr>
            <w:tcW w:w="1413" w:type="dxa"/>
            <w:vAlign w:val="center"/>
          </w:tcPr>
          <w:p w14:paraId="7B4569E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悬浮物</w:t>
            </w:r>
          </w:p>
        </w:tc>
        <w:tc>
          <w:tcPr>
            <w:tcW w:w="1177" w:type="dxa"/>
            <w:vAlign w:val="center"/>
          </w:tcPr>
          <w:p w14:paraId="53526633">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3B3E405D">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31F9B323">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08EA384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人为增加量≤150</w:t>
            </w:r>
          </w:p>
        </w:tc>
        <w:tc>
          <w:tcPr>
            <w:tcW w:w="1412" w:type="dxa"/>
            <w:vAlign w:val="center"/>
          </w:tcPr>
          <w:p w14:paraId="3D8568BF">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09A21A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3E072990">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4</w:t>
            </w:r>
          </w:p>
        </w:tc>
        <w:tc>
          <w:tcPr>
            <w:tcW w:w="1413" w:type="dxa"/>
            <w:vAlign w:val="center"/>
          </w:tcPr>
          <w:p w14:paraId="3E87946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化学需氧量</w:t>
            </w:r>
          </w:p>
        </w:tc>
        <w:tc>
          <w:tcPr>
            <w:tcW w:w="1177" w:type="dxa"/>
            <w:vAlign w:val="center"/>
          </w:tcPr>
          <w:p w14:paraId="743CDA30">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1208B60C">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18BFC6E5">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7E234E2B">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≤5</w:t>
            </w:r>
          </w:p>
        </w:tc>
        <w:tc>
          <w:tcPr>
            <w:tcW w:w="1412" w:type="dxa"/>
            <w:vAlign w:val="center"/>
          </w:tcPr>
          <w:p w14:paraId="48ACD6AA">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152C88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1261E543">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5</w:t>
            </w:r>
          </w:p>
        </w:tc>
        <w:tc>
          <w:tcPr>
            <w:tcW w:w="1413" w:type="dxa"/>
            <w:vAlign w:val="center"/>
          </w:tcPr>
          <w:p w14:paraId="724B8430">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活性磷酸盐</w:t>
            </w:r>
          </w:p>
        </w:tc>
        <w:tc>
          <w:tcPr>
            <w:tcW w:w="1177" w:type="dxa"/>
            <w:vAlign w:val="center"/>
          </w:tcPr>
          <w:p w14:paraId="146A5E94">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427C24A3">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2ACCA7D6">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1259006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≤0.045</w:t>
            </w:r>
          </w:p>
        </w:tc>
        <w:tc>
          <w:tcPr>
            <w:tcW w:w="1412" w:type="dxa"/>
            <w:vAlign w:val="center"/>
          </w:tcPr>
          <w:p w14:paraId="05C8D7A7">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646907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3C5B04DE">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6</w:t>
            </w:r>
          </w:p>
        </w:tc>
        <w:tc>
          <w:tcPr>
            <w:tcW w:w="1413" w:type="dxa"/>
            <w:vAlign w:val="center"/>
          </w:tcPr>
          <w:p w14:paraId="406B9A6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氨氮</w:t>
            </w:r>
          </w:p>
        </w:tc>
        <w:tc>
          <w:tcPr>
            <w:tcW w:w="1177" w:type="dxa"/>
            <w:vAlign w:val="center"/>
          </w:tcPr>
          <w:p w14:paraId="7DFA3B7C">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0BAD984C">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1ABCA618">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5E75684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c>
          <w:tcPr>
            <w:tcW w:w="1412" w:type="dxa"/>
            <w:vAlign w:val="center"/>
          </w:tcPr>
          <w:p w14:paraId="16935D1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r>
      <w:tr w14:paraId="558843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05F4B6CB">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7</w:t>
            </w:r>
          </w:p>
        </w:tc>
        <w:tc>
          <w:tcPr>
            <w:tcW w:w="1413" w:type="dxa"/>
            <w:vAlign w:val="center"/>
          </w:tcPr>
          <w:p w14:paraId="7ECF9827">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硝酸盐氮</w:t>
            </w:r>
          </w:p>
        </w:tc>
        <w:tc>
          <w:tcPr>
            <w:tcW w:w="1177" w:type="dxa"/>
            <w:vAlign w:val="center"/>
          </w:tcPr>
          <w:p w14:paraId="0D4F5A3A">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4533A5CF">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25EA106F">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4B16512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c>
          <w:tcPr>
            <w:tcW w:w="1412" w:type="dxa"/>
            <w:vAlign w:val="center"/>
          </w:tcPr>
          <w:p w14:paraId="74DB53CB">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r>
      <w:tr w14:paraId="6E73DD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4D7D21F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8</w:t>
            </w:r>
          </w:p>
        </w:tc>
        <w:tc>
          <w:tcPr>
            <w:tcW w:w="1413" w:type="dxa"/>
            <w:vAlign w:val="center"/>
          </w:tcPr>
          <w:p w14:paraId="3AE8371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亚硝酸盐氮</w:t>
            </w:r>
          </w:p>
        </w:tc>
        <w:tc>
          <w:tcPr>
            <w:tcW w:w="1177" w:type="dxa"/>
            <w:vAlign w:val="center"/>
          </w:tcPr>
          <w:p w14:paraId="387808D0">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479EF5E1">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1A9FEADF">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3E969496">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c>
          <w:tcPr>
            <w:tcW w:w="1412" w:type="dxa"/>
            <w:vAlign w:val="center"/>
          </w:tcPr>
          <w:p w14:paraId="40D376E2">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w:t>
            </w:r>
          </w:p>
        </w:tc>
      </w:tr>
      <w:tr w14:paraId="6A92A6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6D41B48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9</w:t>
            </w:r>
          </w:p>
        </w:tc>
        <w:tc>
          <w:tcPr>
            <w:tcW w:w="1413" w:type="dxa"/>
            <w:vAlign w:val="center"/>
          </w:tcPr>
          <w:p w14:paraId="0684E60C">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无机氮</w:t>
            </w:r>
          </w:p>
        </w:tc>
        <w:tc>
          <w:tcPr>
            <w:tcW w:w="1177" w:type="dxa"/>
            <w:vAlign w:val="center"/>
          </w:tcPr>
          <w:p w14:paraId="6134DEA9">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557E5347">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07625F78">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1CCF261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≤0.5</w:t>
            </w:r>
          </w:p>
        </w:tc>
        <w:tc>
          <w:tcPr>
            <w:tcW w:w="1412" w:type="dxa"/>
            <w:vAlign w:val="center"/>
          </w:tcPr>
          <w:p w14:paraId="53AD0A0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4BA080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79DEED6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10</w:t>
            </w:r>
          </w:p>
        </w:tc>
        <w:tc>
          <w:tcPr>
            <w:tcW w:w="1413" w:type="dxa"/>
            <w:vAlign w:val="center"/>
          </w:tcPr>
          <w:p w14:paraId="641195D4">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非离子氨</w:t>
            </w:r>
          </w:p>
        </w:tc>
        <w:tc>
          <w:tcPr>
            <w:tcW w:w="1177" w:type="dxa"/>
            <w:vAlign w:val="center"/>
          </w:tcPr>
          <w:p w14:paraId="64FFD441">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6CA125E5">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78768E1A">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2C51235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≤0.02</w:t>
            </w:r>
          </w:p>
        </w:tc>
        <w:tc>
          <w:tcPr>
            <w:tcW w:w="1412" w:type="dxa"/>
            <w:vAlign w:val="center"/>
          </w:tcPr>
          <w:p w14:paraId="6CC9A38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484091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2007830E">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11</w:t>
            </w:r>
          </w:p>
        </w:tc>
        <w:tc>
          <w:tcPr>
            <w:tcW w:w="1413" w:type="dxa"/>
            <w:vAlign w:val="center"/>
          </w:tcPr>
          <w:p w14:paraId="218214D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油类</w:t>
            </w:r>
          </w:p>
        </w:tc>
        <w:tc>
          <w:tcPr>
            <w:tcW w:w="1177" w:type="dxa"/>
            <w:vAlign w:val="center"/>
          </w:tcPr>
          <w:p w14:paraId="74C2DE28">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1EA850B6">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45AE52DC">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6FB5F363">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≤0.5</w:t>
            </w:r>
          </w:p>
        </w:tc>
        <w:tc>
          <w:tcPr>
            <w:tcW w:w="1412" w:type="dxa"/>
            <w:vAlign w:val="center"/>
          </w:tcPr>
          <w:p w14:paraId="43DFC617">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025E3A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4749C15F">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12</w:t>
            </w:r>
          </w:p>
        </w:tc>
        <w:tc>
          <w:tcPr>
            <w:tcW w:w="1413" w:type="dxa"/>
            <w:vAlign w:val="center"/>
          </w:tcPr>
          <w:p w14:paraId="08F0E820">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汞</w:t>
            </w:r>
          </w:p>
        </w:tc>
        <w:tc>
          <w:tcPr>
            <w:tcW w:w="1177" w:type="dxa"/>
            <w:vAlign w:val="center"/>
          </w:tcPr>
          <w:p w14:paraId="6750AC24">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17F7161A">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72B0EF8B">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60AB3D84">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≤0.0005</w:t>
            </w:r>
          </w:p>
        </w:tc>
        <w:tc>
          <w:tcPr>
            <w:tcW w:w="1412" w:type="dxa"/>
            <w:vAlign w:val="center"/>
          </w:tcPr>
          <w:p w14:paraId="37800846">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5742AD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52F6F00E">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13</w:t>
            </w:r>
          </w:p>
        </w:tc>
        <w:tc>
          <w:tcPr>
            <w:tcW w:w="1413" w:type="dxa"/>
            <w:vAlign w:val="center"/>
          </w:tcPr>
          <w:p w14:paraId="2A384E84">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铜</w:t>
            </w:r>
          </w:p>
        </w:tc>
        <w:tc>
          <w:tcPr>
            <w:tcW w:w="1177" w:type="dxa"/>
            <w:vAlign w:val="center"/>
          </w:tcPr>
          <w:p w14:paraId="474EE781">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44D87243">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5423E003">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61292690">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≤0.050</w:t>
            </w:r>
          </w:p>
        </w:tc>
        <w:tc>
          <w:tcPr>
            <w:tcW w:w="1412" w:type="dxa"/>
            <w:vAlign w:val="center"/>
          </w:tcPr>
          <w:p w14:paraId="40398B7A">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231C27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153A0A34">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14</w:t>
            </w:r>
          </w:p>
        </w:tc>
        <w:tc>
          <w:tcPr>
            <w:tcW w:w="1413" w:type="dxa"/>
            <w:vAlign w:val="center"/>
          </w:tcPr>
          <w:p w14:paraId="56251734">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铅</w:t>
            </w:r>
          </w:p>
        </w:tc>
        <w:tc>
          <w:tcPr>
            <w:tcW w:w="1177" w:type="dxa"/>
            <w:vAlign w:val="center"/>
          </w:tcPr>
          <w:p w14:paraId="1E72ACBC">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3B09AA68">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76932B6D">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7335ED6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≤0.050</w:t>
            </w:r>
          </w:p>
        </w:tc>
        <w:tc>
          <w:tcPr>
            <w:tcW w:w="1412" w:type="dxa"/>
            <w:vAlign w:val="center"/>
          </w:tcPr>
          <w:p w14:paraId="36725003">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r w14:paraId="4FE72D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15" w:type="dxa"/>
            <w:vAlign w:val="center"/>
          </w:tcPr>
          <w:p w14:paraId="57B2B38D">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15</w:t>
            </w:r>
          </w:p>
        </w:tc>
        <w:tc>
          <w:tcPr>
            <w:tcW w:w="1413" w:type="dxa"/>
            <w:vAlign w:val="center"/>
          </w:tcPr>
          <w:p w14:paraId="6F382538">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镉</w:t>
            </w:r>
          </w:p>
        </w:tc>
        <w:tc>
          <w:tcPr>
            <w:tcW w:w="1177" w:type="dxa"/>
            <w:vAlign w:val="center"/>
          </w:tcPr>
          <w:p w14:paraId="5E923D2B">
            <w:pPr>
              <w:jc w:val="center"/>
              <w:rPr>
                <w:rFonts w:hint="default" w:ascii="Times New Roman" w:hAnsi="Times New Roman" w:eastAsia="宋体" w:cs="Times New Roman"/>
                <w:color w:val="auto"/>
                <w:spacing w:val="-2"/>
                <w:kern w:val="0"/>
                <w:sz w:val="21"/>
                <w:szCs w:val="21"/>
                <w:u w:val="none" w:color="auto"/>
              </w:rPr>
            </w:pPr>
          </w:p>
        </w:tc>
        <w:tc>
          <w:tcPr>
            <w:tcW w:w="1263" w:type="dxa"/>
            <w:vAlign w:val="center"/>
          </w:tcPr>
          <w:p w14:paraId="37F31E60">
            <w:pPr>
              <w:jc w:val="center"/>
              <w:rPr>
                <w:rFonts w:hint="default" w:ascii="Times New Roman" w:hAnsi="Times New Roman" w:eastAsia="宋体" w:cs="Times New Roman"/>
                <w:color w:val="auto"/>
                <w:spacing w:val="-2"/>
                <w:kern w:val="0"/>
                <w:sz w:val="21"/>
                <w:szCs w:val="21"/>
                <w:u w:val="none" w:color="auto"/>
              </w:rPr>
            </w:pPr>
          </w:p>
        </w:tc>
        <w:tc>
          <w:tcPr>
            <w:tcW w:w="1413" w:type="dxa"/>
            <w:vAlign w:val="center"/>
          </w:tcPr>
          <w:p w14:paraId="776EC463">
            <w:pPr>
              <w:jc w:val="center"/>
              <w:rPr>
                <w:rFonts w:hint="default" w:ascii="Times New Roman" w:hAnsi="Times New Roman" w:eastAsia="宋体" w:cs="Times New Roman"/>
                <w:color w:val="auto"/>
                <w:spacing w:val="-2"/>
                <w:kern w:val="0"/>
                <w:sz w:val="21"/>
                <w:szCs w:val="21"/>
                <w:u w:val="none" w:color="auto"/>
              </w:rPr>
            </w:pPr>
          </w:p>
        </w:tc>
        <w:tc>
          <w:tcPr>
            <w:tcW w:w="1893" w:type="dxa"/>
            <w:vAlign w:val="center"/>
          </w:tcPr>
          <w:p w14:paraId="024973F9">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≤0.010</w:t>
            </w:r>
          </w:p>
        </w:tc>
        <w:tc>
          <w:tcPr>
            <w:tcW w:w="1412" w:type="dxa"/>
            <w:vAlign w:val="center"/>
          </w:tcPr>
          <w:p w14:paraId="7EB968B1">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达标</w:t>
            </w:r>
          </w:p>
        </w:tc>
      </w:tr>
    </w:tbl>
    <w:p w14:paraId="5E948D22">
      <w:pPr>
        <w:pStyle w:val="3"/>
        <w:bidi w:val="0"/>
        <w:rPr>
          <w:color w:val="auto"/>
          <w:u w:val="none" w:color="auto"/>
        </w:rPr>
      </w:pPr>
      <w:bookmarkStart w:id="182" w:name="_Toc30500"/>
      <w:r>
        <w:rPr>
          <w:rFonts w:hint="eastAsia"/>
          <w:color w:val="auto"/>
          <w:u w:val="none" w:color="auto"/>
        </w:rPr>
        <w:t>地下水</w:t>
      </w:r>
      <w:r>
        <w:rPr>
          <w:color w:val="auto"/>
          <w:u w:val="none" w:color="auto"/>
        </w:rPr>
        <w:t>环境质量现状调查与评价</w:t>
      </w:r>
      <w:bookmarkEnd w:id="182"/>
    </w:p>
    <w:p w14:paraId="78694D77">
      <w:pPr>
        <w:pStyle w:val="4"/>
        <w:bidi w:val="0"/>
        <w:rPr>
          <w:color w:val="auto"/>
          <w:u w:val="none" w:color="auto"/>
        </w:rPr>
      </w:pPr>
      <w:bookmarkStart w:id="183" w:name="_Toc3728200"/>
      <w:r>
        <w:rPr>
          <w:color w:val="auto"/>
          <w:u w:val="none" w:color="auto"/>
        </w:rPr>
        <w:t>监测点位</w:t>
      </w:r>
      <w:bookmarkEnd w:id="183"/>
    </w:p>
    <w:p w14:paraId="3C822A4B">
      <w:pPr>
        <w:autoSpaceDE w:val="0"/>
        <w:autoSpaceDN w:val="0"/>
        <w:spacing w:line="360" w:lineRule="auto"/>
        <w:ind w:firstLine="480" w:firstLineChars="200"/>
        <w:jc w:val="left"/>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single" w:color="auto"/>
          <w:lang w:val="en-US" w:eastAsia="zh-CN"/>
        </w:rPr>
        <w:t>本项目区域为填海区，本次评价水位监测引用本项目岩土勘察报告，即《钦州锦峰海洋重工年产20万吨海洋重装项目二期工程岩土工程勘察报告》（钦州地质基础有限公司，2024年2月），水文观测结果见表3.4-1。</w:t>
      </w:r>
    </w:p>
    <w:p w14:paraId="1DADE58D">
      <w:pPr>
        <w:pStyle w:val="6"/>
        <w:tabs>
          <w:tab w:val="left" w:pos="2661"/>
          <w:tab w:val="clear" w:pos="927"/>
        </w:tabs>
        <w:bidi w:val="0"/>
        <w:rPr>
          <w:color w:val="auto"/>
          <w:u w:val="none" w:color="auto"/>
        </w:rPr>
      </w:pPr>
      <w:r>
        <w:rPr>
          <w:color w:val="auto"/>
          <w:u w:val="none" w:color="auto"/>
        </w:rPr>
        <w:t>地下水位监测点位及结果一览表</w:t>
      </w:r>
    </w:p>
    <w:tbl>
      <w:tblPr>
        <w:tblStyle w:val="37"/>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750"/>
        <w:gridCol w:w="1782"/>
        <w:gridCol w:w="1802"/>
      </w:tblGrid>
      <w:tr w14:paraId="4041AD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vMerge w:val="restart"/>
            <w:tcBorders>
              <w:tl2br w:val="nil"/>
              <w:tr2bl w:val="nil"/>
            </w:tcBorders>
            <w:noWrap w:val="0"/>
            <w:tcMar>
              <w:top w:w="15" w:type="dxa"/>
              <w:left w:w="15" w:type="dxa"/>
              <w:right w:w="15" w:type="dxa"/>
            </w:tcMar>
            <w:vAlign w:val="center"/>
          </w:tcPr>
          <w:p w14:paraId="6A0E14F8">
            <w:pPr>
              <w:keepNext w:val="0"/>
              <w:keepLines w:val="0"/>
              <w:widowControl/>
              <w:suppressLineNumbers w:val="0"/>
              <w:adjustRightInd w:val="0"/>
              <w:snapToGrid w:val="0"/>
              <w:spacing w:before="0" w:beforeAutospacing="0" w:after="0" w:afterAutospacing="0" w:line="276" w:lineRule="auto"/>
              <w:ind w:left="0" w:right="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lang w:val="en-US" w:eastAsia="zh-CN"/>
              </w:rPr>
              <w:t>孔号</w:t>
            </w:r>
          </w:p>
        </w:tc>
        <w:tc>
          <w:tcPr>
            <w:tcW w:w="2150" w:type="pct"/>
            <w:gridSpan w:val="2"/>
            <w:tcBorders>
              <w:tl2br w:val="nil"/>
              <w:tr2bl w:val="nil"/>
            </w:tcBorders>
            <w:noWrap w:val="0"/>
            <w:tcMar>
              <w:top w:w="15" w:type="dxa"/>
              <w:left w:w="15" w:type="dxa"/>
              <w:right w:w="15" w:type="dxa"/>
            </w:tcMar>
            <w:vAlign w:val="center"/>
          </w:tcPr>
          <w:p w14:paraId="6B6D028F">
            <w:pPr>
              <w:keepNext w:val="0"/>
              <w:keepLines w:val="0"/>
              <w:widowControl/>
              <w:suppressLineNumbers w:val="0"/>
              <w:adjustRightInd w:val="0"/>
              <w:snapToGrid w:val="0"/>
              <w:spacing w:before="0" w:beforeAutospacing="0" w:after="0" w:afterAutospacing="0" w:line="276" w:lineRule="auto"/>
              <w:ind w:left="0" w:right="0"/>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水位</w:t>
            </w:r>
          </w:p>
        </w:tc>
      </w:tr>
      <w:tr w14:paraId="179F4E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vMerge w:val="continue"/>
            <w:tcBorders>
              <w:tl2br w:val="nil"/>
              <w:tr2bl w:val="nil"/>
            </w:tcBorders>
            <w:noWrap w:val="0"/>
            <w:tcMar>
              <w:top w:w="15" w:type="dxa"/>
              <w:left w:w="15" w:type="dxa"/>
              <w:right w:w="15" w:type="dxa"/>
            </w:tcMar>
            <w:vAlign w:val="center"/>
          </w:tcPr>
          <w:p w14:paraId="095E8719">
            <w:pPr>
              <w:keepNext w:val="0"/>
              <w:keepLines w:val="0"/>
              <w:widowControl/>
              <w:suppressLineNumbers w:val="0"/>
              <w:adjustRightInd w:val="0"/>
              <w:snapToGrid w:val="0"/>
              <w:spacing w:before="0" w:beforeAutospacing="0" w:after="0" w:afterAutospacing="0" w:line="276" w:lineRule="auto"/>
              <w:ind w:left="0" w:right="0"/>
              <w:jc w:val="center"/>
              <w:rPr>
                <w:rFonts w:hint="default" w:ascii="Times New Roman" w:hAnsi="Times New Roman" w:eastAsia="宋体" w:cs="Times New Roman"/>
                <w:b/>
                <w:color w:val="auto"/>
                <w:sz w:val="21"/>
                <w:szCs w:val="21"/>
                <w:u w:val="single" w:color="auto"/>
              </w:rPr>
            </w:pPr>
          </w:p>
        </w:tc>
        <w:tc>
          <w:tcPr>
            <w:tcW w:w="1069" w:type="pct"/>
            <w:tcBorders>
              <w:tl2br w:val="nil"/>
              <w:tr2bl w:val="nil"/>
            </w:tcBorders>
            <w:noWrap w:val="0"/>
            <w:tcMar>
              <w:top w:w="15" w:type="dxa"/>
              <w:left w:w="15" w:type="dxa"/>
              <w:right w:w="15" w:type="dxa"/>
            </w:tcMar>
            <w:vAlign w:val="center"/>
          </w:tcPr>
          <w:p w14:paraId="631C2681">
            <w:pPr>
              <w:keepNext w:val="0"/>
              <w:keepLines w:val="0"/>
              <w:widowControl/>
              <w:suppressLineNumbers w:val="0"/>
              <w:adjustRightInd w:val="0"/>
              <w:snapToGrid w:val="0"/>
              <w:spacing w:before="0" w:beforeAutospacing="0" w:after="0" w:afterAutospacing="0" w:line="276" w:lineRule="auto"/>
              <w:ind w:left="0" w:right="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埋深（m）</w:t>
            </w:r>
          </w:p>
        </w:tc>
        <w:tc>
          <w:tcPr>
            <w:tcW w:w="1080" w:type="pct"/>
            <w:tcBorders>
              <w:tl2br w:val="nil"/>
              <w:tr2bl w:val="nil"/>
            </w:tcBorders>
            <w:noWrap w:val="0"/>
            <w:tcMar>
              <w:top w:w="15" w:type="dxa"/>
              <w:left w:w="15" w:type="dxa"/>
              <w:right w:w="15" w:type="dxa"/>
            </w:tcMar>
            <w:vAlign w:val="center"/>
          </w:tcPr>
          <w:p w14:paraId="2482E6BF">
            <w:pPr>
              <w:keepNext w:val="0"/>
              <w:keepLines w:val="0"/>
              <w:widowControl/>
              <w:suppressLineNumbers w:val="0"/>
              <w:adjustRightInd w:val="0"/>
              <w:snapToGrid w:val="0"/>
              <w:spacing w:before="0" w:beforeAutospacing="0" w:after="0" w:afterAutospacing="0" w:line="276" w:lineRule="auto"/>
              <w:ind w:left="0" w:right="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lang w:val="en-US" w:eastAsia="zh-CN"/>
              </w:rPr>
              <w:t>标高</w:t>
            </w:r>
            <w:r>
              <w:rPr>
                <w:rFonts w:hint="default" w:ascii="Times New Roman" w:hAnsi="Times New Roman" w:eastAsia="宋体" w:cs="Times New Roman"/>
                <w:b/>
                <w:color w:val="auto"/>
                <w:sz w:val="21"/>
                <w:szCs w:val="21"/>
                <w:u w:val="single" w:color="auto"/>
              </w:rPr>
              <w:t>（m）</w:t>
            </w:r>
          </w:p>
        </w:tc>
      </w:tr>
      <w:tr w14:paraId="240B5C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noWrap w:val="0"/>
            <w:tcMar>
              <w:top w:w="15" w:type="dxa"/>
              <w:left w:w="15" w:type="dxa"/>
              <w:right w:w="15" w:type="dxa"/>
            </w:tcMar>
            <w:vAlign w:val="center"/>
          </w:tcPr>
          <w:p w14:paraId="06590979">
            <w:pPr>
              <w:jc w:val="center"/>
              <w:rPr>
                <w:rFonts w:hint="default" w:ascii="Times New Roman" w:hAnsi="Times New Roman" w:eastAsia="宋体" w:cs="Times New Roman"/>
                <w:color w:val="auto"/>
                <w:spacing w:val="-2"/>
                <w:kern w:val="0"/>
                <w:sz w:val="21"/>
                <w:szCs w:val="21"/>
                <w:u w:val="single" w:color="auto"/>
              </w:rPr>
            </w:pPr>
            <w:r>
              <w:rPr>
                <w:rFonts w:hint="default" w:ascii="Times New Roman" w:hAnsi="Times New Roman" w:eastAsia="宋体" w:cs="Times New Roman"/>
                <w:color w:val="auto"/>
                <w:spacing w:val="-2"/>
                <w:kern w:val="0"/>
                <w:sz w:val="21"/>
                <w:szCs w:val="21"/>
                <w:u w:val="single" w:color="auto"/>
                <w:lang w:val="en-US" w:eastAsia="zh-CN"/>
              </w:rPr>
              <w:t>zk4</w:t>
            </w:r>
          </w:p>
        </w:tc>
        <w:tc>
          <w:tcPr>
            <w:tcW w:w="1069" w:type="pct"/>
            <w:tcBorders>
              <w:tl2br w:val="nil"/>
              <w:tr2bl w:val="nil"/>
            </w:tcBorders>
            <w:noWrap w:val="0"/>
            <w:tcMar>
              <w:top w:w="15" w:type="dxa"/>
              <w:left w:w="15" w:type="dxa"/>
              <w:right w:w="15" w:type="dxa"/>
            </w:tcMar>
            <w:vAlign w:val="center"/>
          </w:tcPr>
          <w:p w14:paraId="07230941">
            <w:pPr>
              <w:jc w:val="center"/>
              <w:rPr>
                <w:rFonts w:hint="default" w:ascii="Times New Roman" w:hAnsi="Times New Roman" w:eastAsia="宋体" w:cs="Times New Roman"/>
                <w:color w:val="auto"/>
                <w:spacing w:val="-2"/>
                <w:kern w:val="0"/>
                <w:sz w:val="21"/>
                <w:szCs w:val="21"/>
                <w:u w:val="single" w:color="auto"/>
              </w:rPr>
            </w:pPr>
          </w:p>
        </w:tc>
        <w:tc>
          <w:tcPr>
            <w:tcW w:w="1080" w:type="pct"/>
            <w:tcBorders>
              <w:tl2br w:val="nil"/>
              <w:tr2bl w:val="nil"/>
            </w:tcBorders>
            <w:noWrap w:val="0"/>
            <w:tcMar>
              <w:top w:w="15" w:type="dxa"/>
              <w:left w:w="15" w:type="dxa"/>
              <w:right w:w="15" w:type="dxa"/>
            </w:tcMar>
            <w:vAlign w:val="center"/>
          </w:tcPr>
          <w:p w14:paraId="0BF1643C">
            <w:pPr>
              <w:jc w:val="center"/>
              <w:rPr>
                <w:rFonts w:hint="default" w:ascii="Times New Roman" w:hAnsi="Times New Roman" w:eastAsia="宋体" w:cs="Times New Roman"/>
                <w:color w:val="auto"/>
                <w:spacing w:val="-2"/>
                <w:kern w:val="0"/>
                <w:sz w:val="21"/>
                <w:szCs w:val="21"/>
                <w:u w:val="single" w:color="auto"/>
              </w:rPr>
            </w:pPr>
          </w:p>
        </w:tc>
      </w:tr>
      <w:tr w14:paraId="2CF3F3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noWrap w:val="0"/>
            <w:tcMar>
              <w:top w:w="15" w:type="dxa"/>
              <w:left w:w="15" w:type="dxa"/>
              <w:right w:w="15" w:type="dxa"/>
            </w:tcMar>
            <w:vAlign w:val="center"/>
          </w:tcPr>
          <w:p w14:paraId="246011FE">
            <w:pPr>
              <w:jc w:val="center"/>
              <w:rPr>
                <w:rFonts w:hint="default" w:ascii="Times New Roman" w:hAnsi="Times New Roman" w:eastAsia="宋体" w:cs="Times New Roman"/>
                <w:color w:val="auto"/>
                <w:spacing w:val="-2"/>
                <w:kern w:val="0"/>
                <w:sz w:val="21"/>
                <w:szCs w:val="21"/>
                <w:u w:val="single" w:color="auto"/>
              </w:rPr>
            </w:pPr>
            <w:r>
              <w:rPr>
                <w:rFonts w:hint="default" w:ascii="Times New Roman" w:hAnsi="Times New Roman" w:eastAsia="宋体" w:cs="Times New Roman"/>
                <w:color w:val="auto"/>
                <w:spacing w:val="-2"/>
                <w:kern w:val="0"/>
                <w:sz w:val="21"/>
                <w:szCs w:val="21"/>
                <w:u w:val="single" w:color="auto"/>
                <w:lang w:val="en-US" w:eastAsia="zh-CN"/>
              </w:rPr>
              <w:t>zk13</w:t>
            </w:r>
          </w:p>
        </w:tc>
        <w:tc>
          <w:tcPr>
            <w:tcW w:w="1069" w:type="pct"/>
            <w:tcBorders>
              <w:tl2br w:val="nil"/>
              <w:tr2bl w:val="nil"/>
            </w:tcBorders>
            <w:noWrap w:val="0"/>
            <w:tcMar>
              <w:top w:w="15" w:type="dxa"/>
              <w:left w:w="15" w:type="dxa"/>
              <w:right w:w="15" w:type="dxa"/>
            </w:tcMar>
            <w:vAlign w:val="center"/>
          </w:tcPr>
          <w:p w14:paraId="154AAC07">
            <w:pPr>
              <w:jc w:val="center"/>
              <w:rPr>
                <w:rFonts w:hint="default" w:ascii="Times New Roman" w:hAnsi="Times New Roman" w:eastAsia="宋体" w:cs="Times New Roman"/>
                <w:color w:val="auto"/>
                <w:spacing w:val="-2"/>
                <w:kern w:val="0"/>
                <w:sz w:val="21"/>
                <w:szCs w:val="21"/>
                <w:u w:val="single" w:color="auto"/>
              </w:rPr>
            </w:pPr>
          </w:p>
        </w:tc>
        <w:tc>
          <w:tcPr>
            <w:tcW w:w="1080" w:type="pct"/>
            <w:tcBorders>
              <w:tl2br w:val="nil"/>
              <w:tr2bl w:val="nil"/>
            </w:tcBorders>
            <w:noWrap w:val="0"/>
            <w:tcMar>
              <w:top w:w="15" w:type="dxa"/>
              <w:left w:w="15" w:type="dxa"/>
              <w:right w:w="15" w:type="dxa"/>
            </w:tcMar>
            <w:vAlign w:val="center"/>
          </w:tcPr>
          <w:p w14:paraId="56E1BBC2">
            <w:pPr>
              <w:jc w:val="center"/>
              <w:rPr>
                <w:rFonts w:hint="default" w:ascii="Times New Roman" w:hAnsi="Times New Roman" w:eastAsia="宋体" w:cs="Times New Roman"/>
                <w:color w:val="auto"/>
                <w:spacing w:val="-2"/>
                <w:kern w:val="0"/>
                <w:sz w:val="21"/>
                <w:szCs w:val="21"/>
                <w:u w:val="single" w:color="auto"/>
              </w:rPr>
            </w:pPr>
          </w:p>
        </w:tc>
      </w:tr>
      <w:tr w14:paraId="0A5B77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shd w:val="clear" w:color="auto" w:fill="auto"/>
            <w:noWrap w:val="0"/>
            <w:tcMar>
              <w:top w:w="15" w:type="dxa"/>
              <w:left w:w="15" w:type="dxa"/>
              <w:right w:w="15" w:type="dxa"/>
            </w:tcMar>
            <w:vAlign w:val="center"/>
          </w:tcPr>
          <w:p w14:paraId="2C96BC87">
            <w:pPr>
              <w:jc w:val="center"/>
              <w:rPr>
                <w:rFonts w:hint="default" w:ascii="Times New Roman" w:hAnsi="Times New Roman" w:eastAsia="宋体" w:cs="Times New Roman"/>
                <w:color w:val="auto"/>
                <w:spacing w:val="-2"/>
                <w:kern w:val="0"/>
                <w:sz w:val="21"/>
                <w:szCs w:val="21"/>
                <w:u w:val="single" w:color="auto"/>
                <w:lang w:val="en-US" w:eastAsia="zh-CN"/>
              </w:rPr>
            </w:pPr>
            <w:r>
              <w:rPr>
                <w:rFonts w:hint="default" w:ascii="Times New Roman" w:hAnsi="Times New Roman" w:eastAsia="宋体" w:cs="Times New Roman"/>
                <w:color w:val="auto"/>
                <w:spacing w:val="-2"/>
                <w:kern w:val="0"/>
                <w:sz w:val="21"/>
                <w:szCs w:val="21"/>
                <w:u w:val="single" w:color="auto"/>
                <w:lang w:val="en-US" w:eastAsia="zh-CN"/>
              </w:rPr>
              <w:t>zk19</w:t>
            </w:r>
          </w:p>
        </w:tc>
        <w:tc>
          <w:tcPr>
            <w:tcW w:w="1069" w:type="pct"/>
            <w:tcBorders>
              <w:tl2br w:val="nil"/>
              <w:tr2bl w:val="nil"/>
            </w:tcBorders>
            <w:noWrap w:val="0"/>
            <w:tcMar>
              <w:top w:w="15" w:type="dxa"/>
              <w:left w:w="15" w:type="dxa"/>
              <w:right w:w="15" w:type="dxa"/>
            </w:tcMar>
            <w:vAlign w:val="center"/>
          </w:tcPr>
          <w:p w14:paraId="5E5C0E90">
            <w:pPr>
              <w:jc w:val="center"/>
              <w:rPr>
                <w:rFonts w:hint="default" w:ascii="Times New Roman" w:hAnsi="Times New Roman" w:eastAsia="宋体" w:cs="Times New Roman"/>
                <w:color w:val="auto"/>
                <w:spacing w:val="-2"/>
                <w:kern w:val="0"/>
                <w:sz w:val="21"/>
                <w:szCs w:val="21"/>
                <w:u w:val="single" w:color="auto"/>
                <w:lang w:val="en-US" w:eastAsia="zh-CN"/>
              </w:rPr>
            </w:pPr>
          </w:p>
        </w:tc>
        <w:tc>
          <w:tcPr>
            <w:tcW w:w="1080" w:type="pct"/>
            <w:tcBorders>
              <w:tl2br w:val="nil"/>
              <w:tr2bl w:val="nil"/>
            </w:tcBorders>
            <w:noWrap w:val="0"/>
            <w:tcMar>
              <w:top w:w="15" w:type="dxa"/>
              <w:left w:w="15" w:type="dxa"/>
              <w:right w:w="15" w:type="dxa"/>
            </w:tcMar>
            <w:vAlign w:val="center"/>
          </w:tcPr>
          <w:p w14:paraId="4E800222">
            <w:pPr>
              <w:jc w:val="center"/>
              <w:rPr>
                <w:rFonts w:hint="default" w:ascii="Times New Roman" w:hAnsi="Times New Roman" w:eastAsia="宋体" w:cs="Times New Roman"/>
                <w:color w:val="auto"/>
                <w:spacing w:val="-2"/>
                <w:kern w:val="0"/>
                <w:sz w:val="21"/>
                <w:szCs w:val="21"/>
                <w:u w:val="single" w:color="auto"/>
              </w:rPr>
            </w:pPr>
          </w:p>
        </w:tc>
      </w:tr>
      <w:tr w14:paraId="658750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noWrap w:val="0"/>
            <w:tcMar>
              <w:top w:w="15" w:type="dxa"/>
              <w:left w:w="15" w:type="dxa"/>
              <w:right w:w="15" w:type="dxa"/>
            </w:tcMar>
            <w:vAlign w:val="center"/>
          </w:tcPr>
          <w:p w14:paraId="6ACFAA88">
            <w:pPr>
              <w:jc w:val="center"/>
              <w:rPr>
                <w:rFonts w:hint="default" w:ascii="Times New Roman" w:hAnsi="Times New Roman" w:eastAsia="宋体" w:cs="Times New Roman"/>
                <w:color w:val="auto"/>
                <w:spacing w:val="-2"/>
                <w:kern w:val="0"/>
                <w:sz w:val="21"/>
                <w:szCs w:val="21"/>
                <w:u w:val="single" w:color="auto"/>
                <w:lang w:val="en-US" w:eastAsia="zh-CN"/>
              </w:rPr>
            </w:pPr>
            <w:r>
              <w:rPr>
                <w:rFonts w:hint="default" w:ascii="Times New Roman" w:hAnsi="Times New Roman" w:eastAsia="宋体" w:cs="Times New Roman"/>
                <w:color w:val="auto"/>
                <w:spacing w:val="-2"/>
                <w:kern w:val="0"/>
                <w:sz w:val="21"/>
                <w:szCs w:val="21"/>
                <w:u w:val="single" w:color="auto"/>
                <w:lang w:val="en-US" w:eastAsia="zh-CN"/>
              </w:rPr>
              <w:t>zk23</w:t>
            </w:r>
          </w:p>
        </w:tc>
        <w:tc>
          <w:tcPr>
            <w:tcW w:w="1069" w:type="pct"/>
            <w:tcBorders>
              <w:tl2br w:val="nil"/>
              <w:tr2bl w:val="nil"/>
            </w:tcBorders>
            <w:noWrap w:val="0"/>
            <w:tcMar>
              <w:top w:w="15" w:type="dxa"/>
              <w:left w:w="15" w:type="dxa"/>
              <w:right w:w="15" w:type="dxa"/>
            </w:tcMar>
            <w:vAlign w:val="center"/>
          </w:tcPr>
          <w:p w14:paraId="2A0D0145">
            <w:pPr>
              <w:jc w:val="center"/>
              <w:rPr>
                <w:rFonts w:hint="default" w:ascii="Times New Roman" w:hAnsi="Times New Roman" w:eastAsia="宋体" w:cs="Times New Roman"/>
                <w:color w:val="auto"/>
                <w:spacing w:val="-2"/>
                <w:kern w:val="0"/>
                <w:sz w:val="21"/>
                <w:szCs w:val="21"/>
                <w:u w:val="single" w:color="auto"/>
                <w:lang w:val="en-US" w:eastAsia="zh-CN"/>
              </w:rPr>
            </w:pPr>
          </w:p>
        </w:tc>
        <w:tc>
          <w:tcPr>
            <w:tcW w:w="1080" w:type="pct"/>
            <w:tcBorders>
              <w:tl2br w:val="nil"/>
              <w:tr2bl w:val="nil"/>
            </w:tcBorders>
            <w:noWrap w:val="0"/>
            <w:tcMar>
              <w:top w:w="15" w:type="dxa"/>
              <w:left w:w="15" w:type="dxa"/>
              <w:right w:w="15" w:type="dxa"/>
            </w:tcMar>
            <w:vAlign w:val="center"/>
          </w:tcPr>
          <w:p w14:paraId="66001D48">
            <w:pPr>
              <w:jc w:val="center"/>
              <w:rPr>
                <w:rFonts w:hint="default" w:ascii="Times New Roman" w:hAnsi="Times New Roman" w:eastAsia="宋体" w:cs="Times New Roman"/>
                <w:color w:val="auto"/>
                <w:spacing w:val="-2"/>
                <w:kern w:val="0"/>
                <w:sz w:val="21"/>
                <w:szCs w:val="21"/>
                <w:u w:val="single" w:color="auto"/>
              </w:rPr>
            </w:pPr>
          </w:p>
        </w:tc>
      </w:tr>
      <w:tr w14:paraId="3457C3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noWrap w:val="0"/>
            <w:tcMar>
              <w:top w:w="15" w:type="dxa"/>
              <w:left w:w="15" w:type="dxa"/>
              <w:right w:w="15" w:type="dxa"/>
            </w:tcMar>
            <w:vAlign w:val="center"/>
          </w:tcPr>
          <w:p w14:paraId="6D0A4EF2">
            <w:pPr>
              <w:jc w:val="center"/>
              <w:rPr>
                <w:rFonts w:hint="default" w:ascii="Times New Roman" w:hAnsi="Times New Roman" w:eastAsia="宋体" w:cs="Times New Roman"/>
                <w:color w:val="auto"/>
                <w:spacing w:val="-2"/>
                <w:kern w:val="0"/>
                <w:sz w:val="21"/>
                <w:szCs w:val="21"/>
                <w:u w:val="single" w:color="auto"/>
                <w:lang w:val="en-US" w:eastAsia="zh-CN"/>
              </w:rPr>
            </w:pPr>
            <w:r>
              <w:rPr>
                <w:rFonts w:hint="default" w:ascii="Times New Roman" w:hAnsi="Times New Roman" w:eastAsia="宋体" w:cs="Times New Roman"/>
                <w:color w:val="auto"/>
                <w:spacing w:val="-2"/>
                <w:kern w:val="0"/>
                <w:sz w:val="21"/>
                <w:szCs w:val="21"/>
                <w:u w:val="single" w:color="auto"/>
                <w:lang w:val="en-US" w:eastAsia="zh-CN"/>
              </w:rPr>
              <w:t>zk27</w:t>
            </w:r>
          </w:p>
        </w:tc>
        <w:tc>
          <w:tcPr>
            <w:tcW w:w="1069" w:type="pct"/>
            <w:tcBorders>
              <w:tl2br w:val="nil"/>
              <w:tr2bl w:val="nil"/>
            </w:tcBorders>
            <w:noWrap w:val="0"/>
            <w:tcMar>
              <w:top w:w="15" w:type="dxa"/>
              <w:left w:w="15" w:type="dxa"/>
              <w:right w:w="15" w:type="dxa"/>
            </w:tcMar>
            <w:vAlign w:val="center"/>
          </w:tcPr>
          <w:p w14:paraId="1528D5F6">
            <w:pPr>
              <w:jc w:val="center"/>
              <w:rPr>
                <w:rFonts w:hint="default" w:ascii="Times New Roman" w:hAnsi="Times New Roman" w:eastAsia="宋体" w:cs="Times New Roman"/>
                <w:color w:val="auto"/>
                <w:spacing w:val="-2"/>
                <w:kern w:val="0"/>
                <w:sz w:val="21"/>
                <w:szCs w:val="21"/>
                <w:u w:val="single" w:color="auto"/>
                <w:lang w:val="en-US" w:eastAsia="zh-CN"/>
              </w:rPr>
            </w:pPr>
          </w:p>
        </w:tc>
        <w:tc>
          <w:tcPr>
            <w:tcW w:w="1080" w:type="pct"/>
            <w:tcBorders>
              <w:tl2br w:val="nil"/>
              <w:tr2bl w:val="nil"/>
            </w:tcBorders>
            <w:noWrap w:val="0"/>
            <w:tcMar>
              <w:top w:w="15" w:type="dxa"/>
              <w:left w:w="15" w:type="dxa"/>
              <w:right w:w="15" w:type="dxa"/>
            </w:tcMar>
            <w:vAlign w:val="center"/>
          </w:tcPr>
          <w:p w14:paraId="59213B54">
            <w:pPr>
              <w:jc w:val="center"/>
              <w:rPr>
                <w:rFonts w:hint="default" w:ascii="Times New Roman" w:hAnsi="Times New Roman" w:eastAsia="宋体" w:cs="Times New Roman"/>
                <w:color w:val="auto"/>
                <w:spacing w:val="-2"/>
                <w:kern w:val="0"/>
                <w:sz w:val="21"/>
                <w:szCs w:val="21"/>
                <w:u w:val="single" w:color="auto"/>
              </w:rPr>
            </w:pPr>
          </w:p>
        </w:tc>
      </w:tr>
      <w:tr w14:paraId="167889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849" w:type="pct"/>
            <w:tcBorders>
              <w:tl2br w:val="nil"/>
              <w:tr2bl w:val="nil"/>
            </w:tcBorders>
            <w:noWrap w:val="0"/>
            <w:tcMar>
              <w:top w:w="15" w:type="dxa"/>
              <w:left w:w="15" w:type="dxa"/>
              <w:right w:w="15" w:type="dxa"/>
            </w:tcMar>
            <w:vAlign w:val="center"/>
          </w:tcPr>
          <w:p w14:paraId="0EB95F41">
            <w:pPr>
              <w:jc w:val="center"/>
              <w:rPr>
                <w:rFonts w:hint="default" w:ascii="Times New Roman" w:hAnsi="Times New Roman" w:eastAsia="宋体" w:cs="Times New Roman"/>
                <w:color w:val="auto"/>
                <w:spacing w:val="-2"/>
                <w:kern w:val="0"/>
                <w:sz w:val="21"/>
                <w:szCs w:val="21"/>
                <w:u w:val="single" w:color="auto"/>
                <w:lang w:val="en-US" w:eastAsia="zh-CN"/>
              </w:rPr>
            </w:pPr>
            <w:r>
              <w:rPr>
                <w:rFonts w:hint="default" w:ascii="Times New Roman" w:hAnsi="Times New Roman" w:eastAsia="宋体" w:cs="Times New Roman"/>
                <w:color w:val="auto"/>
                <w:spacing w:val="-2"/>
                <w:kern w:val="0"/>
                <w:sz w:val="21"/>
                <w:szCs w:val="21"/>
                <w:u w:val="single" w:color="auto"/>
                <w:lang w:val="en-US" w:eastAsia="zh-CN"/>
              </w:rPr>
              <w:t>zk64</w:t>
            </w:r>
          </w:p>
        </w:tc>
        <w:tc>
          <w:tcPr>
            <w:tcW w:w="1069" w:type="pct"/>
            <w:tcBorders>
              <w:tl2br w:val="nil"/>
              <w:tr2bl w:val="nil"/>
            </w:tcBorders>
            <w:noWrap w:val="0"/>
            <w:tcMar>
              <w:top w:w="15" w:type="dxa"/>
              <w:left w:w="15" w:type="dxa"/>
              <w:right w:w="15" w:type="dxa"/>
            </w:tcMar>
            <w:vAlign w:val="center"/>
          </w:tcPr>
          <w:p w14:paraId="6FF0C5EF">
            <w:pPr>
              <w:jc w:val="center"/>
              <w:rPr>
                <w:rFonts w:hint="default" w:ascii="Times New Roman" w:hAnsi="Times New Roman" w:eastAsia="宋体" w:cs="Times New Roman"/>
                <w:color w:val="auto"/>
                <w:spacing w:val="-2"/>
                <w:kern w:val="0"/>
                <w:sz w:val="21"/>
                <w:szCs w:val="21"/>
                <w:u w:val="single" w:color="auto"/>
                <w:lang w:val="en-US" w:eastAsia="zh-CN"/>
              </w:rPr>
            </w:pPr>
          </w:p>
        </w:tc>
        <w:tc>
          <w:tcPr>
            <w:tcW w:w="1080" w:type="pct"/>
            <w:tcBorders>
              <w:tl2br w:val="nil"/>
              <w:tr2bl w:val="nil"/>
            </w:tcBorders>
            <w:noWrap w:val="0"/>
            <w:tcMar>
              <w:top w:w="15" w:type="dxa"/>
              <w:left w:w="15" w:type="dxa"/>
              <w:right w:w="15" w:type="dxa"/>
            </w:tcMar>
            <w:vAlign w:val="center"/>
          </w:tcPr>
          <w:p w14:paraId="75CF4953">
            <w:pPr>
              <w:jc w:val="center"/>
              <w:rPr>
                <w:rFonts w:hint="default" w:ascii="Times New Roman" w:hAnsi="Times New Roman" w:eastAsia="宋体" w:cs="Times New Roman"/>
                <w:color w:val="auto"/>
                <w:spacing w:val="-2"/>
                <w:kern w:val="0"/>
                <w:sz w:val="21"/>
                <w:szCs w:val="21"/>
                <w:u w:val="single" w:color="auto"/>
              </w:rPr>
            </w:pPr>
          </w:p>
        </w:tc>
      </w:tr>
    </w:tbl>
    <w:p w14:paraId="07AD0F5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w:t>
      </w:r>
      <w:r>
        <w:rPr>
          <w:rFonts w:hint="eastAsia" w:ascii="Times New Roman" w:hAnsi="Times New Roman" w:eastAsia="宋体" w:cs="Times New Roman"/>
          <w:color w:val="auto"/>
          <w:sz w:val="24"/>
          <w:u w:val="none" w:color="auto"/>
        </w:rPr>
        <w:t>在场地范围内布设1个</w:t>
      </w:r>
      <w:r>
        <w:rPr>
          <w:rFonts w:ascii="Times New Roman" w:hAnsi="Times New Roman" w:eastAsia="宋体" w:cs="Times New Roman"/>
          <w:color w:val="auto"/>
          <w:sz w:val="24"/>
          <w:u w:val="none" w:color="auto"/>
        </w:rPr>
        <w:t>上游地下水监测点，</w:t>
      </w:r>
      <w:r>
        <w:rPr>
          <w:rFonts w:hint="eastAsia" w:ascii="Times New Roman" w:hAnsi="Times New Roman" w:eastAsia="宋体" w:cs="Times New Roman"/>
          <w:color w:val="auto"/>
          <w:sz w:val="24"/>
          <w:u w:val="none" w:color="auto"/>
        </w:rPr>
        <w:t>场地中间布设1个</w:t>
      </w:r>
      <w:r>
        <w:rPr>
          <w:rFonts w:ascii="Times New Roman" w:hAnsi="Times New Roman" w:eastAsia="宋体" w:cs="Times New Roman"/>
          <w:color w:val="auto"/>
          <w:sz w:val="24"/>
          <w:u w:val="none" w:color="auto"/>
        </w:rPr>
        <w:t>地下水监测点，</w:t>
      </w:r>
      <w:r>
        <w:rPr>
          <w:rFonts w:hint="eastAsia" w:ascii="Times New Roman" w:hAnsi="Times New Roman" w:eastAsia="宋体" w:cs="Times New Roman"/>
          <w:color w:val="auto"/>
          <w:sz w:val="24"/>
          <w:u w:val="none" w:color="auto"/>
        </w:rPr>
        <w:t>场地下游布设1个</w:t>
      </w:r>
      <w:r>
        <w:rPr>
          <w:rFonts w:ascii="Times New Roman" w:hAnsi="Times New Roman" w:eastAsia="宋体" w:cs="Times New Roman"/>
          <w:color w:val="auto"/>
          <w:sz w:val="24"/>
          <w:u w:val="none" w:color="auto"/>
        </w:rPr>
        <w:t>地下水监测点，</w:t>
      </w:r>
      <w:r>
        <w:rPr>
          <w:rFonts w:hint="eastAsia" w:ascii="Times New Roman" w:hAnsi="Times New Roman" w:eastAsia="宋体" w:cs="Times New Roman"/>
          <w:color w:val="auto"/>
          <w:sz w:val="24"/>
          <w:u w:val="none" w:color="auto"/>
        </w:rPr>
        <w:t>同步监测水位</w:t>
      </w:r>
      <w:r>
        <w:rPr>
          <w:rFonts w:ascii="Times New Roman" w:hAnsi="Times New Roman" w:eastAsia="宋体" w:cs="Times New Roman"/>
          <w:color w:val="auto"/>
          <w:sz w:val="24"/>
          <w:u w:val="none" w:color="auto"/>
        </w:rPr>
        <w:t>。</w:t>
      </w:r>
    </w:p>
    <w:p w14:paraId="7C3706D5">
      <w:pPr>
        <w:pStyle w:val="6"/>
        <w:bidi w:val="0"/>
        <w:rPr>
          <w:color w:val="auto"/>
          <w:u w:val="none" w:color="auto"/>
        </w:rPr>
      </w:pPr>
      <w:r>
        <w:rPr>
          <w:color w:val="auto"/>
          <w:u w:val="none" w:color="auto"/>
        </w:rPr>
        <w:t>地下水监测布点一览表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936"/>
        <w:gridCol w:w="1897"/>
        <w:gridCol w:w="1897"/>
        <w:gridCol w:w="1895"/>
        <w:gridCol w:w="1897"/>
      </w:tblGrid>
      <w:tr w14:paraId="5F4C68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549" w:type="pct"/>
            <w:noWrap w:val="0"/>
            <w:vAlign w:val="center"/>
          </w:tcPr>
          <w:p w14:paraId="47E3D5A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编号</w:t>
            </w:r>
          </w:p>
        </w:tc>
        <w:tc>
          <w:tcPr>
            <w:tcW w:w="1112" w:type="pct"/>
            <w:noWrap w:val="0"/>
            <w:vAlign w:val="center"/>
          </w:tcPr>
          <w:p w14:paraId="0FB01497">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点位名称</w:t>
            </w:r>
          </w:p>
        </w:tc>
        <w:tc>
          <w:tcPr>
            <w:tcW w:w="1112" w:type="pct"/>
            <w:noWrap w:val="0"/>
            <w:vAlign w:val="top"/>
          </w:tcPr>
          <w:p w14:paraId="6D2BB5B5">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相对位置</w:t>
            </w:r>
          </w:p>
        </w:tc>
        <w:tc>
          <w:tcPr>
            <w:tcW w:w="1111" w:type="pct"/>
            <w:noWrap w:val="0"/>
            <w:vAlign w:val="top"/>
          </w:tcPr>
          <w:p w14:paraId="46BBD138">
            <w:pPr>
              <w:jc w:val="center"/>
              <w:rPr>
                <w:rFonts w:hint="default" w:ascii="Times New Roman" w:hAnsi="Times New Roman" w:eastAsia="宋体" w:cs="Times New Roman"/>
                <w:color w:val="auto"/>
                <w:spacing w:val="-2"/>
                <w:kern w:val="0"/>
                <w:sz w:val="21"/>
                <w:szCs w:val="21"/>
                <w:u w:val="none" w:color="auto"/>
              </w:rPr>
            </w:pPr>
            <w:r>
              <w:rPr>
                <w:rFonts w:hint="default" w:ascii="Times New Roman" w:hAnsi="Times New Roman" w:eastAsia="宋体" w:cs="Times New Roman"/>
                <w:color w:val="auto"/>
                <w:spacing w:val="-2"/>
                <w:kern w:val="0"/>
                <w:sz w:val="21"/>
                <w:szCs w:val="21"/>
                <w:u w:val="none" w:color="auto"/>
              </w:rPr>
              <w:t>点位功能</w:t>
            </w:r>
          </w:p>
        </w:tc>
        <w:tc>
          <w:tcPr>
            <w:tcW w:w="1112" w:type="pct"/>
            <w:noWrap w:val="0"/>
            <w:vAlign w:val="top"/>
          </w:tcPr>
          <w:p w14:paraId="10179C1F">
            <w:pPr>
              <w:jc w:val="center"/>
              <w:rPr>
                <w:rFonts w:hint="default" w:ascii="Times New Roman" w:hAnsi="Times New Roman" w:eastAsia="宋体" w:cs="Times New Roman"/>
                <w:color w:val="auto"/>
                <w:spacing w:val="-2"/>
                <w:kern w:val="0"/>
                <w:sz w:val="21"/>
                <w:szCs w:val="21"/>
                <w:u w:val="none" w:color="auto"/>
              </w:rPr>
            </w:pPr>
            <w:r>
              <w:rPr>
                <w:rFonts w:hint="eastAsia" w:ascii="Times New Roman" w:hAnsi="Times New Roman" w:eastAsia="宋体" w:cs="Times New Roman"/>
                <w:color w:val="auto"/>
                <w:spacing w:val="-2"/>
                <w:kern w:val="0"/>
                <w:sz w:val="21"/>
                <w:szCs w:val="21"/>
                <w:u w:val="none" w:color="auto"/>
              </w:rPr>
              <w:t>备注</w:t>
            </w:r>
          </w:p>
        </w:tc>
      </w:tr>
      <w:tr w14:paraId="0518CBD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549" w:type="pct"/>
            <w:noWrap w:val="0"/>
            <w:vAlign w:val="center"/>
          </w:tcPr>
          <w:p w14:paraId="4E7444FB">
            <w:pPr>
              <w:jc w:val="center"/>
              <w:rPr>
                <w:rFonts w:hint="default" w:ascii="Times New Roman" w:hAnsi="Times New Roman" w:eastAsia="宋体" w:cs="Times New Roman"/>
                <w:color w:val="auto"/>
                <w:spacing w:val="-2"/>
                <w:kern w:val="0"/>
                <w:sz w:val="21"/>
                <w:szCs w:val="21"/>
                <w:u w:val="single" w:color="auto"/>
              </w:rPr>
            </w:pPr>
            <w:r>
              <w:rPr>
                <w:rFonts w:hint="eastAsia" w:ascii="Times New Roman" w:hAnsi="Times New Roman" w:eastAsia="宋体" w:cs="Times New Roman"/>
                <w:color w:val="auto"/>
                <w:spacing w:val="-2"/>
                <w:kern w:val="0"/>
                <w:sz w:val="21"/>
                <w:szCs w:val="21"/>
                <w:u w:val="single" w:color="auto"/>
              </w:rPr>
              <w:t>U1</w:t>
            </w:r>
          </w:p>
        </w:tc>
        <w:tc>
          <w:tcPr>
            <w:tcW w:w="1112" w:type="pct"/>
            <w:noWrap w:val="0"/>
            <w:vAlign w:val="center"/>
          </w:tcPr>
          <w:p w14:paraId="162658CE">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厂区上游</w:t>
            </w:r>
          </w:p>
        </w:tc>
        <w:tc>
          <w:tcPr>
            <w:tcW w:w="1112" w:type="pct"/>
            <w:noWrap w:val="0"/>
            <w:vAlign w:val="top"/>
          </w:tcPr>
          <w:p w14:paraId="2770310E">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厂区南侧</w:t>
            </w:r>
          </w:p>
        </w:tc>
        <w:tc>
          <w:tcPr>
            <w:tcW w:w="1111" w:type="pct"/>
            <w:noWrap w:val="0"/>
            <w:vAlign w:val="top"/>
          </w:tcPr>
          <w:p w14:paraId="317B9978">
            <w:pPr>
              <w:jc w:val="center"/>
              <w:rPr>
                <w:rFonts w:hint="default" w:ascii="Times New Roman" w:hAnsi="Times New Roman" w:eastAsia="宋体" w:cs="Times New Roman"/>
                <w:color w:val="auto"/>
                <w:spacing w:val="-2"/>
                <w:kern w:val="0"/>
                <w:sz w:val="21"/>
                <w:szCs w:val="21"/>
                <w:u w:val="single" w:color="auto"/>
              </w:rPr>
            </w:pPr>
            <w:r>
              <w:rPr>
                <w:rFonts w:hint="default" w:ascii="Times New Roman" w:hAnsi="Times New Roman" w:eastAsia="宋体" w:cs="Times New Roman"/>
                <w:color w:val="auto"/>
                <w:spacing w:val="-2"/>
                <w:kern w:val="0"/>
                <w:sz w:val="21"/>
                <w:szCs w:val="21"/>
                <w:u w:val="single" w:color="auto"/>
              </w:rPr>
              <w:t>项目地下水</w:t>
            </w:r>
            <w:r>
              <w:rPr>
                <w:rFonts w:hint="eastAsia" w:ascii="Times New Roman" w:hAnsi="Times New Roman" w:eastAsia="宋体" w:cs="Times New Roman"/>
                <w:color w:val="auto"/>
                <w:spacing w:val="-2"/>
                <w:kern w:val="0"/>
                <w:sz w:val="21"/>
                <w:szCs w:val="21"/>
                <w:u w:val="single" w:color="auto"/>
                <w:lang w:val="en-US" w:eastAsia="zh-CN"/>
              </w:rPr>
              <w:t>上</w:t>
            </w:r>
            <w:r>
              <w:rPr>
                <w:rFonts w:hint="eastAsia" w:ascii="Times New Roman" w:hAnsi="Times New Roman" w:eastAsia="宋体" w:cs="Times New Roman"/>
                <w:color w:val="auto"/>
                <w:spacing w:val="-2"/>
                <w:kern w:val="0"/>
                <w:sz w:val="21"/>
                <w:szCs w:val="21"/>
                <w:u w:val="single" w:color="auto"/>
              </w:rPr>
              <w:t>游</w:t>
            </w:r>
          </w:p>
        </w:tc>
        <w:tc>
          <w:tcPr>
            <w:tcW w:w="1112" w:type="pct"/>
            <w:noWrap w:val="0"/>
            <w:vAlign w:val="top"/>
          </w:tcPr>
          <w:p w14:paraId="4CDD8692">
            <w:pPr>
              <w:jc w:val="center"/>
              <w:rPr>
                <w:rFonts w:hint="default" w:ascii="Times New Roman" w:hAnsi="Times New Roman" w:eastAsia="宋体" w:cs="Times New Roman"/>
                <w:color w:val="auto"/>
                <w:spacing w:val="-2"/>
                <w:kern w:val="0"/>
                <w:sz w:val="21"/>
                <w:szCs w:val="21"/>
                <w:u w:val="single" w:color="auto"/>
              </w:rPr>
            </w:pPr>
            <w:r>
              <w:rPr>
                <w:rFonts w:hint="default" w:ascii="Times New Roman" w:hAnsi="Times New Roman" w:eastAsia="宋体" w:cs="Times New Roman"/>
                <w:color w:val="auto"/>
                <w:spacing w:val="-2"/>
                <w:kern w:val="0"/>
                <w:sz w:val="21"/>
                <w:szCs w:val="21"/>
                <w:u w:val="single" w:color="auto"/>
              </w:rPr>
              <w:t>本次监测</w:t>
            </w:r>
          </w:p>
        </w:tc>
      </w:tr>
      <w:tr w14:paraId="027F9B5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549" w:type="pct"/>
            <w:noWrap w:val="0"/>
            <w:vAlign w:val="center"/>
          </w:tcPr>
          <w:p w14:paraId="3CA4F97E">
            <w:pPr>
              <w:jc w:val="center"/>
              <w:rPr>
                <w:rFonts w:hint="default" w:ascii="Times New Roman" w:hAnsi="Times New Roman" w:eastAsia="宋体" w:cs="Times New Roman"/>
                <w:color w:val="auto"/>
                <w:spacing w:val="-2"/>
                <w:kern w:val="0"/>
                <w:sz w:val="21"/>
                <w:szCs w:val="21"/>
                <w:u w:val="single" w:color="auto"/>
              </w:rPr>
            </w:pPr>
            <w:r>
              <w:rPr>
                <w:rFonts w:hint="eastAsia" w:ascii="Times New Roman" w:hAnsi="Times New Roman" w:eastAsia="宋体" w:cs="Times New Roman"/>
                <w:color w:val="auto"/>
                <w:spacing w:val="-2"/>
                <w:kern w:val="0"/>
                <w:sz w:val="21"/>
                <w:szCs w:val="21"/>
                <w:u w:val="single" w:color="auto"/>
              </w:rPr>
              <w:t>U2</w:t>
            </w:r>
          </w:p>
        </w:tc>
        <w:tc>
          <w:tcPr>
            <w:tcW w:w="1112" w:type="pct"/>
            <w:noWrap w:val="0"/>
            <w:vAlign w:val="center"/>
          </w:tcPr>
          <w:p w14:paraId="7C66F48E">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项目场地</w:t>
            </w:r>
          </w:p>
        </w:tc>
        <w:tc>
          <w:tcPr>
            <w:tcW w:w="1112" w:type="pct"/>
            <w:noWrap w:val="0"/>
            <w:vAlign w:val="top"/>
          </w:tcPr>
          <w:p w14:paraId="61299942">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厂区中部</w:t>
            </w:r>
          </w:p>
        </w:tc>
        <w:tc>
          <w:tcPr>
            <w:tcW w:w="1111" w:type="pct"/>
            <w:noWrap w:val="0"/>
            <w:vAlign w:val="top"/>
          </w:tcPr>
          <w:p w14:paraId="448B58BC">
            <w:pPr>
              <w:jc w:val="center"/>
              <w:rPr>
                <w:rFonts w:hint="eastAsia" w:ascii="Times New Roman" w:hAnsi="Times New Roman" w:eastAsia="宋体" w:cs="Times New Roman"/>
                <w:color w:val="auto"/>
                <w:spacing w:val="-2"/>
                <w:kern w:val="0"/>
                <w:sz w:val="21"/>
                <w:szCs w:val="21"/>
                <w:u w:val="single" w:color="auto"/>
                <w:lang w:eastAsia="zh-CN"/>
              </w:rPr>
            </w:pPr>
            <w:r>
              <w:rPr>
                <w:rFonts w:hint="eastAsia" w:ascii="Times New Roman" w:hAnsi="Times New Roman" w:eastAsia="宋体" w:cs="Times New Roman"/>
                <w:color w:val="auto"/>
                <w:spacing w:val="-2"/>
                <w:kern w:val="0"/>
                <w:sz w:val="21"/>
                <w:szCs w:val="21"/>
                <w:u w:val="single" w:color="auto"/>
              </w:rPr>
              <w:t>项目</w:t>
            </w:r>
            <w:r>
              <w:rPr>
                <w:rFonts w:hint="eastAsia" w:ascii="Times New Roman" w:hAnsi="Times New Roman" w:eastAsia="宋体" w:cs="Times New Roman"/>
                <w:color w:val="auto"/>
                <w:spacing w:val="-2"/>
                <w:kern w:val="0"/>
                <w:sz w:val="21"/>
                <w:szCs w:val="21"/>
                <w:u w:val="single" w:color="auto"/>
                <w:lang w:val="en-US" w:eastAsia="zh-CN"/>
              </w:rPr>
              <w:t>厂区</w:t>
            </w:r>
          </w:p>
        </w:tc>
        <w:tc>
          <w:tcPr>
            <w:tcW w:w="1112" w:type="pct"/>
            <w:noWrap w:val="0"/>
            <w:vAlign w:val="top"/>
          </w:tcPr>
          <w:p w14:paraId="48BEC3E7">
            <w:pPr>
              <w:jc w:val="center"/>
              <w:rPr>
                <w:rFonts w:hint="eastAsia" w:ascii="Times New Roman" w:hAnsi="Times New Roman" w:eastAsia="宋体" w:cs="Times New Roman"/>
                <w:color w:val="auto"/>
                <w:spacing w:val="-2"/>
                <w:kern w:val="0"/>
                <w:sz w:val="21"/>
                <w:szCs w:val="21"/>
                <w:u w:val="single" w:color="auto"/>
              </w:rPr>
            </w:pPr>
            <w:r>
              <w:rPr>
                <w:rFonts w:hint="eastAsia" w:ascii="Times New Roman" w:hAnsi="Times New Roman" w:eastAsia="宋体" w:cs="Times New Roman"/>
                <w:color w:val="auto"/>
                <w:spacing w:val="-2"/>
                <w:kern w:val="0"/>
                <w:sz w:val="21"/>
                <w:szCs w:val="21"/>
                <w:u w:val="single" w:color="auto"/>
              </w:rPr>
              <w:t>本次监测</w:t>
            </w:r>
          </w:p>
        </w:tc>
      </w:tr>
      <w:tr w14:paraId="68115F4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549" w:type="pct"/>
            <w:noWrap w:val="0"/>
            <w:vAlign w:val="center"/>
          </w:tcPr>
          <w:p w14:paraId="2A8A51BD">
            <w:pPr>
              <w:jc w:val="center"/>
              <w:rPr>
                <w:rFonts w:hint="default" w:ascii="Times New Roman" w:hAnsi="Times New Roman" w:eastAsia="宋体" w:cs="Times New Roman"/>
                <w:color w:val="auto"/>
                <w:spacing w:val="-2"/>
                <w:kern w:val="0"/>
                <w:sz w:val="21"/>
                <w:szCs w:val="21"/>
                <w:u w:val="single" w:color="auto"/>
              </w:rPr>
            </w:pPr>
            <w:r>
              <w:rPr>
                <w:rFonts w:hint="eastAsia" w:ascii="Times New Roman" w:hAnsi="Times New Roman" w:eastAsia="宋体" w:cs="Times New Roman"/>
                <w:color w:val="auto"/>
                <w:spacing w:val="-2"/>
                <w:kern w:val="0"/>
                <w:sz w:val="21"/>
                <w:szCs w:val="21"/>
                <w:u w:val="single" w:color="auto"/>
              </w:rPr>
              <w:t>U3</w:t>
            </w:r>
          </w:p>
        </w:tc>
        <w:tc>
          <w:tcPr>
            <w:tcW w:w="1112" w:type="pct"/>
            <w:noWrap w:val="0"/>
            <w:vAlign w:val="center"/>
          </w:tcPr>
          <w:p w14:paraId="31A11A98">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厂区下游</w:t>
            </w:r>
          </w:p>
        </w:tc>
        <w:tc>
          <w:tcPr>
            <w:tcW w:w="1112" w:type="pct"/>
            <w:noWrap w:val="0"/>
            <w:vAlign w:val="top"/>
          </w:tcPr>
          <w:p w14:paraId="716D41D2">
            <w:pPr>
              <w:jc w:val="center"/>
              <w:rPr>
                <w:rFonts w:hint="default" w:ascii="Times New Roman" w:hAnsi="Times New Roman" w:eastAsia="宋体" w:cs="Times New Roman"/>
                <w:color w:val="auto"/>
                <w:spacing w:val="-2"/>
                <w:kern w:val="0"/>
                <w:sz w:val="21"/>
                <w:szCs w:val="21"/>
                <w:u w:val="single" w:color="auto"/>
                <w:lang w:val="en-US" w:eastAsia="zh-CN"/>
              </w:rPr>
            </w:pPr>
            <w:r>
              <w:rPr>
                <w:rFonts w:hint="eastAsia" w:ascii="Times New Roman" w:hAnsi="Times New Roman" w:eastAsia="宋体" w:cs="Times New Roman"/>
                <w:color w:val="auto"/>
                <w:spacing w:val="-2"/>
                <w:kern w:val="0"/>
                <w:sz w:val="21"/>
                <w:szCs w:val="21"/>
                <w:u w:val="single" w:color="auto"/>
                <w:lang w:val="en-US" w:eastAsia="zh-CN"/>
              </w:rPr>
              <w:t>厂区北侧</w:t>
            </w:r>
          </w:p>
        </w:tc>
        <w:tc>
          <w:tcPr>
            <w:tcW w:w="1111" w:type="pct"/>
            <w:noWrap w:val="0"/>
            <w:vAlign w:val="top"/>
          </w:tcPr>
          <w:p w14:paraId="044F0B5C">
            <w:pPr>
              <w:jc w:val="center"/>
              <w:rPr>
                <w:rFonts w:hint="default" w:ascii="Times New Roman" w:hAnsi="Times New Roman" w:eastAsia="宋体" w:cs="Times New Roman"/>
                <w:color w:val="auto"/>
                <w:spacing w:val="-2"/>
                <w:kern w:val="0"/>
                <w:sz w:val="21"/>
                <w:szCs w:val="21"/>
                <w:u w:val="single" w:color="auto"/>
              </w:rPr>
            </w:pPr>
            <w:r>
              <w:rPr>
                <w:rFonts w:hint="default" w:ascii="Times New Roman" w:hAnsi="Times New Roman" w:eastAsia="宋体" w:cs="Times New Roman"/>
                <w:color w:val="auto"/>
                <w:spacing w:val="-2"/>
                <w:kern w:val="0"/>
                <w:sz w:val="21"/>
                <w:szCs w:val="21"/>
                <w:u w:val="single" w:color="auto"/>
              </w:rPr>
              <w:t>项目地下水</w:t>
            </w:r>
            <w:r>
              <w:rPr>
                <w:rFonts w:hint="eastAsia" w:ascii="Times New Roman" w:hAnsi="Times New Roman" w:eastAsia="宋体" w:cs="Times New Roman"/>
                <w:color w:val="auto"/>
                <w:spacing w:val="-2"/>
                <w:kern w:val="0"/>
                <w:sz w:val="21"/>
                <w:szCs w:val="21"/>
                <w:u w:val="single" w:color="auto"/>
                <w:lang w:val="en-US" w:eastAsia="zh-CN"/>
              </w:rPr>
              <w:t>下</w:t>
            </w:r>
            <w:r>
              <w:rPr>
                <w:rFonts w:hint="eastAsia" w:ascii="Times New Roman" w:hAnsi="Times New Roman" w:eastAsia="宋体" w:cs="Times New Roman"/>
                <w:color w:val="auto"/>
                <w:spacing w:val="-2"/>
                <w:kern w:val="0"/>
                <w:sz w:val="21"/>
                <w:szCs w:val="21"/>
                <w:u w:val="single" w:color="auto"/>
              </w:rPr>
              <w:t>游</w:t>
            </w:r>
          </w:p>
        </w:tc>
        <w:tc>
          <w:tcPr>
            <w:tcW w:w="1112" w:type="pct"/>
            <w:noWrap w:val="0"/>
            <w:vAlign w:val="top"/>
          </w:tcPr>
          <w:p w14:paraId="4B937AA7">
            <w:pPr>
              <w:jc w:val="center"/>
              <w:rPr>
                <w:rFonts w:hint="default" w:ascii="Times New Roman" w:hAnsi="Times New Roman" w:eastAsia="宋体" w:cs="Times New Roman"/>
                <w:color w:val="auto"/>
                <w:spacing w:val="-2"/>
                <w:kern w:val="0"/>
                <w:sz w:val="21"/>
                <w:szCs w:val="21"/>
                <w:u w:val="single" w:color="auto"/>
              </w:rPr>
            </w:pPr>
            <w:r>
              <w:rPr>
                <w:rFonts w:hint="eastAsia" w:ascii="Times New Roman" w:hAnsi="Times New Roman" w:eastAsia="宋体" w:cs="Times New Roman"/>
                <w:color w:val="auto"/>
                <w:spacing w:val="-2"/>
                <w:kern w:val="0"/>
                <w:sz w:val="21"/>
                <w:szCs w:val="21"/>
                <w:u w:val="single" w:color="auto"/>
              </w:rPr>
              <w:t>本次监测</w:t>
            </w:r>
          </w:p>
        </w:tc>
      </w:tr>
    </w:tbl>
    <w:p w14:paraId="68B70260">
      <w:pPr>
        <w:rPr>
          <w:color w:val="auto"/>
          <w:u w:val="none" w:color="auto"/>
        </w:rPr>
      </w:pPr>
    </w:p>
    <w:p w14:paraId="7A28D684">
      <w:pPr>
        <w:pStyle w:val="4"/>
        <w:bidi w:val="0"/>
        <w:rPr>
          <w:color w:val="auto"/>
          <w:u w:val="none" w:color="auto"/>
        </w:rPr>
      </w:pPr>
      <w:bookmarkStart w:id="184" w:name="_Toc3728201"/>
      <w:r>
        <w:rPr>
          <w:color w:val="auto"/>
          <w:u w:val="none" w:color="auto"/>
        </w:rPr>
        <w:t>监测项目</w:t>
      </w:r>
      <w:bookmarkEnd w:id="184"/>
    </w:p>
    <w:p w14:paraId="1EC590C2">
      <w:pPr>
        <w:autoSpaceDE w:val="0"/>
        <w:autoSpaceDN w:val="0"/>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u w:val="none" w:color="auto"/>
        </w:rPr>
        <w:t>K</w:t>
      </w:r>
      <w:r>
        <w:rPr>
          <w:rFonts w:hint="default" w:ascii="Times New Roman" w:hAnsi="Times New Roman" w:eastAsia="宋体" w:cs="Times New Roman"/>
          <w:color w:val="auto"/>
          <w:sz w:val="24"/>
          <w:u w:val="none" w:color="auto"/>
          <w:vertAlign w:val="superscript"/>
        </w:rPr>
        <w:t>+</w:t>
      </w:r>
      <w:r>
        <w:rPr>
          <w:rFonts w:hint="default" w:ascii="Times New Roman" w:hAnsi="Times New Roman" w:eastAsia="宋体" w:cs="Times New Roman"/>
          <w:color w:val="auto"/>
          <w:sz w:val="24"/>
          <w:u w:val="none" w:color="auto"/>
        </w:rPr>
        <w:t>、Na</w:t>
      </w:r>
      <w:r>
        <w:rPr>
          <w:rFonts w:hint="default" w:ascii="Times New Roman" w:hAnsi="Times New Roman" w:eastAsia="宋体" w:cs="Times New Roman"/>
          <w:color w:val="auto"/>
          <w:sz w:val="24"/>
          <w:u w:val="none" w:color="auto"/>
          <w:vertAlign w:val="superscript"/>
        </w:rPr>
        <w:t>+</w:t>
      </w:r>
      <w:r>
        <w:rPr>
          <w:rFonts w:hint="default" w:ascii="Times New Roman" w:hAnsi="Times New Roman" w:eastAsia="宋体" w:cs="Times New Roman"/>
          <w:color w:val="auto"/>
          <w:sz w:val="24"/>
          <w:u w:val="none" w:color="auto"/>
        </w:rPr>
        <w:t>、Ca</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、Mg</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、CO</w:t>
      </w:r>
      <w:r>
        <w:rPr>
          <w:rFonts w:hint="default" w:ascii="Times New Roman" w:hAnsi="Times New Roman" w:eastAsia="宋体" w:cs="Times New Roman"/>
          <w:color w:val="auto"/>
          <w:sz w:val="24"/>
          <w:u w:val="none" w:color="auto"/>
          <w:vertAlign w:val="subscript"/>
        </w:rPr>
        <w:t>3</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、HCO</w:t>
      </w:r>
      <w:r>
        <w:rPr>
          <w:rFonts w:hint="default" w:ascii="Times New Roman" w:hAnsi="Times New Roman" w:eastAsia="宋体" w:cs="Times New Roman"/>
          <w:color w:val="auto"/>
          <w:sz w:val="24"/>
          <w:u w:val="none" w:color="auto"/>
          <w:vertAlign w:val="subscript"/>
        </w:rPr>
        <w:t>3</w:t>
      </w:r>
      <w:r>
        <w:rPr>
          <w:rFonts w:hint="default" w:ascii="Times New Roman" w:hAnsi="Times New Roman" w:eastAsia="宋体" w:cs="Times New Roman"/>
          <w:color w:val="auto"/>
          <w:sz w:val="24"/>
          <w:u w:val="none" w:color="auto"/>
          <w:vertAlign w:val="superscript"/>
        </w:rPr>
        <w:t>-</w:t>
      </w:r>
      <w:r>
        <w:rPr>
          <w:rFonts w:hint="default" w:ascii="Times New Roman" w:hAnsi="Times New Roman" w:eastAsia="宋体" w:cs="Times New Roman"/>
          <w:color w:val="auto"/>
          <w:sz w:val="24"/>
          <w:u w:val="none" w:color="auto"/>
        </w:rPr>
        <w:t>、Cl</w:t>
      </w:r>
      <w:r>
        <w:rPr>
          <w:rFonts w:hint="default" w:ascii="Times New Roman" w:hAnsi="Times New Roman" w:eastAsia="宋体" w:cs="Times New Roman"/>
          <w:color w:val="auto"/>
          <w:sz w:val="24"/>
          <w:u w:val="none" w:color="auto"/>
          <w:vertAlign w:val="superscript"/>
        </w:rPr>
        <w:t>-</w:t>
      </w:r>
      <w:r>
        <w:rPr>
          <w:rFonts w:hint="default" w:ascii="Times New Roman" w:hAnsi="Times New Roman" w:eastAsia="宋体" w:cs="Times New Roman"/>
          <w:color w:val="auto"/>
          <w:sz w:val="24"/>
          <w:u w:val="none" w:color="auto"/>
        </w:rPr>
        <w:t>、SO</w:t>
      </w:r>
      <w:r>
        <w:rPr>
          <w:rFonts w:hint="default" w:ascii="Times New Roman" w:hAnsi="Times New Roman" w:eastAsia="宋体" w:cs="Times New Roman"/>
          <w:color w:val="auto"/>
          <w:sz w:val="24"/>
          <w:u w:val="none" w:color="auto"/>
          <w:vertAlign w:val="subscript"/>
        </w:rPr>
        <w:t>4</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、pH、氨氮、硝酸盐氨、亚硝酸盐氮、耗氧量、总硬度、溶解性总固体、铁、锰、</w:t>
      </w:r>
      <w:r>
        <w:rPr>
          <w:rFonts w:hint="default" w:ascii="Times New Roman" w:hAnsi="Times New Roman" w:eastAsia="宋体" w:cs="Times New Roman"/>
          <w:color w:val="auto"/>
          <w:sz w:val="24"/>
          <w:u w:val="none" w:color="auto"/>
          <w:lang w:val="en-US" w:eastAsia="zh-CN"/>
        </w:rPr>
        <w:t>挥发酚、石油类、</w:t>
      </w:r>
      <w:r>
        <w:rPr>
          <w:rFonts w:hint="default" w:ascii="Times New Roman" w:hAnsi="Times New Roman" w:eastAsia="宋体" w:cs="Times New Roman"/>
          <w:color w:val="auto"/>
          <w:sz w:val="24"/>
          <w:u w:val="none" w:color="auto"/>
        </w:rPr>
        <w:t>甲苯、二甲苯共</w:t>
      </w:r>
      <w:r>
        <w:rPr>
          <w:rFonts w:hint="default" w:ascii="Times New Roman" w:hAnsi="Times New Roman" w:eastAsia="宋体" w:cs="Times New Roman"/>
          <w:color w:val="auto"/>
          <w:sz w:val="24"/>
          <w:u w:val="none" w:color="auto"/>
          <w:lang w:val="en-US" w:eastAsia="zh-CN"/>
        </w:rPr>
        <w:t>21</w:t>
      </w:r>
      <w:r>
        <w:rPr>
          <w:rFonts w:hint="default" w:ascii="Times New Roman" w:hAnsi="Times New Roman" w:eastAsia="宋体" w:cs="Times New Roman"/>
          <w:color w:val="auto"/>
          <w:sz w:val="24"/>
          <w:u w:val="none" w:color="auto"/>
        </w:rPr>
        <w:t>项</w:t>
      </w:r>
      <w:r>
        <w:rPr>
          <w:rFonts w:hint="default" w:ascii="Times New Roman" w:hAnsi="Times New Roman" w:eastAsia="宋体" w:cs="Times New Roman"/>
          <w:color w:val="auto"/>
          <w:sz w:val="24"/>
          <w:szCs w:val="24"/>
          <w:u w:val="none" w:color="auto"/>
        </w:rPr>
        <w:t>。</w:t>
      </w:r>
    </w:p>
    <w:p w14:paraId="42C957AF">
      <w:pPr>
        <w:pStyle w:val="4"/>
        <w:bidi w:val="0"/>
        <w:rPr>
          <w:color w:val="auto"/>
          <w:u w:val="none" w:color="auto"/>
        </w:rPr>
      </w:pPr>
      <w:bookmarkStart w:id="185" w:name="_Toc3728202"/>
      <w:r>
        <w:rPr>
          <w:color w:val="auto"/>
          <w:u w:val="none" w:color="auto"/>
        </w:rPr>
        <w:t>监测时间及采样频次</w:t>
      </w:r>
      <w:bookmarkEnd w:id="185"/>
    </w:p>
    <w:p w14:paraId="330579DF">
      <w:pPr>
        <w:autoSpaceDE w:val="0"/>
        <w:autoSpaceDN w:val="0"/>
        <w:spacing w:line="360" w:lineRule="auto"/>
        <w:ind w:firstLine="482"/>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项目厂区内</w:t>
      </w:r>
      <w:r>
        <w:rPr>
          <w:rFonts w:hint="eastAsia" w:ascii="Times New Roman" w:hAnsi="Times New Roman" w:eastAsia="宋体" w:cs="Times New Roman"/>
          <w:color w:val="auto"/>
          <w:sz w:val="24"/>
          <w:u w:val="none" w:color="auto"/>
        </w:rPr>
        <w:t>地下水</w:t>
      </w:r>
      <w:r>
        <w:rPr>
          <w:rFonts w:ascii="Times New Roman" w:hAnsi="Times New Roman" w:eastAsia="宋体" w:cs="Times New Roman"/>
          <w:color w:val="auto"/>
          <w:sz w:val="24"/>
          <w:u w:val="none" w:color="auto"/>
        </w:rPr>
        <w:t>采样时间为202</w:t>
      </w:r>
      <w:r>
        <w:rPr>
          <w:rFonts w:hint="eastAsia" w:ascii="Times New Roman" w:hAnsi="Times New Roman" w:eastAsia="宋体" w:cs="Times New Roman"/>
          <w:color w:val="auto"/>
          <w:sz w:val="24"/>
          <w:u w:val="none" w:color="auto"/>
          <w:lang w:val="en-US" w:eastAsia="zh-CN"/>
        </w:rPr>
        <w:t>4</w:t>
      </w:r>
      <w:r>
        <w:rPr>
          <w:rFonts w:ascii="Times New Roman" w:hAnsi="Times New Roman" w:eastAsia="宋体" w:cs="Times New Roman"/>
          <w:color w:val="auto"/>
          <w:sz w:val="24"/>
          <w:u w:val="none" w:color="auto"/>
        </w:rPr>
        <w:t>年</w:t>
      </w:r>
      <w:r>
        <w:rPr>
          <w:rFonts w:hint="eastAsia" w:ascii="Times New Roman" w:hAnsi="Times New Roman" w:eastAsia="宋体" w:cs="Times New Roman"/>
          <w:color w:val="auto"/>
          <w:sz w:val="24"/>
          <w:u w:val="none" w:color="auto"/>
          <w:lang w:val="en-US" w:eastAsia="zh-CN"/>
        </w:rPr>
        <w:t>10</w:t>
      </w:r>
      <w:r>
        <w:rPr>
          <w:rFonts w:ascii="Times New Roman" w:hAnsi="Times New Roman" w:eastAsia="宋体" w:cs="Times New Roman"/>
          <w:color w:val="auto"/>
          <w:sz w:val="24"/>
          <w:u w:val="none" w:color="auto"/>
        </w:rPr>
        <w:t>月</w:t>
      </w:r>
      <w:r>
        <w:rPr>
          <w:rFonts w:hint="eastAsia" w:ascii="Times New Roman" w:hAnsi="Times New Roman" w:eastAsia="宋体" w:cs="Times New Roman"/>
          <w:color w:val="auto"/>
          <w:sz w:val="24"/>
          <w:u w:val="none" w:color="auto"/>
        </w:rPr>
        <w:t>1</w:t>
      </w:r>
      <w:r>
        <w:rPr>
          <w:rFonts w:hint="eastAsia" w:ascii="Times New Roman" w:hAnsi="Times New Roman" w:eastAsia="宋体" w:cs="Times New Roman"/>
          <w:color w:val="auto"/>
          <w:sz w:val="24"/>
          <w:u w:val="none" w:color="auto"/>
          <w:lang w:val="en-US" w:eastAsia="zh-CN"/>
        </w:rPr>
        <w:t>6</w:t>
      </w:r>
      <w:r>
        <w:rPr>
          <w:rFonts w:ascii="Times New Roman" w:hAnsi="Times New Roman" w:eastAsia="宋体" w:cs="Times New Roman"/>
          <w:color w:val="auto"/>
          <w:sz w:val="24"/>
          <w:u w:val="none" w:color="auto"/>
        </w:rPr>
        <w:t>日</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监测1d，采样1次/d。</w:t>
      </w:r>
    </w:p>
    <w:p w14:paraId="752FB820">
      <w:pPr>
        <w:pStyle w:val="4"/>
        <w:bidi w:val="0"/>
        <w:rPr>
          <w:color w:val="auto"/>
          <w:u w:val="none" w:color="auto"/>
        </w:rPr>
      </w:pPr>
      <w:r>
        <w:rPr>
          <w:rFonts w:hint="eastAsia"/>
          <w:color w:val="auto"/>
          <w:u w:val="none" w:color="auto"/>
        </w:rPr>
        <w:t>分析</w:t>
      </w:r>
      <w:r>
        <w:rPr>
          <w:color w:val="auto"/>
          <w:u w:val="none" w:color="auto"/>
        </w:rPr>
        <w:t>方法</w:t>
      </w:r>
    </w:p>
    <w:p w14:paraId="08844649">
      <w:pPr>
        <w:autoSpaceDE w:val="0"/>
        <w:autoSpaceDN w:val="0"/>
        <w:spacing w:line="360" w:lineRule="auto"/>
        <w:ind w:firstLine="482"/>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地下水水质监测分析方法按照《地下水环境监测技术规范》（HJ/T164-2004）和《水和废水监测分析方法》（2002版）有关规定进行，方法及检出限见表3.4-2。</w:t>
      </w:r>
    </w:p>
    <w:p w14:paraId="750BB386">
      <w:pPr>
        <w:pStyle w:val="6"/>
        <w:bidi w:val="0"/>
        <w:rPr>
          <w:color w:val="auto"/>
          <w:u w:val="none" w:color="auto"/>
        </w:rPr>
      </w:pPr>
      <w:r>
        <w:rPr>
          <w:rFonts w:hint="eastAsia"/>
          <w:color w:val="auto"/>
          <w:u w:val="none" w:color="auto"/>
        </w:rPr>
        <w:t>地下水</w:t>
      </w:r>
      <w:r>
        <w:rPr>
          <w:color w:val="auto"/>
          <w:u w:val="none" w:color="auto"/>
        </w:rPr>
        <w:t>监测分析方法</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9"/>
        <w:gridCol w:w="1875"/>
        <w:gridCol w:w="3782"/>
        <w:gridCol w:w="1836"/>
      </w:tblGrid>
      <w:tr w14:paraId="5679C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2BA1DF5A">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
                <w:bCs/>
                <w:color w:val="auto"/>
                <w:sz w:val="21"/>
                <w:szCs w:val="21"/>
                <w:u w:val="none" w:color="auto"/>
              </w:rPr>
              <w:t>序号</w:t>
            </w:r>
          </w:p>
        </w:tc>
        <w:tc>
          <w:tcPr>
            <w:tcW w:w="1875" w:type="dxa"/>
            <w:vAlign w:val="center"/>
          </w:tcPr>
          <w:p w14:paraId="1B9A6BDF">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
                <w:bCs/>
                <w:color w:val="auto"/>
                <w:sz w:val="21"/>
                <w:szCs w:val="21"/>
                <w:u w:val="none" w:color="auto"/>
              </w:rPr>
              <w:t>监测项目</w:t>
            </w:r>
          </w:p>
        </w:tc>
        <w:tc>
          <w:tcPr>
            <w:tcW w:w="3782" w:type="dxa"/>
            <w:vAlign w:val="center"/>
          </w:tcPr>
          <w:p w14:paraId="52FFA2CF">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
                <w:bCs/>
                <w:color w:val="auto"/>
                <w:sz w:val="21"/>
                <w:szCs w:val="21"/>
                <w:u w:val="none" w:color="auto"/>
              </w:rPr>
              <w:t>分析方法</w:t>
            </w:r>
          </w:p>
        </w:tc>
        <w:tc>
          <w:tcPr>
            <w:tcW w:w="1836" w:type="dxa"/>
            <w:vAlign w:val="center"/>
          </w:tcPr>
          <w:p w14:paraId="5673BEA1">
            <w:pPr>
              <w:keepNext w:val="0"/>
              <w:keepLines w:val="0"/>
              <w:pageBreakBefore w:val="0"/>
              <w:kinsoku/>
              <w:wordWrap/>
              <w:overflowPunct/>
              <w:topLinePunct w:val="0"/>
              <w:bidi w:val="0"/>
              <w:adjustRightInd/>
              <w:snapToGrid/>
              <w:spacing w:line="240" w:lineRule="auto"/>
              <w:ind w:lef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检出限或</w:t>
            </w:r>
          </w:p>
          <w:p w14:paraId="3A62FD7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
                <w:bCs/>
                <w:color w:val="auto"/>
                <w:sz w:val="21"/>
                <w:szCs w:val="21"/>
                <w:u w:val="none" w:color="auto"/>
              </w:rPr>
              <w:t>检出范围</w:t>
            </w:r>
          </w:p>
        </w:tc>
      </w:tr>
      <w:tr w14:paraId="24F0A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3FFF3D45">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w:t>
            </w:r>
          </w:p>
        </w:tc>
        <w:tc>
          <w:tcPr>
            <w:tcW w:w="1875" w:type="dxa"/>
            <w:vAlign w:val="center"/>
          </w:tcPr>
          <w:p w14:paraId="1DB33AD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pH值</w:t>
            </w:r>
          </w:p>
        </w:tc>
        <w:tc>
          <w:tcPr>
            <w:tcW w:w="3782" w:type="dxa"/>
            <w:vAlign w:val="center"/>
          </w:tcPr>
          <w:p w14:paraId="442A1BB2">
            <w:pPr>
              <w:keepNext w:val="0"/>
              <w:keepLines w:val="0"/>
              <w:pageBreakBefore w:val="0"/>
              <w:kinsoku/>
              <w:wordWrap/>
              <w:overflowPunct/>
              <w:topLinePunct w:val="0"/>
              <w:bidi w:val="0"/>
              <w:adjustRightInd/>
              <w:snapToGrid/>
              <w:spacing w:line="240" w:lineRule="auto"/>
              <w:ind w:left="0" w:leftChars="0" w:firstLine="0" w:firstLineChars="0"/>
              <w:jc w:val="center"/>
              <w:rPr>
                <w:rStyle w:val="150"/>
                <w:rFonts w:hint="default" w:ascii="Times New Roman" w:hAnsi="Times New Roman" w:eastAsia="宋体" w:cs="Times New Roman"/>
                <w:bCs/>
                <w:color w:val="auto"/>
                <w:sz w:val="21"/>
                <w:szCs w:val="21"/>
                <w:u w:val="none" w:color="auto"/>
              </w:rPr>
            </w:pPr>
            <w:r>
              <w:rPr>
                <w:rStyle w:val="150"/>
                <w:rFonts w:hint="default" w:ascii="Times New Roman" w:hAnsi="Times New Roman" w:eastAsia="宋体" w:cs="Times New Roman"/>
                <w:bCs/>
                <w:color w:val="auto"/>
                <w:sz w:val="21"/>
                <w:szCs w:val="21"/>
                <w:u w:val="none" w:color="auto"/>
              </w:rPr>
              <w:t xml:space="preserve">水质 pH值的测定 电极法 </w:t>
            </w:r>
          </w:p>
          <w:p w14:paraId="46BA749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HJ</w:t>
            </w:r>
            <w:r>
              <w:rPr>
                <w:rStyle w:val="150"/>
                <w:rFonts w:hint="default" w:ascii="Times New Roman" w:hAnsi="Times New Roman" w:eastAsia="宋体" w:cs="Times New Roman"/>
                <w:bCs/>
                <w:color w:val="auto"/>
                <w:sz w:val="21"/>
                <w:szCs w:val="21"/>
                <w:u w:val="none" w:color="auto"/>
              </w:rPr>
              <w:t xml:space="preserve"> 1147-2020</w:t>
            </w:r>
          </w:p>
        </w:tc>
        <w:tc>
          <w:tcPr>
            <w:tcW w:w="1836" w:type="dxa"/>
            <w:vAlign w:val="center"/>
          </w:tcPr>
          <w:p w14:paraId="6681CB0C">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0.1 pH值</w:t>
            </w:r>
          </w:p>
        </w:tc>
      </w:tr>
      <w:tr w14:paraId="32533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0043CE7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2</w:t>
            </w:r>
          </w:p>
        </w:tc>
        <w:tc>
          <w:tcPr>
            <w:tcW w:w="1875" w:type="dxa"/>
            <w:vAlign w:val="center"/>
          </w:tcPr>
          <w:p w14:paraId="40DB398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耗氧量</w:t>
            </w:r>
          </w:p>
        </w:tc>
        <w:tc>
          <w:tcPr>
            <w:tcW w:w="3782" w:type="dxa"/>
            <w:vAlign w:val="center"/>
          </w:tcPr>
          <w:p w14:paraId="41F7016D">
            <w:pPr>
              <w:keepNext w:val="0"/>
              <w:keepLines w:val="0"/>
              <w:pageBreakBefore w:val="0"/>
              <w:tabs>
                <w:tab w:val="left" w:pos="244"/>
                <w:tab w:val="center" w:pos="814"/>
              </w:tabs>
              <w:kinsoku/>
              <w:wordWrap/>
              <w:overflowPunct/>
              <w:topLinePunct w:val="0"/>
              <w:bidi w:val="0"/>
              <w:adjustRightInd/>
              <w:snapToGrid/>
              <w:spacing w:line="240" w:lineRule="auto"/>
              <w:ind w:lef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 xml:space="preserve">水质 高锰酸盐指数的测定 </w:t>
            </w:r>
          </w:p>
          <w:p w14:paraId="11D5AEA1">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GB 11892-1987</w:t>
            </w:r>
          </w:p>
        </w:tc>
        <w:tc>
          <w:tcPr>
            <w:tcW w:w="1836" w:type="dxa"/>
            <w:vAlign w:val="center"/>
          </w:tcPr>
          <w:p w14:paraId="1A0302C1">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0.5 mg/L</w:t>
            </w:r>
          </w:p>
        </w:tc>
      </w:tr>
      <w:tr w14:paraId="1DD99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0887BA13">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3</w:t>
            </w:r>
          </w:p>
        </w:tc>
        <w:tc>
          <w:tcPr>
            <w:tcW w:w="1875" w:type="dxa"/>
            <w:vAlign w:val="center"/>
          </w:tcPr>
          <w:p w14:paraId="1AE9A4DC">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0"/>
                <w:sz w:val="21"/>
                <w:szCs w:val="21"/>
                <w:u w:val="none" w:color="auto"/>
                <w:lang w:bidi="ar"/>
              </w:rPr>
              <w:t>硝酸盐氮</w:t>
            </w:r>
          </w:p>
        </w:tc>
        <w:tc>
          <w:tcPr>
            <w:tcW w:w="3782" w:type="dxa"/>
            <w:vAlign w:val="center"/>
          </w:tcPr>
          <w:p w14:paraId="1EBE475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硝酸盐氮的测定 酚二磺酸分光光度法GB 7480-1987</w:t>
            </w:r>
          </w:p>
        </w:tc>
        <w:tc>
          <w:tcPr>
            <w:tcW w:w="1836" w:type="dxa"/>
            <w:vAlign w:val="center"/>
          </w:tcPr>
          <w:p w14:paraId="2CDCC872">
            <w:pPr>
              <w:keepNext w:val="0"/>
              <w:keepLines w:val="0"/>
              <w:pageBreakBefore w:val="0"/>
              <w:tabs>
                <w:tab w:val="left" w:pos="7200"/>
              </w:tabs>
              <w:kinsoku/>
              <w:wordWrap/>
              <w:overflowPunct/>
              <w:topLinePunct w:val="0"/>
              <w:autoSpaceDE w:val="0"/>
              <w:autoSpaceDN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0.02 mg/L</w:t>
            </w:r>
          </w:p>
        </w:tc>
      </w:tr>
      <w:tr w14:paraId="40A59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3E460C8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4</w:t>
            </w:r>
          </w:p>
        </w:tc>
        <w:tc>
          <w:tcPr>
            <w:tcW w:w="1875" w:type="dxa"/>
            <w:vAlign w:val="center"/>
          </w:tcPr>
          <w:p w14:paraId="483AC934">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0"/>
                <w:sz w:val="21"/>
                <w:szCs w:val="21"/>
                <w:u w:val="none" w:color="auto"/>
                <w:lang w:bidi="ar"/>
              </w:rPr>
              <w:t>亚硝酸盐氮</w:t>
            </w:r>
          </w:p>
        </w:tc>
        <w:tc>
          <w:tcPr>
            <w:tcW w:w="3782" w:type="dxa"/>
            <w:vAlign w:val="center"/>
          </w:tcPr>
          <w:p w14:paraId="086D97BA">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亚硝酸盐氮的测定 分光光度法GB 7493-1987</w:t>
            </w:r>
          </w:p>
        </w:tc>
        <w:tc>
          <w:tcPr>
            <w:tcW w:w="1836" w:type="dxa"/>
            <w:vAlign w:val="center"/>
          </w:tcPr>
          <w:p w14:paraId="3DCC816A">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0.003 mg/L</w:t>
            </w:r>
          </w:p>
        </w:tc>
      </w:tr>
      <w:tr w14:paraId="59AAA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4DC69CD6">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5</w:t>
            </w:r>
          </w:p>
        </w:tc>
        <w:tc>
          <w:tcPr>
            <w:tcW w:w="1875" w:type="dxa"/>
            <w:vAlign w:val="center"/>
          </w:tcPr>
          <w:p w14:paraId="305BBD9F">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lang w:val="en-US" w:eastAsia="zh-CN"/>
              </w:rPr>
              <w:t>氨氮</w:t>
            </w:r>
          </w:p>
        </w:tc>
        <w:tc>
          <w:tcPr>
            <w:tcW w:w="3782" w:type="dxa"/>
            <w:vAlign w:val="center"/>
          </w:tcPr>
          <w:p w14:paraId="24E2DCE7">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Style w:val="150"/>
                <w:rFonts w:hint="default" w:ascii="Times New Roman" w:hAnsi="Times New Roman" w:eastAsia="宋体" w:cs="Times New Roman"/>
                <w:bCs/>
                <w:color w:val="auto"/>
                <w:sz w:val="21"/>
                <w:szCs w:val="21"/>
                <w:u w:val="none" w:color="auto"/>
              </w:rPr>
              <w:t>水质 氨氮的测定 纳氏试剂分光光度法 HJ 535-2009</w:t>
            </w:r>
          </w:p>
        </w:tc>
        <w:tc>
          <w:tcPr>
            <w:tcW w:w="1836" w:type="dxa"/>
            <w:vAlign w:val="center"/>
          </w:tcPr>
          <w:p w14:paraId="1DD54970">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0.025 mg/L</w:t>
            </w:r>
          </w:p>
        </w:tc>
      </w:tr>
      <w:tr w14:paraId="3AE62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118EE31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6</w:t>
            </w:r>
          </w:p>
        </w:tc>
        <w:tc>
          <w:tcPr>
            <w:tcW w:w="1875" w:type="dxa"/>
            <w:vAlign w:val="center"/>
          </w:tcPr>
          <w:p w14:paraId="0F4A48E3">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lang w:val="en-US" w:eastAsia="zh-CN"/>
              </w:rPr>
              <w:t>挥发酚</w:t>
            </w:r>
          </w:p>
        </w:tc>
        <w:tc>
          <w:tcPr>
            <w:tcW w:w="3782" w:type="dxa"/>
            <w:vAlign w:val="center"/>
          </w:tcPr>
          <w:p w14:paraId="59F699F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挥发酚的测定 4-氨基安替比林分光光度法 HJ 503-2009</w:t>
            </w:r>
          </w:p>
        </w:tc>
        <w:tc>
          <w:tcPr>
            <w:tcW w:w="1836" w:type="dxa"/>
            <w:vAlign w:val="center"/>
          </w:tcPr>
          <w:p w14:paraId="28C932E8">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0.0003 mg/L</w:t>
            </w:r>
          </w:p>
        </w:tc>
      </w:tr>
      <w:tr w14:paraId="53AB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664B4E75">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7</w:t>
            </w:r>
          </w:p>
        </w:tc>
        <w:tc>
          <w:tcPr>
            <w:tcW w:w="1875" w:type="dxa"/>
            <w:vAlign w:val="center"/>
          </w:tcPr>
          <w:p w14:paraId="115D1136">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铁</w:t>
            </w:r>
          </w:p>
        </w:tc>
        <w:tc>
          <w:tcPr>
            <w:tcW w:w="3782" w:type="dxa"/>
            <w:vMerge w:val="restart"/>
            <w:vAlign w:val="center"/>
          </w:tcPr>
          <w:p w14:paraId="103CC854">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Style w:val="150"/>
                <w:rFonts w:hint="default" w:ascii="Times New Roman" w:hAnsi="Times New Roman" w:eastAsia="宋体" w:cs="Times New Roman"/>
                <w:b w:val="0"/>
                <w:bCs/>
                <w:color w:val="auto"/>
                <w:kern w:val="2"/>
                <w:sz w:val="21"/>
                <w:szCs w:val="21"/>
                <w:u w:val="none" w:color="auto"/>
                <w:lang w:val="en-US" w:eastAsia="zh-CN" w:bidi="ar-SA"/>
              </w:rPr>
              <w:t>水质 65种元素的测定 电感耦合等离子体质谱法HJ 700-2014</w:t>
            </w:r>
          </w:p>
        </w:tc>
        <w:tc>
          <w:tcPr>
            <w:tcW w:w="1836" w:type="dxa"/>
            <w:vAlign w:val="center"/>
          </w:tcPr>
          <w:p w14:paraId="2A0AA0F8">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0.000</w:t>
            </w:r>
            <w:r>
              <w:rPr>
                <w:rFonts w:hint="default" w:ascii="Times New Roman" w:hAnsi="Times New Roman" w:eastAsia="宋体" w:cs="Times New Roman"/>
                <w:color w:val="auto"/>
                <w:sz w:val="21"/>
                <w:szCs w:val="21"/>
                <w:u w:val="none" w:color="auto"/>
                <w:lang w:val="en-US" w:eastAsia="zh-CN"/>
              </w:rPr>
              <w:t>82</w:t>
            </w:r>
            <w:r>
              <w:rPr>
                <w:rFonts w:hint="default" w:ascii="Times New Roman" w:hAnsi="Times New Roman" w:eastAsia="宋体" w:cs="Times New Roman"/>
                <w:color w:val="auto"/>
                <w:sz w:val="21"/>
                <w:szCs w:val="21"/>
                <w:u w:val="none" w:color="auto"/>
              </w:rPr>
              <w:t xml:space="preserve"> mg/L</w:t>
            </w:r>
          </w:p>
        </w:tc>
      </w:tr>
      <w:tr w14:paraId="04C95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01F0500D">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8</w:t>
            </w:r>
          </w:p>
        </w:tc>
        <w:tc>
          <w:tcPr>
            <w:tcW w:w="1875" w:type="dxa"/>
            <w:vAlign w:val="center"/>
          </w:tcPr>
          <w:p w14:paraId="416363ED">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锰</w:t>
            </w:r>
          </w:p>
        </w:tc>
        <w:tc>
          <w:tcPr>
            <w:tcW w:w="3782" w:type="dxa"/>
            <w:vMerge w:val="continue"/>
            <w:vAlign w:val="center"/>
          </w:tcPr>
          <w:p w14:paraId="6ED25F90">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16C3A27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0.000</w:t>
            </w:r>
            <w:r>
              <w:rPr>
                <w:rFonts w:hint="default" w:ascii="Times New Roman" w:hAnsi="Times New Roman" w:eastAsia="宋体" w:cs="Times New Roman"/>
                <w:color w:val="auto"/>
                <w:sz w:val="21"/>
                <w:szCs w:val="21"/>
                <w:u w:val="none" w:color="auto"/>
                <w:lang w:val="en-US" w:eastAsia="zh-CN"/>
              </w:rPr>
              <w:t>12</w:t>
            </w:r>
            <w:r>
              <w:rPr>
                <w:rFonts w:hint="default" w:ascii="Times New Roman" w:hAnsi="Times New Roman" w:eastAsia="宋体" w:cs="Times New Roman"/>
                <w:color w:val="auto"/>
                <w:sz w:val="21"/>
                <w:szCs w:val="21"/>
                <w:u w:val="none" w:color="auto"/>
              </w:rPr>
              <w:t xml:space="preserve"> mg/L</w:t>
            </w:r>
          </w:p>
        </w:tc>
      </w:tr>
      <w:tr w14:paraId="6AF4E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0737C01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eastAsia" w:ascii="Times New Roman" w:hAnsi="Times New Roman" w:eastAsia="宋体" w:cs="Times New Roman"/>
                <w:color w:val="auto"/>
                <w:sz w:val="21"/>
                <w:szCs w:val="21"/>
                <w:u w:val="none" w:color="auto"/>
                <w:lang w:val="en-US" w:eastAsia="zh-CN"/>
              </w:rPr>
              <w:t>9</w:t>
            </w:r>
          </w:p>
        </w:tc>
        <w:tc>
          <w:tcPr>
            <w:tcW w:w="1875" w:type="dxa"/>
            <w:vAlign w:val="center"/>
          </w:tcPr>
          <w:p w14:paraId="14D36264">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lang w:val="en-US" w:eastAsia="zh-CN"/>
              </w:rPr>
              <w:t>石油类</w:t>
            </w:r>
          </w:p>
        </w:tc>
        <w:tc>
          <w:tcPr>
            <w:tcW w:w="3782" w:type="dxa"/>
            <w:vAlign w:val="center"/>
          </w:tcPr>
          <w:p w14:paraId="1A28E44E">
            <w:pPr>
              <w:keepNext w:val="0"/>
              <w:keepLines w:val="0"/>
              <w:pageBreakBefore w:val="0"/>
              <w:widowControl/>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石油类的测定 紫外分光光度法 （试行） HJ 970-2018</w:t>
            </w:r>
          </w:p>
        </w:tc>
        <w:tc>
          <w:tcPr>
            <w:tcW w:w="1836" w:type="dxa"/>
            <w:vAlign w:val="center"/>
          </w:tcPr>
          <w:p w14:paraId="6126DCCF">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0.01 mg/L</w:t>
            </w:r>
          </w:p>
        </w:tc>
      </w:tr>
      <w:tr w14:paraId="2ABAF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6E64676A">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10</w:t>
            </w:r>
          </w:p>
        </w:tc>
        <w:tc>
          <w:tcPr>
            <w:tcW w:w="1875" w:type="dxa"/>
            <w:vAlign w:val="center"/>
          </w:tcPr>
          <w:p w14:paraId="189C217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溶解性总固体</w:t>
            </w:r>
          </w:p>
        </w:tc>
        <w:tc>
          <w:tcPr>
            <w:tcW w:w="3782" w:type="dxa"/>
            <w:vAlign w:val="center"/>
          </w:tcPr>
          <w:p w14:paraId="5B69304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生活饮用水标准检验方法 感官性状和物理指标（11.1溶解性总固体 称量法） GB/T 5750.4-2023</w:t>
            </w:r>
          </w:p>
        </w:tc>
        <w:tc>
          <w:tcPr>
            <w:tcW w:w="1836" w:type="dxa"/>
            <w:vAlign w:val="center"/>
          </w:tcPr>
          <w:p w14:paraId="1CCAA369">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w:t>
            </w:r>
          </w:p>
        </w:tc>
      </w:tr>
      <w:tr w14:paraId="1E119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6F78942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11</w:t>
            </w:r>
          </w:p>
        </w:tc>
        <w:tc>
          <w:tcPr>
            <w:tcW w:w="1875" w:type="dxa"/>
            <w:vAlign w:val="center"/>
          </w:tcPr>
          <w:p w14:paraId="63265AF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总硬度</w:t>
            </w:r>
          </w:p>
        </w:tc>
        <w:tc>
          <w:tcPr>
            <w:tcW w:w="3782" w:type="dxa"/>
            <w:vAlign w:val="center"/>
          </w:tcPr>
          <w:p w14:paraId="35D69F16">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钙和镁总量的测定 EDTA滴定法 GB 7477-1987</w:t>
            </w:r>
          </w:p>
        </w:tc>
        <w:tc>
          <w:tcPr>
            <w:tcW w:w="1836" w:type="dxa"/>
            <w:vAlign w:val="center"/>
          </w:tcPr>
          <w:p w14:paraId="6DF40B44">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5 mg/L</w:t>
            </w:r>
          </w:p>
        </w:tc>
      </w:tr>
      <w:tr w14:paraId="076E1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3C270AD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12</w:t>
            </w:r>
          </w:p>
        </w:tc>
        <w:tc>
          <w:tcPr>
            <w:tcW w:w="1875" w:type="dxa"/>
            <w:vAlign w:val="center"/>
          </w:tcPr>
          <w:p w14:paraId="774FAE3C">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甲苯</w:t>
            </w:r>
          </w:p>
        </w:tc>
        <w:tc>
          <w:tcPr>
            <w:tcW w:w="3782" w:type="dxa"/>
            <w:vMerge w:val="restart"/>
            <w:vAlign w:val="center"/>
          </w:tcPr>
          <w:p w14:paraId="5F620087">
            <w:pPr>
              <w:pStyle w:val="156"/>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水质 苯系物的测定 顶空/气相色谱法 HJ 1067-2019</w:t>
            </w:r>
          </w:p>
        </w:tc>
        <w:tc>
          <w:tcPr>
            <w:tcW w:w="1836" w:type="dxa"/>
            <w:vAlign w:val="center"/>
          </w:tcPr>
          <w:p w14:paraId="4030D145">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2×10</w:t>
            </w:r>
            <w:r>
              <w:rPr>
                <w:rFonts w:hint="default" w:ascii="Times New Roman" w:hAnsi="Times New Roman" w:eastAsia="宋体" w:cs="Times New Roman"/>
                <w:color w:val="auto"/>
                <w:kern w:val="2"/>
                <w:sz w:val="21"/>
                <w:szCs w:val="21"/>
                <w:u w:val="none" w:color="auto"/>
                <w:vertAlign w:val="superscript"/>
                <w:lang w:val="en-US" w:eastAsia="zh-CN" w:bidi="ar-SA"/>
              </w:rPr>
              <w:t xml:space="preserve">-3 </w:t>
            </w:r>
            <w:r>
              <w:rPr>
                <w:rFonts w:hint="default" w:ascii="Times New Roman" w:hAnsi="Times New Roman" w:eastAsia="宋体" w:cs="Times New Roman"/>
                <w:color w:val="auto"/>
                <w:sz w:val="21"/>
                <w:szCs w:val="21"/>
                <w:u w:val="none" w:color="auto"/>
              </w:rPr>
              <w:t>mg/L</w:t>
            </w:r>
          </w:p>
        </w:tc>
      </w:tr>
      <w:tr w14:paraId="71C4A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3DA96AD2">
            <w:pPr>
              <w:keepNext w:val="0"/>
              <w:keepLines w:val="0"/>
              <w:pageBreakBefore w:val="0"/>
              <w:tabs>
                <w:tab w:val="left" w:pos="7200"/>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13</w:t>
            </w:r>
          </w:p>
        </w:tc>
        <w:tc>
          <w:tcPr>
            <w:tcW w:w="1875" w:type="dxa"/>
            <w:vAlign w:val="center"/>
          </w:tcPr>
          <w:p w14:paraId="09859156">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二甲苯</w:t>
            </w:r>
          </w:p>
        </w:tc>
        <w:tc>
          <w:tcPr>
            <w:tcW w:w="3782" w:type="dxa"/>
            <w:vMerge w:val="continue"/>
            <w:vAlign w:val="center"/>
          </w:tcPr>
          <w:p w14:paraId="62B87E84">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7B851D5B">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2×10</w:t>
            </w:r>
            <w:r>
              <w:rPr>
                <w:rFonts w:hint="default" w:ascii="Times New Roman" w:hAnsi="Times New Roman" w:eastAsia="宋体" w:cs="Times New Roman"/>
                <w:color w:val="auto"/>
                <w:kern w:val="2"/>
                <w:sz w:val="21"/>
                <w:szCs w:val="21"/>
                <w:u w:val="none" w:color="auto"/>
                <w:vertAlign w:val="superscript"/>
                <w:lang w:val="en-US" w:eastAsia="zh-CN" w:bidi="ar-SA"/>
              </w:rPr>
              <w:t xml:space="preserve">-3 </w:t>
            </w:r>
            <w:r>
              <w:rPr>
                <w:rFonts w:hint="default" w:ascii="Times New Roman" w:hAnsi="Times New Roman" w:eastAsia="宋体" w:cs="Times New Roman"/>
                <w:color w:val="auto"/>
                <w:sz w:val="21"/>
                <w:szCs w:val="21"/>
                <w:u w:val="none" w:color="auto"/>
              </w:rPr>
              <w:t>mg/L</w:t>
            </w:r>
          </w:p>
        </w:tc>
      </w:tr>
      <w:tr w14:paraId="5AA7A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634DD58D">
            <w:pPr>
              <w:keepNext w:val="0"/>
              <w:keepLines w:val="0"/>
              <w:pageBreakBefore w:val="0"/>
              <w:kinsoku/>
              <w:wordWrap/>
              <w:overflowPunct/>
              <w:topLinePunct w:val="0"/>
              <w:bidi w:val="0"/>
              <w:adjustRightInd/>
              <w:snapToGrid/>
              <w:spacing w:line="240" w:lineRule="auto"/>
              <w:ind w:left="0" w:leftChars="0" w:firstLine="0" w:firstLineChars="0"/>
              <w:jc w:val="center"/>
              <w:rPr>
                <w:rFonts w:hint="eastAsia" w:ascii="Times New Roman" w:hAnsi="Times New Roman" w:eastAsia="宋体" w:cs="Times New Roman"/>
                <w:color w:val="auto"/>
                <w:u w:val="none" w:color="auto"/>
                <w:vertAlign w:val="baseline"/>
                <w:lang w:eastAsia="zh-CN"/>
              </w:rPr>
            </w:pPr>
            <w:r>
              <w:rPr>
                <w:rFonts w:hint="default" w:ascii="Times New Roman" w:hAnsi="Times New Roman" w:eastAsia="宋体" w:cs="Times New Roman"/>
                <w:color w:val="auto"/>
                <w:sz w:val="21"/>
                <w:szCs w:val="21"/>
                <w:u w:val="none" w:color="auto"/>
              </w:rPr>
              <w:t>1</w:t>
            </w:r>
            <w:r>
              <w:rPr>
                <w:rFonts w:hint="eastAsia" w:ascii="Times New Roman" w:hAnsi="Times New Roman" w:eastAsia="宋体" w:cs="Times New Roman"/>
                <w:color w:val="auto"/>
                <w:sz w:val="21"/>
                <w:szCs w:val="21"/>
                <w:u w:val="none" w:color="auto"/>
                <w:lang w:val="en-US" w:eastAsia="zh-CN"/>
              </w:rPr>
              <w:t>4</w:t>
            </w:r>
          </w:p>
        </w:tc>
        <w:tc>
          <w:tcPr>
            <w:tcW w:w="1875" w:type="dxa"/>
            <w:vAlign w:val="center"/>
          </w:tcPr>
          <w:p w14:paraId="48EE8D6B">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K</w:t>
            </w:r>
            <w:r>
              <w:rPr>
                <w:rFonts w:hint="default" w:ascii="Times New Roman" w:hAnsi="Times New Roman" w:eastAsia="宋体" w:cs="Times New Roman"/>
                <w:color w:val="auto"/>
                <w:sz w:val="21"/>
                <w:szCs w:val="21"/>
                <w:u w:val="none" w:color="auto"/>
                <w:vertAlign w:val="superscript"/>
              </w:rPr>
              <w:t>+</w:t>
            </w:r>
          </w:p>
        </w:tc>
        <w:tc>
          <w:tcPr>
            <w:tcW w:w="3782" w:type="dxa"/>
            <w:vMerge w:val="restart"/>
            <w:vAlign w:val="center"/>
          </w:tcPr>
          <w:p w14:paraId="19A201C6">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可溶性阳离子（Li</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、Na</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4</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、K</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、Ca</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、Mg</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 xml:space="preserve">）的测定 离子色谱法HJ 812-2016 </w:t>
            </w:r>
          </w:p>
        </w:tc>
        <w:tc>
          <w:tcPr>
            <w:tcW w:w="1836" w:type="dxa"/>
            <w:vAlign w:val="center"/>
          </w:tcPr>
          <w:p w14:paraId="4B23FAFF">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0.02 mg/L</w:t>
            </w:r>
          </w:p>
        </w:tc>
      </w:tr>
      <w:tr w14:paraId="5E654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6DDAD9BA">
            <w:pPr>
              <w:keepNext w:val="0"/>
              <w:keepLines w:val="0"/>
              <w:pageBreakBefore w:val="0"/>
              <w:kinsoku/>
              <w:wordWrap/>
              <w:overflowPunct/>
              <w:topLinePunct w:val="0"/>
              <w:bidi w:val="0"/>
              <w:adjustRightInd/>
              <w:snapToGrid/>
              <w:spacing w:line="240" w:lineRule="auto"/>
              <w:ind w:left="0" w:leftChars="0" w:firstLine="0" w:firstLineChars="0"/>
              <w:jc w:val="center"/>
              <w:rPr>
                <w:rFonts w:hint="eastAsia" w:ascii="Times New Roman" w:hAnsi="Times New Roman" w:eastAsia="宋体" w:cs="Times New Roman"/>
                <w:color w:val="auto"/>
                <w:u w:val="none" w:color="auto"/>
                <w:vertAlign w:val="baseline"/>
                <w:lang w:eastAsia="zh-CN"/>
              </w:rPr>
            </w:pPr>
            <w:r>
              <w:rPr>
                <w:rFonts w:hint="default" w:ascii="Times New Roman" w:hAnsi="Times New Roman" w:eastAsia="宋体" w:cs="Times New Roman"/>
                <w:color w:val="auto"/>
                <w:sz w:val="21"/>
                <w:szCs w:val="21"/>
                <w:u w:val="none" w:color="auto"/>
              </w:rPr>
              <w:t>1</w:t>
            </w:r>
            <w:r>
              <w:rPr>
                <w:rFonts w:hint="eastAsia" w:ascii="Times New Roman" w:hAnsi="Times New Roman" w:eastAsia="宋体" w:cs="Times New Roman"/>
                <w:color w:val="auto"/>
                <w:sz w:val="21"/>
                <w:szCs w:val="21"/>
                <w:u w:val="none" w:color="auto"/>
                <w:lang w:val="en-US" w:eastAsia="zh-CN"/>
              </w:rPr>
              <w:t>5</w:t>
            </w:r>
          </w:p>
        </w:tc>
        <w:tc>
          <w:tcPr>
            <w:tcW w:w="1875" w:type="dxa"/>
            <w:vAlign w:val="center"/>
          </w:tcPr>
          <w:p w14:paraId="7341FF9C">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Na</w:t>
            </w:r>
            <w:r>
              <w:rPr>
                <w:rFonts w:hint="default" w:ascii="Times New Roman" w:hAnsi="Times New Roman" w:eastAsia="宋体" w:cs="Times New Roman"/>
                <w:color w:val="auto"/>
                <w:sz w:val="21"/>
                <w:szCs w:val="21"/>
                <w:u w:val="none" w:color="auto"/>
                <w:vertAlign w:val="superscript"/>
              </w:rPr>
              <w:t>+</w:t>
            </w:r>
          </w:p>
        </w:tc>
        <w:tc>
          <w:tcPr>
            <w:tcW w:w="3782" w:type="dxa"/>
            <w:vMerge w:val="continue"/>
            <w:vAlign w:val="center"/>
          </w:tcPr>
          <w:p w14:paraId="0696BB6D">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7614FFD0">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0.02 mg/L</w:t>
            </w:r>
          </w:p>
        </w:tc>
      </w:tr>
      <w:tr w14:paraId="4D061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30868D0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Cs/>
                <w:color w:val="auto"/>
                <w:sz w:val="21"/>
                <w:szCs w:val="21"/>
                <w:u w:val="none" w:color="auto"/>
              </w:rPr>
              <w:t>1</w:t>
            </w:r>
            <w:r>
              <w:rPr>
                <w:rFonts w:hint="eastAsia" w:ascii="Times New Roman" w:hAnsi="Times New Roman" w:eastAsia="宋体" w:cs="Times New Roman"/>
                <w:bCs/>
                <w:color w:val="auto"/>
                <w:sz w:val="21"/>
                <w:szCs w:val="21"/>
                <w:u w:val="none" w:color="auto"/>
                <w:lang w:val="en-US" w:eastAsia="zh-CN"/>
              </w:rPr>
              <w:t>6</w:t>
            </w:r>
          </w:p>
        </w:tc>
        <w:tc>
          <w:tcPr>
            <w:tcW w:w="1875" w:type="dxa"/>
            <w:vAlign w:val="center"/>
          </w:tcPr>
          <w:p w14:paraId="4AD34537">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Ca</w:t>
            </w:r>
            <w:r>
              <w:rPr>
                <w:rFonts w:hint="default" w:ascii="Times New Roman" w:hAnsi="Times New Roman" w:eastAsia="宋体" w:cs="Times New Roman"/>
                <w:color w:val="auto"/>
                <w:sz w:val="21"/>
                <w:szCs w:val="21"/>
                <w:u w:val="none" w:color="auto"/>
                <w:vertAlign w:val="superscript"/>
              </w:rPr>
              <w:t>2+</w:t>
            </w:r>
          </w:p>
        </w:tc>
        <w:tc>
          <w:tcPr>
            <w:tcW w:w="3782" w:type="dxa"/>
            <w:vMerge w:val="continue"/>
            <w:vAlign w:val="center"/>
          </w:tcPr>
          <w:p w14:paraId="7D9EE852">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712A266B">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0.03 mg/L</w:t>
            </w:r>
          </w:p>
        </w:tc>
      </w:tr>
      <w:tr w14:paraId="282D4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5780BD1C">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bCs/>
                <w:color w:val="auto"/>
                <w:sz w:val="21"/>
                <w:szCs w:val="21"/>
                <w:u w:val="none" w:color="auto"/>
              </w:rPr>
              <w:t>1</w:t>
            </w:r>
            <w:r>
              <w:rPr>
                <w:rFonts w:hint="eastAsia" w:ascii="Times New Roman" w:hAnsi="Times New Roman" w:eastAsia="宋体" w:cs="Times New Roman"/>
                <w:bCs/>
                <w:color w:val="auto"/>
                <w:sz w:val="21"/>
                <w:szCs w:val="21"/>
                <w:u w:val="none" w:color="auto"/>
                <w:lang w:val="en-US" w:eastAsia="zh-CN"/>
              </w:rPr>
              <w:t>7</w:t>
            </w:r>
          </w:p>
        </w:tc>
        <w:tc>
          <w:tcPr>
            <w:tcW w:w="1875" w:type="dxa"/>
            <w:vAlign w:val="center"/>
          </w:tcPr>
          <w:p w14:paraId="3058EE0C">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Mg</w:t>
            </w:r>
            <w:r>
              <w:rPr>
                <w:rFonts w:hint="default" w:ascii="Times New Roman" w:hAnsi="Times New Roman" w:eastAsia="宋体" w:cs="Times New Roman"/>
                <w:color w:val="auto"/>
                <w:sz w:val="21"/>
                <w:szCs w:val="21"/>
                <w:u w:val="none" w:color="auto"/>
                <w:vertAlign w:val="superscript"/>
              </w:rPr>
              <w:t>2+</w:t>
            </w:r>
          </w:p>
        </w:tc>
        <w:tc>
          <w:tcPr>
            <w:tcW w:w="3782" w:type="dxa"/>
            <w:vMerge w:val="continue"/>
            <w:vAlign w:val="center"/>
          </w:tcPr>
          <w:p w14:paraId="4DDC0B2D">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089018BC">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0.02 mg/L</w:t>
            </w:r>
          </w:p>
        </w:tc>
      </w:tr>
      <w:tr w14:paraId="42AF1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42A16E7F">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w:t>
            </w:r>
            <w:r>
              <w:rPr>
                <w:rFonts w:hint="eastAsia" w:ascii="Times New Roman" w:hAnsi="Times New Roman" w:eastAsia="宋体" w:cs="Times New Roman"/>
                <w:color w:val="auto"/>
                <w:sz w:val="21"/>
                <w:szCs w:val="21"/>
                <w:u w:val="none" w:color="auto"/>
                <w:lang w:val="en-US" w:eastAsia="zh-CN"/>
              </w:rPr>
              <w:t>8</w:t>
            </w:r>
          </w:p>
        </w:tc>
        <w:tc>
          <w:tcPr>
            <w:tcW w:w="1875" w:type="dxa"/>
            <w:vAlign w:val="center"/>
          </w:tcPr>
          <w:p w14:paraId="7C2AE7AB">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Cl</w:t>
            </w:r>
            <w:r>
              <w:rPr>
                <w:rFonts w:hint="default" w:ascii="Times New Roman" w:hAnsi="Times New Roman" w:eastAsia="宋体" w:cs="Times New Roman"/>
                <w:color w:val="auto"/>
                <w:sz w:val="21"/>
                <w:szCs w:val="21"/>
                <w:u w:val="none" w:color="auto"/>
                <w:vertAlign w:val="superscript"/>
              </w:rPr>
              <w:t>-</w:t>
            </w:r>
          </w:p>
        </w:tc>
        <w:tc>
          <w:tcPr>
            <w:tcW w:w="3782" w:type="dxa"/>
            <w:vMerge w:val="restart"/>
            <w:vAlign w:val="center"/>
          </w:tcPr>
          <w:p w14:paraId="3D4B19F7">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水质 无机阴离子（F</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、Cl</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、Br</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、PO</w:t>
            </w:r>
            <w:r>
              <w:rPr>
                <w:rFonts w:hint="default" w:ascii="Times New Roman" w:hAnsi="Times New Roman" w:eastAsia="宋体" w:cs="Times New Roman"/>
                <w:color w:val="auto"/>
                <w:sz w:val="21"/>
                <w:szCs w:val="21"/>
                <w:u w:val="none" w:color="auto"/>
                <w:vertAlign w:val="subscript"/>
              </w:rPr>
              <w:t>4</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4</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）的测定 离子色谱法HJ 84-2016</w:t>
            </w:r>
          </w:p>
        </w:tc>
        <w:tc>
          <w:tcPr>
            <w:tcW w:w="1836" w:type="dxa"/>
            <w:vAlign w:val="center"/>
          </w:tcPr>
          <w:p w14:paraId="46F4A509">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0.007 mg/L</w:t>
            </w:r>
          </w:p>
        </w:tc>
      </w:tr>
      <w:tr w14:paraId="6C459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7038E02E">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1</w:t>
            </w:r>
            <w:r>
              <w:rPr>
                <w:rFonts w:hint="eastAsia" w:ascii="Times New Roman" w:hAnsi="Times New Roman" w:eastAsia="宋体" w:cs="Times New Roman"/>
                <w:color w:val="auto"/>
                <w:sz w:val="21"/>
                <w:szCs w:val="21"/>
                <w:u w:val="none" w:color="auto"/>
                <w:lang w:val="en-US" w:eastAsia="zh-CN"/>
              </w:rPr>
              <w:t>9</w:t>
            </w:r>
          </w:p>
        </w:tc>
        <w:tc>
          <w:tcPr>
            <w:tcW w:w="1875" w:type="dxa"/>
            <w:vAlign w:val="center"/>
          </w:tcPr>
          <w:p w14:paraId="70706D32">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4</w:t>
            </w:r>
            <w:r>
              <w:rPr>
                <w:rFonts w:hint="default" w:ascii="Times New Roman" w:hAnsi="Times New Roman" w:eastAsia="宋体" w:cs="Times New Roman"/>
                <w:color w:val="auto"/>
                <w:sz w:val="21"/>
                <w:szCs w:val="21"/>
                <w:u w:val="none" w:color="auto"/>
                <w:vertAlign w:val="superscript"/>
              </w:rPr>
              <w:t>2-</w:t>
            </w:r>
          </w:p>
        </w:tc>
        <w:tc>
          <w:tcPr>
            <w:tcW w:w="3782" w:type="dxa"/>
            <w:vMerge w:val="continue"/>
            <w:vAlign w:val="center"/>
          </w:tcPr>
          <w:p w14:paraId="15C0A321">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p>
        </w:tc>
        <w:tc>
          <w:tcPr>
            <w:tcW w:w="1836" w:type="dxa"/>
            <w:vAlign w:val="center"/>
          </w:tcPr>
          <w:p w14:paraId="520948D1">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0.018 mg/L</w:t>
            </w:r>
          </w:p>
        </w:tc>
      </w:tr>
      <w:tr w14:paraId="4AD41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dxa"/>
            <w:vAlign w:val="center"/>
          </w:tcPr>
          <w:p w14:paraId="0F7C8002">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lang w:val="en-US"/>
              </w:rPr>
            </w:pPr>
            <w:r>
              <w:rPr>
                <w:rFonts w:hint="eastAsia" w:ascii="Times New Roman" w:hAnsi="Times New Roman" w:eastAsia="宋体" w:cs="Times New Roman"/>
                <w:color w:val="auto"/>
                <w:sz w:val="21"/>
                <w:szCs w:val="21"/>
                <w:u w:val="none" w:color="auto"/>
                <w:lang w:val="en-US" w:eastAsia="zh-CN"/>
              </w:rPr>
              <w:t>20</w:t>
            </w:r>
          </w:p>
        </w:tc>
        <w:tc>
          <w:tcPr>
            <w:tcW w:w="1875" w:type="dxa"/>
            <w:vAlign w:val="center"/>
          </w:tcPr>
          <w:p w14:paraId="7B17EECE">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HCO</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vertAlign w:val="superscript"/>
              </w:rPr>
              <w:t>-</w:t>
            </w:r>
          </w:p>
        </w:tc>
        <w:tc>
          <w:tcPr>
            <w:tcW w:w="3782" w:type="dxa"/>
            <w:vMerge w:val="restart"/>
            <w:vAlign w:val="center"/>
          </w:tcPr>
          <w:p w14:paraId="1D5ED03E">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sz w:val="21"/>
                <w:szCs w:val="21"/>
                <w:u w:val="none" w:color="auto"/>
              </w:rPr>
              <w:t>碱度 酸碱指示剂滴定法《水和废水监测分析方法》第四版）国家环保总局（2002年）</w:t>
            </w:r>
          </w:p>
        </w:tc>
        <w:tc>
          <w:tcPr>
            <w:tcW w:w="1836" w:type="dxa"/>
            <w:vAlign w:val="center"/>
          </w:tcPr>
          <w:p w14:paraId="6DE1FB3A">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u w:val="none" w:color="auto"/>
                <w:vertAlign w:val="baseline"/>
              </w:rPr>
            </w:pPr>
            <w:r>
              <w:rPr>
                <w:rFonts w:hint="default" w:ascii="Times New Roman" w:hAnsi="Times New Roman" w:eastAsia="宋体" w:cs="Times New Roman"/>
                <w:color w:val="auto"/>
                <w:kern w:val="2"/>
                <w:sz w:val="21"/>
                <w:szCs w:val="21"/>
                <w:u w:val="none" w:color="auto"/>
                <w:lang w:val="en-US" w:eastAsia="zh-CN" w:bidi="ar-SA"/>
              </w:rPr>
              <w:t>/</w:t>
            </w:r>
          </w:p>
        </w:tc>
      </w:tr>
      <w:tr w14:paraId="24C3C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029" w:type="dxa"/>
            <w:vAlign w:val="center"/>
          </w:tcPr>
          <w:p w14:paraId="4751D0C6">
            <w:pPr>
              <w:keepNext w:val="0"/>
              <w:keepLines w:val="0"/>
              <w:pageBreakBefore w:val="0"/>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21</w:t>
            </w:r>
          </w:p>
        </w:tc>
        <w:tc>
          <w:tcPr>
            <w:tcW w:w="1875" w:type="dxa"/>
            <w:vAlign w:val="center"/>
          </w:tcPr>
          <w:p w14:paraId="60D61A10">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w:t>
            </w:r>
            <w:r>
              <w:rPr>
                <w:rFonts w:hint="default" w:ascii="Times New Roman" w:hAnsi="Times New Roman" w:eastAsia="宋体" w:cs="Times New Roman"/>
                <w:color w:val="auto"/>
                <w:sz w:val="21"/>
                <w:szCs w:val="21"/>
                <w:u w:val="none" w:color="auto"/>
                <w:vertAlign w:val="subscript"/>
              </w:rPr>
              <w:t>3</w:t>
            </w:r>
            <w:r>
              <w:rPr>
                <w:rFonts w:hint="eastAsia" w:ascii="Times New Roman" w:hAnsi="Times New Roman" w:eastAsia="宋体" w:cs="Times New Roman"/>
                <w:color w:val="auto"/>
                <w:sz w:val="21"/>
                <w:szCs w:val="21"/>
                <w:u w:val="none" w:color="auto"/>
                <w:vertAlign w:val="superscript"/>
                <w:lang w:val="en-US" w:eastAsia="zh-CN"/>
              </w:rPr>
              <w:t>2</w:t>
            </w:r>
            <w:r>
              <w:rPr>
                <w:rFonts w:hint="default" w:ascii="Times New Roman" w:hAnsi="Times New Roman" w:eastAsia="宋体" w:cs="Times New Roman"/>
                <w:color w:val="auto"/>
                <w:sz w:val="21"/>
                <w:szCs w:val="21"/>
                <w:u w:val="none" w:color="auto"/>
                <w:vertAlign w:val="superscript"/>
              </w:rPr>
              <w:t>-</w:t>
            </w:r>
          </w:p>
        </w:tc>
        <w:tc>
          <w:tcPr>
            <w:tcW w:w="3782" w:type="dxa"/>
            <w:vMerge w:val="continue"/>
            <w:vAlign w:val="center"/>
          </w:tcPr>
          <w:p w14:paraId="660DD22A">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sz w:val="21"/>
                <w:szCs w:val="21"/>
                <w:u w:val="none" w:color="auto"/>
              </w:rPr>
            </w:pPr>
          </w:p>
        </w:tc>
        <w:tc>
          <w:tcPr>
            <w:tcW w:w="1836" w:type="dxa"/>
            <w:vAlign w:val="center"/>
          </w:tcPr>
          <w:p w14:paraId="3E3A554D">
            <w:pPr>
              <w:keepNext w:val="0"/>
              <w:keepLines w:val="0"/>
              <w:pageBreakBefore w:val="0"/>
              <w:tabs>
                <w:tab w:val="left" w:pos="244"/>
                <w:tab w:val="center" w:pos="814"/>
              </w:tabs>
              <w:kinsoku/>
              <w:wordWrap/>
              <w:overflowPunct/>
              <w:topLinePunct w:val="0"/>
              <w:bidi w:val="0"/>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r>
    </w:tbl>
    <w:p w14:paraId="125A32B7">
      <w:pPr>
        <w:rPr>
          <w:color w:val="auto"/>
          <w:u w:val="none" w:color="auto"/>
        </w:rPr>
      </w:pPr>
    </w:p>
    <w:p w14:paraId="1580C00E">
      <w:pPr>
        <w:pStyle w:val="4"/>
        <w:bidi w:val="0"/>
        <w:rPr>
          <w:color w:val="auto"/>
          <w:u w:val="none" w:color="auto"/>
        </w:rPr>
      </w:pPr>
      <w:bookmarkStart w:id="186" w:name="_Toc3728203"/>
      <w:r>
        <w:rPr>
          <w:color w:val="auto"/>
          <w:u w:val="none" w:color="auto"/>
        </w:rPr>
        <w:t>评价标准与方法</w:t>
      </w:r>
      <w:bookmarkEnd w:id="186"/>
    </w:p>
    <w:p w14:paraId="195B01C9">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（1）评价标准</w:t>
      </w:r>
    </w:p>
    <w:p w14:paraId="08A7F30E">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本项目所在区域地下水环境质量执行《地下水质量标准》（GBT</w:t>
      </w:r>
      <w:r>
        <w:rPr>
          <w:rFonts w:hint="eastAsia" w:ascii="Times New Roman" w:hAnsi="Times New Roman" w:eastAsia="宋体" w:cs="Times New Roman"/>
          <w:color w:val="auto"/>
          <w:sz w:val="24"/>
          <w:u w:val="none" w:color="auto"/>
        </w:rPr>
        <w:t xml:space="preserve"> </w:t>
      </w:r>
      <w:r>
        <w:rPr>
          <w:rFonts w:ascii="Times New Roman" w:hAnsi="Times New Roman" w:eastAsia="宋体" w:cs="Times New Roman"/>
          <w:color w:val="auto"/>
          <w:sz w:val="24"/>
          <w:u w:val="none" w:color="auto"/>
        </w:rPr>
        <w:t>14848-2017）Ⅲ类标准限值。</w:t>
      </w:r>
    </w:p>
    <w:p w14:paraId="47BA20B6">
      <w:pPr>
        <w:autoSpaceDE w:val="0"/>
        <w:autoSpaceDN w:val="0"/>
        <w:spacing w:line="360" w:lineRule="auto"/>
        <w:ind w:firstLine="482" w:firstLineChars="200"/>
        <w:jc w:val="left"/>
        <w:rPr>
          <w:rFonts w:ascii="Times New Roman" w:hAnsi="Times New Roman" w:eastAsia="宋体" w:cs="Times New Roman"/>
          <w:b/>
          <w:color w:val="auto"/>
          <w:sz w:val="24"/>
          <w:u w:val="none" w:color="auto"/>
        </w:rPr>
      </w:pPr>
      <w:r>
        <w:rPr>
          <w:rFonts w:ascii="Times New Roman" w:hAnsi="Times New Roman" w:eastAsia="宋体" w:cs="Times New Roman"/>
          <w:b/>
          <w:color w:val="auto"/>
          <w:sz w:val="24"/>
          <w:u w:val="none" w:color="auto"/>
        </w:rPr>
        <w:t>（2）评价方法</w:t>
      </w:r>
    </w:p>
    <w:p w14:paraId="4C148B6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采用《环境影响评价技术导则地下水环境》（HJ610-2016）要求的标准指数法进行评价。采用标准指数法进行评价，标准指数＞1，表明该水质因子已超过了规定的水质标准，指数值越大，超标越严重。标准指数计算公式</w:t>
      </w:r>
      <w:r>
        <w:rPr>
          <w:rFonts w:hint="eastAsia" w:ascii="Times New Roman" w:hAnsi="Times New Roman" w:eastAsia="宋体" w:cs="Times New Roman"/>
          <w:color w:val="auto"/>
          <w:sz w:val="24"/>
          <w:u w:val="none" w:color="auto"/>
          <w:lang w:eastAsia="zh-CN"/>
        </w:rPr>
        <w:t>分为</w:t>
      </w:r>
      <w:r>
        <w:rPr>
          <w:rFonts w:ascii="Times New Roman" w:hAnsi="Times New Roman" w:eastAsia="宋体" w:cs="Times New Roman"/>
          <w:color w:val="auto"/>
          <w:sz w:val="24"/>
          <w:u w:val="none" w:color="auto"/>
        </w:rPr>
        <w:t>以下两种情况：</w:t>
      </w:r>
    </w:p>
    <w:p w14:paraId="6EEC126E">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（1）对于评价标准为定值的水质因子，其标准指数计算公式：</w:t>
      </w:r>
    </w:p>
    <w:p w14:paraId="4EAFE705">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552450" cy="4572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52450" cy="457200"/>
                    </a:xfrm>
                    <a:prstGeom prst="rect">
                      <a:avLst/>
                    </a:prstGeom>
                    <a:noFill/>
                    <a:ln>
                      <a:noFill/>
                    </a:ln>
                  </pic:spPr>
                </pic:pic>
              </a:graphicData>
            </a:graphic>
          </wp:inline>
        </w:drawing>
      </w:r>
    </w:p>
    <w:p w14:paraId="68B94288">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式中：Pi——第i个水质因子的标准指数，无量纲；</w:t>
      </w:r>
    </w:p>
    <w:p w14:paraId="043EC55B">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Ci——第i个水质因子的监测浓度值，mg/L；</w:t>
      </w:r>
    </w:p>
    <w:p w14:paraId="2C69BCA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CSi——第i个水质因子的标准浓度值，mg/L；</w:t>
      </w:r>
    </w:p>
    <w:p w14:paraId="5514DACA">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（2）对于评价标准为区间值的水质因子（如pH值），其标准指数计算公式：</w:t>
      </w:r>
    </w:p>
    <w:p w14:paraId="22F97E31">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1238250" cy="457200"/>
            <wp:effectExtent l="0" t="0" r="0" b="0"/>
            <wp:docPr id="46" name="图片 46"/>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238250" cy="457200"/>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当pH≤7.0</w:t>
      </w:r>
    </w:p>
    <w:p w14:paraId="326D5C99">
      <w:pPr>
        <w:autoSpaceDE w:val="0"/>
        <w:autoSpaceDN w:val="0"/>
        <w:spacing w:line="360" w:lineRule="auto"/>
        <w:ind w:firstLine="480" w:firstLineChars="200"/>
        <w:jc w:val="center"/>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1238250" cy="457200"/>
            <wp:effectExtent l="0" t="0" r="11430" b="0"/>
            <wp:docPr id="47" name="图片 47"/>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238250" cy="457200"/>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当pH＞7.0</w:t>
      </w:r>
    </w:p>
    <w:p w14:paraId="30EFA9F6">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w:t>
      </w:r>
      <w:r>
        <w:rPr>
          <w:rFonts w:ascii="Times New Roman" w:hAnsi="Times New Roman" w:eastAsia="宋体" w:cs="Times New Roman"/>
          <w:color w:val="auto"/>
          <w:sz w:val="24"/>
          <w:u w:val="none" w:color="auto"/>
        </w:rPr>
        <w:drawing>
          <wp:inline distT="0" distB="0" distL="0" distR="0">
            <wp:extent cx="247650" cy="247650"/>
            <wp:effectExtent l="0" t="0" r="0" b="1206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47650" cy="247650"/>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――pH的标准指数，无量纲；</w:t>
      </w:r>
    </w:p>
    <w:p w14:paraId="0421502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276225" cy="200025"/>
            <wp:effectExtent l="0" t="0" r="13335" b="133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76225" cy="200025"/>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drawing>
          <wp:inline distT="0" distB="0" distL="0" distR="0">
            <wp:extent cx="276225" cy="200025"/>
            <wp:effectExtent l="0" t="0" r="13335" b="133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76225" cy="200025"/>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监测值；</w:t>
      </w:r>
    </w:p>
    <w:p w14:paraId="663F6E4D">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352425" cy="228600"/>
            <wp:effectExtent l="0" t="0" r="1333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52425" cy="228600"/>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――水质标准中规定的pH的上限值；</w:t>
      </w:r>
    </w:p>
    <w:p w14:paraId="0039AAC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drawing>
          <wp:inline distT="0" distB="0" distL="0" distR="0">
            <wp:extent cx="371475" cy="2286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71475" cy="228600"/>
                    </a:xfrm>
                    <a:prstGeom prst="rect">
                      <a:avLst/>
                    </a:prstGeom>
                    <a:noFill/>
                    <a:ln>
                      <a:noFill/>
                    </a:ln>
                    <a:effectLst/>
                  </pic:spPr>
                </pic:pic>
              </a:graphicData>
            </a:graphic>
          </wp:inline>
        </w:drawing>
      </w:r>
      <w:r>
        <w:rPr>
          <w:rFonts w:ascii="Times New Roman" w:hAnsi="Times New Roman" w:eastAsia="宋体" w:cs="Times New Roman"/>
          <w:color w:val="auto"/>
          <w:sz w:val="24"/>
          <w:u w:val="none" w:color="auto"/>
        </w:rPr>
        <w:t>――水质标准中规定的pH的下限值。</w:t>
      </w:r>
    </w:p>
    <w:p w14:paraId="4DD6F38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187" w:name="_Toc3728204"/>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.4.5监测结果与评价</w:t>
      </w:r>
      <w:bookmarkEnd w:id="187"/>
    </w:p>
    <w:p w14:paraId="270D223B">
      <w:pPr>
        <w:autoSpaceDE w:val="0"/>
        <w:autoSpaceDN w:val="0"/>
        <w:adjustRightInd w:val="0"/>
        <w:snapToGrid w:val="0"/>
        <w:spacing w:line="360" w:lineRule="auto"/>
        <w:ind w:firstLine="480" w:firstLineChars="200"/>
        <w:jc w:val="left"/>
        <w:rPr>
          <w:color w:val="auto"/>
          <w:u w:val="none" w:color="auto"/>
        </w:rPr>
      </w:pPr>
      <w:r>
        <w:rPr>
          <w:rFonts w:ascii="Times New Roman" w:hAnsi="Times New Roman" w:eastAsia="宋体" w:cs="Times New Roman"/>
          <w:color w:val="auto"/>
          <w:kern w:val="0"/>
          <w:sz w:val="24"/>
          <w:szCs w:val="24"/>
          <w:u w:val="none" w:color="auto"/>
        </w:rPr>
        <w:t>地下水水质现状监测结果见表</w:t>
      </w:r>
      <w:r>
        <w:rPr>
          <w:rFonts w:hint="eastAsia" w:ascii="Times New Roman" w:hAnsi="Times New Roman" w:eastAsia="宋体" w:cs="Times New Roman"/>
          <w:color w:val="auto"/>
          <w:kern w:val="0"/>
          <w:sz w:val="24"/>
          <w:szCs w:val="24"/>
          <w:u w:val="none" w:color="auto"/>
        </w:rPr>
        <w:t>3</w:t>
      </w:r>
      <w:r>
        <w:rPr>
          <w:rFonts w:ascii="Times New Roman" w:hAnsi="Times New Roman" w:eastAsia="宋体" w:cs="Times New Roman"/>
          <w:color w:val="auto"/>
          <w:kern w:val="0"/>
          <w:sz w:val="24"/>
          <w:szCs w:val="24"/>
          <w:u w:val="none" w:color="auto"/>
        </w:rPr>
        <w:t>.4-</w:t>
      </w:r>
      <w:r>
        <w:rPr>
          <w:rFonts w:hint="eastAsia" w:ascii="Times New Roman" w:hAnsi="Times New Roman" w:eastAsia="宋体" w:cs="Times New Roman"/>
          <w:color w:val="auto"/>
          <w:kern w:val="0"/>
          <w:sz w:val="24"/>
          <w:szCs w:val="24"/>
          <w:u w:val="none" w:color="auto"/>
        </w:rPr>
        <w:t>3。</w:t>
      </w:r>
    </w:p>
    <w:p w14:paraId="32BE27F1">
      <w:pPr>
        <w:widowControl/>
        <w:autoSpaceDE w:val="0"/>
        <w:autoSpaceDN w:val="0"/>
        <w:jc w:val="center"/>
        <w:rPr>
          <w:rFonts w:ascii="Times New Roman" w:hAnsi="Times New Roman" w:eastAsia="宋体" w:cs="Times New Roman"/>
          <w:b/>
          <w:bCs/>
          <w:color w:val="auto"/>
          <w:kern w:val="0"/>
          <w:szCs w:val="24"/>
          <w:u w:val="none" w:color="auto"/>
        </w:rPr>
      </w:pPr>
      <w:bookmarkStart w:id="188" w:name="_Toc477792312"/>
      <w:bookmarkStart w:id="189" w:name="_Toc3728380"/>
      <w:bookmarkStart w:id="190" w:name="_Toc477791124"/>
      <w:bookmarkStart w:id="191" w:name="_Toc477792258"/>
      <w:bookmarkStart w:id="192" w:name="_Toc3728205"/>
      <w:bookmarkStart w:id="193" w:name="_Toc3728465"/>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3</w:t>
      </w:r>
      <w:r>
        <w:rPr>
          <w:rFonts w:ascii="Times New Roman" w:hAnsi="Times New Roman" w:eastAsia="宋体" w:cs="Times New Roman"/>
          <w:b/>
          <w:bCs/>
          <w:color w:val="auto"/>
          <w:kern w:val="0"/>
          <w:szCs w:val="24"/>
          <w:u w:val="none" w:color="auto"/>
        </w:rPr>
        <w:t>.4-</w:t>
      </w:r>
      <w:r>
        <w:rPr>
          <w:rFonts w:hint="eastAsia" w:ascii="Times New Roman" w:hAnsi="Times New Roman" w:eastAsia="宋体" w:cs="Times New Roman"/>
          <w:b/>
          <w:bCs/>
          <w:color w:val="auto"/>
          <w:kern w:val="0"/>
          <w:szCs w:val="24"/>
          <w:u w:val="none" w:color="auto"/>
        </w:rPr>
        <w:t>3</w:t>
      </w:r>
      <w:r>
        <w:rPr>
          <w:rFonts w:ascii="Times New Roman" w:hAnsi="Times New Roman" w:eastAsia="宋体" w:cs="Times New Roman"/>
          <w:b/>
          <w:bCs/>
          <w:color w:val="auto"/>
          <w:kern w:val="0"/>
          <w:szCs w:val="24"/>
          <w:u w:val="none" w:color="auto"/>
        </w:rPr>
        <w:t xml:space="preserve"> </w:t>
      </w:r>
      <w:r>
        <w:rPr>
          <w:rFonts w:hint="eastAsia" w:ascii="Times New Roman" w:hAnsi="Times New Roman" w:eastAsia="宋体" w:cs="Times New Roman"/>
          <w:b/>
          <w:bCs/>
          <w:color w:val="auto"/>
          <w:kern w:val="0"/>
          <w:szCs w:val="24"/>
          <w:u w:val="none" w:color="auto"/>
        </w:rPr>
        <w:t xml:space="preserve"> </w:t>
      </w:r>
      <w:r>
        <w:rPr>
          <w:rFonts w:ascii="Times New Roman" w:hAnsi="Times New Roman" w:eastAsia="宋体" w:cs="Times New Roman"/>
          <w:b/>
          <w:bCs/>
          <w:color w:val="auto"/>
          <w:kern w:val="0"/>
          <w:szCs w:val="24"/>
          <w:u w:val="none" w:color="auto"/>
        </w:rPr>
        <w:t>地下水水质监测结果表</w:t>
      </w:r>
      <w:bookmarkEnd w:id="188"/>
      <w:bookmarkEnd w:id="189"/>
      <w:bookmarkEnd w:id="190"/>
      <w:bookmarkEnd w:id="191"/>
      <w:bookmarkEnd w:id="192"/>
      <w:bookmarkEnd w:id="193"/>
    </w:p>
    <w:tbl>
      <w:tblPr>
        <w:tblStyle w:val="37"/>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500"/>
        <w:gridCol w:w="1304"/>
        <w:gridCol w:w="1006"/>
        <w:gridCol w:w="1138"/>
        <w:gridCol w:w="980"/>
        <w:gridCol w:w="1712"/>
      </w:tblGrid>
      <w:tr w14:paraId="2C1DE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2" w:hRule="atLeast"/>
          <w:jc w:val="center"/>
        </w:trPr>
        <w:tc>
          <w:tcPr>
            <w:tcW w:w="2500" w:type="dxa"/>
            <w:vMerge w:val="restart"/>
            <w:noWrap/>
            <w:vAlign w:val="center"/>
          </w:tcPr>
          <w:p w14:paraId="45019B7D">
            <w:pPr>
              <w:pStyle w:val="104"/>
              <w:widowControl w:val="0"/>
              <w:autoSpaceDE w:val="0"/>
              <w:autoSpaceDN w:val="0"/>
              <w:rPr>
                <w:b/>
                <w:color w:val="auto"/>
                <w:szCs w:val="21"/>
                <w:u w:val="none" w:color="auto"/>
              </w:rPr>
            </w:pPr>
            <w:bookmarkStart w:id="194" w:name="_Hlk338166239"/>
            <w:r>
              <w:rPr>
                <w:b/>
                <w:color w:val="auto"/>
                <w:szCs w:val="21"/>
                <w:u w:val="none" w:color="auto"/>
              </w:rPr>
              <w:t>项目</w:t>
            </w:r>
          </w:p>
        </w:tc>
        <w:tc>
          <w:tcPr>
            <w:tcW w:w="1304" w:type="dxa"/>
            <w:vMerge w:val="restart"/>
            <w:noWrap/>
            <w:vAlign w:val="center"/>
          </w:tcPr>
          <w:p w14:paraId="25C7D98D">
            <w:pPr>
              <w:pStyle w:val="104"/>
              <w:widowControl w:val="0"/>
              <w:autoSpaceDE w:val="0"/>
              <w:autoSpaceDN w:val="0"/>
              <w:rPr>
                <w:b/>
                <w:color w:val="auto"/>
                <w:szCs w:val="21"/>
                <w:u w:val="none" w:color="auto"/>
              </w:rPr>
            </w:pPr>
            <w:r>
              <w:rPr>
                <w:b/>
                <w:color w:val="auto"/>
                <w:szCs w:val="21"/>
                <w:u w:val="none" w:color="auto"/>
              </w:rPr>
              <w:t>名称</w:t>
            </w:r>
          </w:p>
        </w:tc>
        <w:tc>
          <w:tcPr>
            <w:tcW w:w="3124" w:type="dxa"/>
            <w:gridSpan w:val="3"/>
            <w:noWrap/>
            <w:vAlign w:val="center"/>
          </w:tcPr>
          <w:p w14:paraId="20223EFB">
            <w:pPr>
              <w:pStyle w:val="104"/>
              <w:widowControl w:val="0"/>
              <w:autoSpaceDE w:val="0"/>
              <w:autoSpaceDN w:val="0"/>
              <w:rPr>
                <w:b/>
                <w:color w:val="auto"/>
                <w:szCs w:val="21"/>
                <w:u w:val="none" w:color="auto"/>
              </w:rPr>
            </w:pPr>
            <w:r>
              <w:rPr>
                <w:b/>
                <w:color w:val="auto"/>
                <w:szCs w:val="21"/>
                <w:u w:val="none" w:color="auto"/>
              </w:rPr>
              <w:t>监测结果</w:t>
            </w:r>
          </w:p>
        </w:tc>
        <w:tc>
          <w:tcPr>
            <w:tcW w:w="1712" w:type="dxa"/>
            <w:vMerge w:val="restart"/>
            <w:noWrap/>
            <w:vAlign w:val="center"/>
          </w:tcPr>
          <w:p w14:paraId="5BB74383">
            <w:pPr>
              <w:pStyle w:val="104"/>
              <w:widowControl w:val="0"/>
              <w:autoSpaceDE w:val="0"/>
              <w:autoSpaceDN w:val="0"/>
              <w:rPr>
                <w:b/>
                <w:color w:val="auto"/>
                <w:szCs w:val="21"/>
                <w:u w:val="none" w:color="auto"/>
              </w:rPr>
            </w:pPr>
            <w:r>
              <w:rPr>
                <w:b/>
                <w:color w:val="auto"/>
                <w:szCs w:val="21"/>
                <w:u w:val="none" w:color="auto"/>
              </w:rPr>
              <w:t>评价标准</w:t>
            </w:r>
          </w:p>
          <w:p w14:paraId="6A7B26B8">
            <w:pPr>
              <w:pStyle w:val="104"/>
              <w:widowControl w:val="0"/>
              <w:autoSpaceDE w:val="0"/>
              <w:autoSpaceDN w:val="0"/>
              <w:rPr>
                <w:b/>
                <w:color w:val="auto"/>
                <w:szCs w:val="21"/>
                <w:u w:val="none" w:color="auto"/>
              </w:rPr>
            </w:pPr>
            <w:r>
              <w:rPr>
                <w:rFonts w:hint="eastAsia"/>
                <w:b/>
                <w:color w:val="auto"/>
                <w:szCs w:val="21"/>
                <w:u w:val="none" w:color="auto"/>
              </w:rPr>
              <w:t>mg/L</w:t>
            </w:r>
          </w:p>
        </w:tc>
      </w:tr>
      <w:tr w14:paraId="79728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1" w:hRule="atLeast"/>
          <w:jc w:val="center"/>
        </w:trPr>
        <w:tc>
          <w:tcPr>
            <w:tcW w:w="2500" w:type="dxa"/>
            <w:vMerge w:val="continue"/>
            <w:noWrap/>
            <w:vAlign w:val="center"/>
          </w:tcPr>
          <w:p w14:paraId="0703850A">
            <w:pPr>
              <w:pStyle w:val="104"/>
              <w:widowControl w:val="0"/>
              <w:autoSpaceDE w:val="0"/>
              <w:autoSpaceDN w:val="0"/>
              <w:rPr>
                <w:color w:val="auto"/>
                <w:szCs w:val="21"/>
                <w:u w:val="none" w:color="auto"/>
              </w:rPr>
            </w:pPr>
          </w:p>
        </w:tc>
        <w:tc>
          <w:tcPr>
            <w:tcW w:w="1304" w:type="dxa"/>
            <w:vMerge w:val="continue"/>
            <w:noWrap/>
            <w:vAlign w:val="center"/>
          </w:tcPr>
          <w:p w14:paraId="255107B7">
            <w:pPr>
              <w:pStyle w:val="104"/>
              <w:widowControl w:val="0"/>
              <w:autoSpaceDE w:val="0"/>
              <w:autoSpaceDN w:val="0"/>
              <w:rPr>
                <w:color w:val="auto"/>
                <w:szCs w:val="21"/>
                <w:u w:val="none" w:color="auto"/>
              </w:rPr>
            </w:pPr>
          </w:p>
        </w:tc>
        <w:tc>
          <w:tcPr>
            <w:tcW w:w="1006" w:type="dxa"/>
            <w:noWrap/>
            <w:vAlign w:val="center"/>
          </w:tcPr>
          <w:p w14:paraId="1BA14804">
            <w:pPr>
              <w:pStyle w:val="104"/>
              <w:widowControl w:val="0"/>
              <w:autoSpaceDE w:val="0"/>
              <w:autoSpaceDN w:val="0"/>
              <w:rPr>
                <w:rFonts w:hint="default" w:eastAsia="宋体"/>
                <w:b/>
                <w:color w:val="auto"/>
                <w:szCs w:val="21"/>
                <w:u w:val="none" w:color="auto"/>
                <w:lang w:val="en-US" w:eastAsia="zh-CN"/>
              </w:rPr>
            </w:pPr>
            <w:r>
              <w:rPr>
                <w:rFonts w:hint="eastAsia"/>
                <w:b/>
                <w:color w:val="auto"/>
                <w:szCs w:val="21"/>
                <w:u w:val="none" w:color="auto"/>
                <w:lang w:val="en-US" w:eastAsia="zh-CN"/>
              </w:rPr>
              <w:t>U1</w:t>
            </w:r>
          </w:p>
        </w:tc>
        <w:tc>
          <w:tcPr>
            <w:tcW w:w="1138" w:type="dxa"/>
            <w:noWrap/>
          </w:tcPr>
          <w:p w14:paraId="6A077211">
            <w:pPr>
              <w:pStyle w:val="104"/>
              <w:widowControl w:val="0"/>
              <w:autoSpaceDE w:val="0"/>
              <w:autoSpaceDN w:val="0"/>
              <w:rPr>
                <w:b/>
                <w:color w:val="auto"/>
                <w:szCs w:val="21"/>
                <w:u w:val="none" w:color="auto"/>
              </w:rPr>
            </w:pPr>
            <w:r>
              <w:rPr>
                <w:rFonts w:hint="eastAsia"/>
                <w:b/>
                <w:color w:val="auto"/>
                <w:szCs w:val="21"/>
                <w:u w:val="none" w:color="auto"/>
                <w:lang w:val="en-US" w:eastAsia="zh-CN"/>
              </w:rPr>
              <w:t>U2</w:t>
            </w:r>
          </w:p>
        </w:tc>
        <w:tc>
          <w:tcPr>
            <w:tcW w:w="980" w:type="dxa"/>
            <w:noWrap/>
          </w:tcPr>
          <w:p w14:paraId="46076890">
            <w:pPr>
              <w:pStyle w:val="104"/>
              <w:widowControl w:val="0"/>
              <w:autoSpaceDE w:val="0"/>
              <w:autoSpaceDN w:val="0"/>
              <w:rPr>
                <w:b/>
                <w:color w:val="auto"/>
                <w:szCs w:val="21"/>
                <w:u w:val="none" w:color="auto"/>
              </w:rPr>
            </w:pPr>
            <w:r>
              <w:rPr>
                <w:rFonts w:hint="eastAsia"/>
                <w:b/>
                <w:color w:val="auto"/>
                <w:szCs w:val="21"/>
                <w:u w:val="none" w:color="auto"/>
                <w:lang w:val="en-US" w:eastAsia="zh-CN"/>
              </w:rPr>
              <w:t>U3</w:t>
            </w:r>
          </w:p>
        </w:tc>
        <w:tc>
          <w:tcPr>
            <w:tcW w:w="1712" w:type="dxa"/>
            <w:vMerge w:val="continue"/>
            <w:noWrap/>
            <w:vAlign w:val="center"/>
          </w:tcPr>
          <w:p w14:paraId="1C90A42D">
            <w:pPr>
              <w:pStyle w:val="104"/>
              <w:widowControl w:val="0"/>
              <w:autoSpaceDE w:val="0"/>
              <w:autoSpaceDN w:val="0"/>
              <w:rPr>
                <w:color w:val="auto"/>
                <w:szCs w:val="21"/>
                <w:u w:val="none" w:color="auto"/>
              </w:rPr>
            </w:pPr>
          </w:p>
        </w:tc>
      </w:tr>
      <w:tr w14:paraId="74B3D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2500" w:type="dxa"/>
            <w:noWrap/>
            <w:vAlign w:val="center"/>
          </w:tcPr>
          <w:p w14:paraId="2C908516">
            <w:pPr>
              <w:pStyle w:val="104"/>
              <w:widowControl w:val="0"/>
              <w:autoSpaceDE w:val="0"/>
              <w:autoSpaceDN w:val="0"/>
              <w:rPr>
                <w:bCs/>
                <w:color w:val="auto"/>
                <w:szCs w:val="21"/>
                <w:u w:val="none" w:color="auto"/>
              </w:rPr>
            </w:pPr>
            <w:r>
              <w:rPr>
                <w:rFonts w:eastAsiaTheme="minorEastAsia"/>
                <w:bCs/>
                <w:color w:val="auto"/>
                <w:szCs w:val="21"/>
                <w:u w:val="none" w:color="auto"/>
              </w:rPr>
              <w:t>Ca</w:t>
            </w:r>
            <w:r>
              <w:rPr>
                <w:rFonts w:eastAsiaTheme="minorEastAsia"/>
                <w:bCs/>
                <w:color w:val="auto"/>
                <w:szCs w:val="21"/>
                <w:u w:val="none" w:color="auto"/>
                <w:vertAlign w:val="superscript"/>
              </w:rPr>
              <w:t>2+</w:t>
            </w:r>
          </w:p>
        </w:tc>
        <w:tc>
          <w:tcPr>
            <w:tcW w:w="1304" w:type="dxa"/>
            <w:noWrap/>
            <w:vAlign w:val="center"/>
          </w:tcPr>
          <w:p w14:paraId="0DA5DC5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268A46B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91F6D8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0F32BEE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noWrap/>
            <w:vAlign w:val="center"/>
          </w:tcPr>
          <w:p w14:paraId="52263D56">
            <w:pPr>
              <w:pStyle w:val="104"/>
              <w:widowControl w:val="0"/>
              <w:autoSpaceDE w:val="0"/>
              <w:autoSpaceDN w:val="0"/>
              <w:rPr>
                <w:color w:val="auto"/>
                <w:szCs w:val="21"/>
                <w:u w:val="none" w:color="auto"/>
              </w:rPr>
            </w:pPr>
            <w:r>
              <w:rPr>
                <w:rFonts w:hint="eastAsia"/>
                <w:color w:val="auto"/>
                <w:szCs w:val="21"/>
                <w:u w:val="none" w:color="auto"/>
              </w:rPr>
              <w:t>/</w:t>
            </w:r>
          </w:p>
        </w:tc>
      </w:tr>
      <w:tr w14:paraId="0F977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2500" w:type="dxa"/>
            <w:noWrap/>
            <w:vAlign w:val="center"/>
          </w:tcPr>
          <w:p w14:paraId="5596056A">
            <w:pPr>
              <w:pStyle w:val="104"/>
              <w:widowControl w:val="0"/>
              <w:autoSpaceDE w:val="0"/>
              <w:autoSpaceDN w:val="0"/>
              <w:rPr>
                <w:bCs/>
                <w:color w:val="auto"/>
                <w:szCs w:val="21"/>
                <w:u w:val="none" w:color="auto"/>
              </w:rPr>
            </w:pPr>
            <w:r>
              <w:rPr>
                <w:rFonts w:eastAsiaTheme="minorEastAsia"/>
                <w:bCs/>
                <w:color w:val="auto"/>
                <w:szCs w:val="21"/>
                <w:u w:val="none" w:color="auto"/>
              </w:rPr>
              <w:t>Mg</w:t>
            </w:r>
            <w:r>
              <w:rPr>
                <w:rFonts w:eastAsiaTheme="minorEastAsia"/>
                <w:bCs/>
                <w:color w:val="auto"/>
                <w:szCs w:val="21"/>
                <w:u w:val="none" w:color="auto"/>
                <w:vertAlign w:val="superscript"/>
              </w:rPr>
              <w:t>2+</w:t>
            </w:r>
          </w:p>
        </w:tc>
        <w:tc>
          <w:tcPr>
            <w:tcW w:w="1304" w:type="dxa"/>
            <w:noWrap/>
            <w:vAlign w:val="center"/>
          </w:tcPr>
          <w:p w14:paraId="3C687EF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53CAC0F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072BA50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07D7C78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noWrap/>
            <w:vAlign w:val="center"/>
          </w:tcPr>
          <w:p w14:paraId="637339D4">
            <w:pPr>
              <w:pStyle w:val="104"/>
              <w:widowControl w:val="0"/>
              <w:autoSpaceDE w:val="0"/>
              <w:autoSpaceDN w:val="0"/>
              <w:rPr>
                <w:color w:val="auto"/>
                <w:szCs w:val="21"/>
                <w:u w:val="none" w:color="auto"/>
              </w:rPr>
            </w:pPr>
            <w:r>
              <w:rPr>
                <w:rFonts w:hint="eastAsia"/>
                <w:color w:val="auto"/>
                <w:szCs w:val="21"/>
                <w:u w:val="none" w:color="auto"/>
              </w:rPr>
              <w:t>/</w:t>
            </w:r>
          </w:p>
        </w:tc>
      </w:tr>
      <w:tr w14:paraId="61527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2500" w:type="dxa"/>
            <w:noWrap/>
            <w:vAlign w:val="center"/>
          </w:tcPr>
          <w:p w14:paraId="0D993DC7">
            <w:pPr>
              <w:pStyle w:val="104"/>
              <w:widowControl w:val="0"/>
              <w:autoSpaceDE w:val="0"/>
              <w:autoSpaceDN w:val="0"/>
              <w:rPr>
                <w:bCs/>
                <w:color w:val="auto"/>
                <w:szCs w:val="21"/>
                <w:u w:val="none" w:color="auto"/>
              </w:rPr>
            </w:pPr>
            <w:r>
              <w:rPr>
                <w:rFonts w:eastAsiaTheme="minorEastAsia"/>
                <w:bCs/>
                <w:color w:val="auto"/>
                <w:szCs w:val="21"/>
                <w:u w:val="none" w:color="auto"/>
              </w:rPr>
              <w:t>K</w:t>
            </w:r>
            <w:r>
              <w:rPr>
                <w:rFonts w:eastAsiaTheme="minorEastAsia"/>
                <w:bCs/>
                <w:color w:val="auto"/>
                <w:szCs w:val="21"/>
                <w:u w:val="none" w:color="auto"/>
                <w:vertAlign w:val="superscript"/>
              </w:rPr>
              <w:t>+</w:t>
            </w:r>
          </w:p>
        </w:tc>
        <w:tc>
          <w:tcPr>
            <w:tcW w:w="1304" w:type="dxa"/>
            <w:noWrap/>
            <w:vAlign w:val="center"/>
          </w:tcPr>
          <w:p w14:paraId="7262A75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5D52D86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F50AF6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2948E4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noWrap/>
            <w:vAlign w:val="center"/>
          </w:tcPr>
          <w:p w14:paraId="3EF23C83">
            <w:pPr>
              <w:pStyle w:val="104"/>
              <w:widowControl w:val="0"/>
              <w:autoSpaceDE w:val="0"/>
              <w:autoSpaceDN w:val="0"/>
              <w:rPr>
                <w:color w:val="auto"/>
                <w:szCs w:val="21"/>
                <w:u w:val="none" w:color="auto"/>
              </w:rPr>
            </w:pPr>
            <w:r>
              <w:rPr>
                <w:rFonts w:hint="eastAsia"/>
                <w:color w:val="auto"/>
                <w:szCs w:val="21"/>
                <w:u w:val="none" w:color="auto"/>
              </w:rPr>
              <w:t>/</w:t>
            </w:r>
          </w:p>
        </w:tc>
      </w:tr>
      <w:tr w14:paraId="7AA7A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2500" w:type="dxa"/>
            <w:noWrap/>
            <w:vAlign w:val="center"/>
          </w:tcPr>
          <w:p w14:paraId="6D41F4F0">
            <w:pPr>
              <w:pStyle w:val="104"/>
              <w:widowControl w:val="0"/>
              <w:autoSpaceDE w:val="0"/>
              <w:autoSpaceDN w:val="0"/>
              <w:rPr>
                <w:bCs/>
                <w:color w:val="auto"/>
                <w:szCs w:val="21"/>
                <w:u w:val="none" w:color="auto"/>
              </w:rPr>
            </w:pPr>
            <w:r>
              <w:rPr>
                <w:rFonts w:eastAsiaTheme="minorEastAsia"/>
                <w:bCs/>
                <w:color w:val="auto"/>
                <w:szCs w:val="21"/>
                <w:u w:val="none" w:color="auto"/>
              </w:rPr>
              <w:t>CO</w:t>
            </w:r>
            <w:r>
              <w:rPr>
                <w:rFonts w:eastAsiaTheme="minorEastAsia"/>
                <w:bCs/>
                <w:color w:val="auto"/>
                <w:szCs w:val="21"/>
                <w:u w:val="none" w:color="auto"/>
                <w:vertAlign w:val="subscript"/>
              </w:rPr>
              <w:t>3</w:t>
            </w:r>
            <w:r>
              <w:rPr>
                <w:rFonts w:eastAsiaTheme="minorEastAsia"/>
                <w:bCs/>
                <w:color w:val="auto"/>
                <w:szCs w:val="21"/>
                <w:u w:val="none" w:color="auto"/>
                <w:vertAlign w:val="superscript"/>
              </w:rPr>
              <w:t>2-</w:t>
            </w:r>
          </w:p>
        </w:tc>
        <w:tc>
          <w:tcPr>
            <w:tcW w:w="1304" w:type="dxa"/>
            <w:noWrap/>
            <w:vAlign w:val="center"/>
          </w:tcPr>
          <w:p w14:paraId="1AF8CE6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4331559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2308DE6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578B898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noWrap/>
            <w:vAlign w:val="center"/>
          </w:tcPr>
          <w:p w14:paraId="0B1B6EE6">
            <w:pPr>
              <w:pStyle w:val="104"/>
              <w:widowControl w:val="0"/>
              <w:autoSpaceDE w:val="0"/>
              <w:autoSpaceDN w:val="0"/>
              <w:rPr>
                <w:color w:val="auto"/>
                <w:szCs w:val="21"/>
                <w:u w:val="none" w:color="auto"/>
              </w:rPr>
            </w:pPr>
            <w:r>
              <w:rPr>
                <w:rFonts w:hint="eastAsia"/>
                <w:color w:val="auto"/>
                <w:szCs w:val="21"/>
                <w:u w:val="none" w:color="auto"/>
              </w:rPr>
              <w:t>/</w:t>
            </w:r>
          </w:p>
        </w:tc>
      </w:tr>
      <w:tr w14:paraId="4C5B2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2500" w:type="dxa"/>
            <w:noWrap/>
            <w:vAlign w:val="center"/>
          </w:tcPr>
          <w:p w14:paraId="4D894629">
            <w:pPr>
              <w:pStyle w:val="104"/>
              <w:widowControl w:val="0"/>
              <w:autoSpaceDE w:val="0"/>
              <w:autoSpaceDN w:val="0"/>
              <w:rPr>
                <w:bCs/>
                <w:color w:val="auto"/>
                <w:szCs w:val="21"/>
                <w:u w:val="none" w:color="auto"/>
              </w:rPr>
            </w:pPr>
            <w:r>
              <w:rPr>
                <w:rFonts w:eastAsiaTheme="minorEastAsia"/>
                <w:bCs/>
                <w:color w:val="auto"/>
                <w:szCs w:val="21"/>
                <w:u w:val="none" w:color="auto"/>
              </w:rPr>
              <w:t>HCO</w:t>
            </w:r>
            <w:r>
              <w:rPr>
                <w:rFonts w:eastAsiaTheme="minorEastAsia"/>
                <w:bCs/>
                <w:color w:val="auto"/>
                <w:szCs w:val="21"/>
                <w:u w:val="none" w:color="auto"/>
                <w:vertAlign w:val="subscript"/>
              </w:rPr>
              <w:t>3</w:t>
            </w:r>
            <w:r>
              <w:rPr>
                <w:rFonts w:eastAsiaTheme="minorEastAsia"/>
                <w:bCs/>
                <w:color w:val="auto"/>
                <w:szCs w:val="21"/>
                <w:u w:val="none" w:color="auto"/>
                <w:vertAlign w:val="superscript"/>
              </w:rPr>
              <w:t>-</w:t>
            </w:r>
          </w:p>
        </w:tc>
        <w:tc>
          <w:tcPr>
            <w:tcW w:w="1304" w:type="dxa"/>
            <w:noWrap/>
            <w:vAlign w:val="center"/>
          </w:tcPr>
          <w:p w14:paraId="2799D45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7EFB3B5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74A5490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579E7BC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noWrap/>
            <w:vAlign w:val="center"/>
          </w:tcPr>
          <w:p w14:paraId="238EA329">
            <w:pPr>
              <w:pStyle w:val="104"/>
              <w:widowControl w:val="0"/>
              <w:autoSpaceDE w:val="0"/>
              <w:autoSpaceDN w:val="0"/>
              <w:rPr>
                <w:color w:val="auto"/>
                <w:szCs w:val="21"/>
                <w:u w:val="none" w:color="auto"/>
              </w:rPr>
            </w:pPr>
            <w:r>
              <w:rPr>
                <w:rFonts w:hint="eastAsia"/>
                <w:color w:val="auto"/>
                <w:szCs w:val="21"/>
                <w:u w:val="none" w:color="auto"/>
              </w:rPr>
              <w:t>/</w:t>
            </w:r>
          </w:p>
        </w:tc>
      </w:tr>
      <w:tr w14:paraId="1BC4F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 w:hRule="atLeast"/>
          <w:jc w:val="center"/>
        </w:trPr>
        <w:tc>
          <w:tcPr>
            <w:tcW w:w="2500" w:type="dxa"/>
            <w:vMerge w:val="restart"/>
            <w:noWrap/>
            <w:vAlign w:val="center"/>
          </w:tcPr>
          <w:p w14:paraId="5D7ECF1C">
            <w:pPr>
              <w:pStyle w:val="104"/>
              <w:widowControl w:val="0"/>
              <w:autoSpaceDE w:val="0"/>
              <w:autoSpaceDN w:val="0"/>
              <w:rPr>
                <w:bCs/>
                <w:color w:val="auto"/>
                <w:szCs w:val="21"/>
                <w:u w:val="none" w:color="auto"/>
              </w:rPr>
            </w:pPr>
            <w:r>
              <w:rPr>
                <w:rFonts w:eastAsiaTheme="minorEastAsia"/>
                <w:bCs/>
                <w:color w:val="auto"/>
                <w:szCs w:val="21"/>
                <w:u w:val="none" w:color="auto"/>
              </w:rPr>
              <w:t>Na</w:t>
            </w:r>
            <w:r>
              <w:rPr>
                <w:rFonts w:eastAsiaTheme="minorEastAsia"/>
                <w:bCs/>
                <w:color w:val="auto"/>
                <w:szCs w:val="21"/>
                <w:u w:val="none" w:color="auto"/>
                <w:vertAlign w:val="superscript"/>
              </w:rPr>
              <w:t>+</w:t>
            </w:r>
          </w:p>
        </w:tc>
        <w:tc>
          <w:tcPr>
            <w:tcW w:w="1304" w:type="dxa"/>
            <w:noWrap/>
            <w:vAlign w:val="center"/>
          </w:tcPr>
          <w:p w14:paraId="78D6BC8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34F22CF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6C1DF5B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4726CA1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7E4BCA6D">
            <w:pPr>
              <w:autoSpaceDE w:val="0"/>
              <w:autoSpaceDN w:val="0"/>
              <w:jc w:val="center"/>
              <w:rPr>
                <w:color w:val="auto"/>
                <w:u w:val="none" w:color="auto"/>
              </w:rPr>
            </w:pPr>
            <w:r>
              <w:rPr>
                <w:rFonts w:ascii="Times New Roman" w:hAnsi="Times New Roman" w:cs="Times New Roman"/>
                <w:color w:val="auto"/>
                <w:szCs w:val="21"/>
                <w:u w:val="none" w:color="auto"/>
              </w:rPr>
              <w:t>≤</w:t>
            </w:r>
            <w:r>
              <w:rPr>
                <w:rFonts w:hint="eastAsia" w:ascii="Times New Roman" w:hAnsi="Times New Roman" w:cs="Times New Roman"/>
                <w:color w:val="auto"/>
                <w:szCs w:val="21"/>
                <w:u w:val="none" w:color="auto"/>
              </w:rPr>
              <w:t>200</w:t>
            </w:r>
          </w:p>
        </w:tc>
      </w:tr>
      <w:tr w14:paraId="61946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 w:hRule="atLeast"/>
          <w:jc w:val="center"/>
        </w:trPr>
        <w:tc>
          <w:tcPr>
            <w:tcW w:w="2500" w:type="dxa"/>
            <w:vMerge w:val="continue"/>
            <w:noWrap/>
            <w:vAlign w:val="center"/>
          </w:tcPr>
          <w:p w14:paraId="20D77C79">
            <w:pPr>
              <w:pStyle w:val="104"/>
              <w:widowControl w:val="0"/>
              <w:autoSpaceDE w:val="0"/>
              <w:autoSpaceDN w:val="0"/>
              <w:rPr>
                <w:color w:val="auto"/>
                <w:u w:val="none" w:color="auto"/>
              </w:rPr>
            </w:pPr>
          </w:p>
        </w:tc>
        <w:tc>
          <w:tcPr>
            <w:tcW w:w="1304" w:type="dxa"/>
            <w:noWrap/>
            <w:vAlign w:val="center"/>
          </w:tcPr>
          <w:p w14:paraId="6509D97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1BEAF68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069E071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70CCB48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27C7E544">
            <w:pPr>
              <w:pStyle w:val="104"/>
              <w:widowControl w:val="0"/>
              <w:autoSpaceDE w:val="0"/>
              <w:autoSpaceDN w:val="0"/>
              <w:rPr>
                <w:color w:val="auto"/>
                <w:szCs w:val="21"/>
                <w:u w:val="none" w:color="auto"/>
              </w:rPr>
            </w:pPr>
          </w:p>
        </w:tc>
      </w:tr>
      <w:tr w14:paraId="2DAA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2500" w:type="dxa"/>
            <w:vMerge w:val="restart"/>
            <w:noWrap/>
            <w:vAlign w:val="center"/>
          </w:tcPr>
          <w:p w14:paraId="3EC7DBE6">
            <w:pPr>
              <w:pStyle w:val="104"/>
              <w:widowControl w:val="0"/>
              <w:autoSpaceDE w:val="0"/>
              <w:autoSpaceDN w:val="0"/>
              <w:rPr>
                <w:color w:val="auto"/>
                <w:u w:val="none" w:color="auto"/>
              </w:rPr>
            </w:pPr>
            <w:r>
              <w:rPr>
                <w:color w:val="auto"/>
                <w:sz w:val="24"/>
                <w:szCs w:val="24"/>
                <w:u w:val="none" w:color="auto"/>
              </w:rPr>
              <w:t>SO</w:t>
            </w:r>
            <w:r>
              <w:rPr>
                <w:color w:val="auto"/>
                <w:sz w:val="24"/>
                <w:szCs w:val="24"/>
                <w:u w:val="none" w:color="auto"/>
                <w:vertAlign w:val="subscript"/>
              </w:rPr>
              <w:t>4</w:t>
            </w:r>
            <w:r>
              <w:rPr>
                <w:color w:val="auto"/>
                <w:sz w:val="24"/>
                <w:szCs w:val="24"/>
                <w:u w:val="none" w:color="auto"/>
                <w:vertAlign w:val="superscript"/>
              </w:rPr>
              <w:t>2-</w:t>
            </w:r>
          </w:p>
        </w:tc>
        <w:tc>
          <w:tcPr>
            <w:tcW w:w="1304" w:type="dxa"/>
            <w:noWrap/>
            <w:vAlign w:val="center"/>
          </w:tcPr>
          <w:p w14:paraId="59924E3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1CCD07B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63DD416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61B4F42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16FAE34E">
            <w:pPr>
              <w:autoSpaceDE w:val="0"/>
              <w:autoSpaceDN w:val="0"/>
              <w:jc w:val="center"/>
              <w:rPr>
                <w:color w:val="auto"/>
                <w:u w:val="none" w:color="auto"/>
              </w:rPr>
            </w:pPr>
            <w:r>
              <w:rPr>
                <w:rFonts w:ascii="Times New Roman" w:hAnsi="Times New Roman" w:cs="Times New Roman"/>
                <w:color w:val="auto"/>
                <w:szCs w:val="21"/>
                <w:u w:val="none" w:color="auto"/>
              </w:rPr>
              <w:t>≤</w:t>
            </w:r>
            <w:r>
              <w:rPr>
                <w:rFonts w:hint="eastAsia" w:ascii="Times New Roman" w:hAnsi="Times New Roman" w:cs="Times New Roman"/>
                <w:color w:val="auto"/>
                <w:szCs w:val="21"/>
                <w:u w:val="none" w:color="auto"/>
              </w:rPr>
              <w:t>250</w:t>
            </w:r>
          </w:p>
        </w:tc>
      </w:tr>
      <w:tr w14:paraId="0500C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2500" w:type="dxa"/>
            <w:vMerge w:val="continue"/>
            <w:noWrap/>
            <w:vAlign w:val="center"/>
          </w:tcPr>
          <w:p w14:paraId="70019713">
            <w:pPr>
              <w:pStyle w:val="104"/>
              <w:widowControl w:val="0"/>
              <w:autoSpaceDE w:val="0"/>
              <w:autoSpaceDN w:val="0"/>
              <w:rPr>
                <w:color w:val="auto"/>
                <w:u w:val="none" w:color="auto"/>
              </w:rPr>
            </w:pPr>
          </w:p>
        </w:tc>
        <w:tc>
          <w:tcPr>
            <w:tcW w:w="1304" w:type="dxa"/>
            <w:noWrap/>
            <w:vAlign w:val="center"/>
          </w:tcPr>
          <w:p w14:paraId="736A6F5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7FF8464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6550354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776415F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56AFAFA6">
            <w:pPr>
              <w:pStyle w:val="104"/>
              <w:widowControl w:val="0"/>
              <w:autoSpaceDE w:val="0"/>
              <w:autoSpaceDN w:val="0"/>
              <w:rPr>
                <w:color w:val="auto"/>
                <w:szCs w:val="21"/>
                <w:u w:val="none" w:color="auto"/>
              </w:rPr>
            </w:pPr>
          </w:p>
        </w:tc>
      </w:tr>
      <w:tr w14:paraId="5843D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2500" w:type="dxa"/>
            <w:vMerge w:val="restart"/>
            <w:noWrap/>
            <w:vAlign w:val="center"/>
          </w:tcPr>
          <w:p w14:paraId="70B07071">
            <w:pPr>
              <w:pStyle w:val="104"/>
              <w:widowControl w:val="0"/>
              <w:autoSpaceDE w:val="0"/>
              <w:autoSpaceDN w:val="0"/>
              <w:rPr>
                <w:color w:val="auto"/>
                <w:u w:val="none" w:color="auto"/>
              </w:rPr>
            </w:pPr>
            <w:r>
              <w:rPr>
                <w:color w:val="auto"/>
                <w:sz w:val="24"/>
                <w:szCs w:val="24"/>
                <w:u w:val="none" w:color="auto"/>
              </w:rPr>
              <w:t>Cl</w:t>
            </w:r>
            <w:r>
              <w:rPr>
                <w:color w:val="auto"/>
                <w:sz w:val="24"/>
                <w:szCs w:val="24"/>
                <w:u w:val="none" w:color="auto"/>
                <w:vertAlign w:val="superscript"/>
              </w:rPr>
              <w:t>-</w:t>
            </w:r>
          </w:p>
        </w:tc>
        <w:tc>
          <w:tcPr>
            <w:tcW w:w="1304" w:type="dxa"/>
            <w:noWrap/>
            <w:vAlign w:val="center"/>
          </w:tcPr>
          <w:p w14:paraId="550C457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30BD3A7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63FCEA8B">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980" w:type="dxa"/>
            <w:noWrap/>
            <w:vAlign w:val="center"/>
          </w:tcPr>
          <w:p w14:paraId="5FFDABB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01776E95">
            <w:pPr>
              <w:autoSpaceDE w:val="0"/>
              <w:autoSpaceDN w:val="0"/>
              <w:jc w:val="center"/>
              <w:rPr>
                <w:color w:val="auto"/>
                <w:u w:val="none" w:color="auto"/>
              </w:rPr>
            </w:pPr>
            <w:r>
              <w:rPr>
                <w:rFonts w:ascii="Times New Roman" w:hAnsi="Times New Roman" w:cs="Times New Roman"/>
                <w:color w:val="auto"/>
                <w:szCs w:val="21"/>
                <w:u w:val="none" w:color="auto"/>
              </w:rPr>
              <w:t>≤</w:t>
            </w:r>
            <w:r>
              <w:rPr>
                <w:rFonts w:hint="eastAsia" w:ascii="Times New Roman" w:hAnsi="Times New Roman" w:cs="Times New Roman"/>
                <w:color w:val="auto"/>
                <w:szCs w:val="21"/>
                <w:u w:val="none" w:color="auto"/>
              </w:rPr>
              <w:t>250</w:t>
            </w:r>
          </w:p>
        </w:tc>
      </w:tr>
      <w:tr w14:paraId="40EEC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2500" w:type="dxa"/>
            <w:vMerge w:val="continue"/>
            <w:noWrap/>
            <w:vAlign w:val="center"/>
          </w:tcPr>
          <w:p w14:paraId="26E9F3F6">
            <w:pPr>
              <w:pStyle w:val="104"/>
              <w:widowControl w:val="0"/>
              <w:autoSpaceDE w:val="0"/>
              <w:autoSpaceDN w:val="0"/>
              <w:rPr>
                <w:color w:val="auto"/>
                <w:u w:val="none" w:color="auto"/>
              </w:rPr>
            </w:pPr>
          </w:p>
        </w:tc>
        <w:tc>
          <w:tcPr>
            <w:tcW w:w="1304" w:type="dxa"/>
            <w:noWrap/>
            <w:vAlign w:val="center"/>
          </w:tcPr>
          <w:p w14:paraId="1B0AD37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1D05AAB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24D5028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0DE996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6172141F">
            <w:pPr>
              <w:pStyle w:val="104"/>
              <w:widowControl w:val="0"/>
              <w:autoSpaceDE w:val="0"/>
              <w:autoSpaceDN w:val="0"/>
              <w:rPr>
                <w:color w:val="auto"/>
                <w:u w:val="none" w:color="auto"/>
              </w:rPr>
            </w:pPr>
          </w:p>
        </w:tc>
      </w:tr>
      <w:tr w14:paraId="01D18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1" w:hRule="atLeast"/>
          <w:jc w:val="center"/>
        </w:trPr>
        <w:tc>
          <w:tcPr>
            <w:tcW w:w="2500" w:type="dxa"/>
            <w:vMerge w:val="restart"/>
            <w:noWrap/>
            <w:vAlign w:val="center"/>
          </w:tcPr>
          <w:p w14:paraId="6EE0D4E3">
            <w:pPr>
              <w:pStyle w:val="104"/>
              <w:widowControl w:val="0"/>
              <w:autoSpaceDE w:val="0"/>
              <w:autoSpaceDN w:val="0"/>
              <w:rPr>
                <w:color w:val="auto"/>
                <w:u w:val="none" w:color="auto"/>
              </w:rPr>
            </w:pPr>
            <w:r>
              <w:rPr>
                <w:color w:val="auto"/>
                <w:szCs w:val="21"/>
                <w:u w:val="none" w:color="auto"/>
              </w:rPr>
              <w:t>pH</w:t>
            </w:r>
            <w:r>
              <w:rPr>
                <w:rFonts w:hint="eastAsia"/>
                <w:color w:val="auto"/>
                <w:szCs w:val="21"/>
                <w:u w:val="none" w:color="auto"/>
              </w:rPr>
              <w:t>(无量纲)</w:t>
            </w:r>
          </w:p>
        </w:tc>
        <w:tc>
          <w:tcPr>
            <w:tcW w:w="1304" w:type="dxa"/>
            <w:noWrap/>
            <w:vAlign w:val="center"/>
          </w:tcPr>
          <w:p w14:paraId="7328511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5836708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2C59AA7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5C10A9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51FD81F8">
            <w:pPr>
              <w:autoSpaceDE w:val="0"/>
              <w:autoSpaceDN w:val="0"/>
              <w:jc w:val="center"/>
              <w:rPr>
                <w:rFonts w:ascii="Times New Roman" w:hAnsi="Times New Roman" w:cs="Times New Roman"/>
                <w:color w:val="auto"/>
                <w:szCs w:val="21"/>
                <w:u w:val="none" w:color="auto"/>
              </w:rPr>
            </w:pPr>
            <w:r>
              <w:rPr>
                <w:rFonts w:ascii="Times New Roman" w:hAnsi="Times New Roman" w:cs="Times New Roman"/>
                <w:color w:val="auto"/>
                <w:szCs w:val="21"/>
                <w:u w:val="none" w:color="auto"/>
              </w:rPr>
              <w:t>6.5～8.5</w:t>
            </w:r>
          </w:p>
        </w:tc>
      </w:tr>
      <w:tr w14:paraId="3450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079B4745">
            <w:pPr>
              <w:pStyle w:val="104"/>
              <w:widowControl w:val="0"/>
              <w:autoSpaceDE w:val="0"/>
              <w:autoSpaceDN w:val="0"/>
              <w:rPr>
                <w:color w:val="auto"/>
                <w:szCs w:val="21"/>
                <w:u w:val="none" w:color="auto"/>
              </w:rPr>
            </w:pPr>
          </w:p>
        </w:tc>
        <w:tc>
          <w:tcPr>
            <w:tcW w:w="1304" w:type="dxa"/>
            <w:noWrap/>
            <w:vAlign w:val="center"/>
          </w:tcPr>
          <w:p w14:paraId="454ED10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51B12A2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1F2DBDE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07FAA7A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527DCF46">
            <w:pPr>
              <w:pStyle w:val="104"/>
              <w:widowControl w:val="0"/>
              <w:autoSpaceDE w:val="0"/>
              <w:autoSpaceDN w:val="0"/>
              <w:rPr>
                <w:color w:val="auto"/>
                <w:szCs w:val="21"/>
                <w:u w:val="none" w:color="auto"/>
              </w:rPr>
            </w:pPr>
          </w:p>
        </w:tc>
      </w:tr>
      <w:tr w14:paraId="7C1FA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07149DE3">
            <w:pPr>
              <w:pStyle w:val="104"/>
              <w:widowControl w:val="0"/>
              <w:autoSpaceDE w:val="0"/>
              <w:autoSpaceDN w:val="0"/>
              <w:rPr>
                <w:color w:val="auto"/>
                <w:szCs w:val="21"/>
                <w:u w:val="none" w:color="auto"/>
              </w:rPr>
            </w:pPr>
            <w:r>
              <w:rPr>
                <w:color w:val="auto"/>
                <w:szCs w:val="21"/>
                <w:u w:val="none" w:color="auto"/>
              </w:rPr>
              <w:t>氨氮</w:t>
            </w:r>
          </w:p>
        </w:tc>
        <w:tc>
          <w:tcPr>
            <w:tcW w:w="1304" w:type="dxa"/>
            <w:noWrap/>
            <w:vAlign w:val="center"/>
          </w:tcPr>
          <w:p w14:paraId="18319F7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5E99623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7F176B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72A627C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13E26593">
            <w:pPr>
              <w:pStyle w:val="104"/>
              <w:widowControl w:val="0"/>
              <w:autoSpaceDE w:val="0"/>
              <w:autoSpaceDN w:val="0"/>
              <w:rPr>
                <w:color w:val="auto"/>
                <w:szCs w:val="21"/>
                <w:u w:val="none" w:color="auto"/>
              </w:rPr>
            </w:pPr>
            <w:r>
              <w:rPr>
                <w:color w:val="auto"/>
                <w:szCs w:val="21"/>
                <w:u w:val="none" w:color="auto"/>
              </w:rPr>
              <w:t>≤0.5</w:t>
            </w:r>
          </w:p>
        </w:tc>
      </w:tr>
      <w:tr w14:paraId="7E5AE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72AB6277">
            <w:pPr>
              <w:pStyle w:val="104"/>
              <w:widowControl w:val="0"/>
              <w:autoSpaceDE w:val="0"/>
              <w:autoSpaceDN w:val="0"/>
              <w:rPr>
                <w:color w:val="auto"/>
                <w:szCs w:val="21"/>
                <w:u w:val="none" w:color="auto"/>
              </w:rPr>
            </w:pPr>
          </w:p>
        </w:tc>
        <w:tc>
          <w:tcPr>
            <w:tcW w:w="1304" w:type="dxa"/>
            <w:noWrap/>
            <w:vAlign w:val="center"/>
          </w:tcPr>
          <w:p w14:paraId="3153BAD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459D31A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2EFCE3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76C4112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44DA201E">
            <w:pPr>
              <w:pStyle w:val="104"/>
              <w:widowControl w:val="0"/>
              <w:autoSpaceDE w:val="0"/>
              <w:autoSpaceDN w:val="0"/>
              <w:rPr>
                <w:color w:val="auto"/>
                <w:szCs w:val="21"/>
                <w:u w:val="none" w:color="auto"/>
              </w:rPr>
            </w:pPr>
          </w:p>
        </w:tc>
      </w:tr>
      <w:tr w14:paraId="7E898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57D235EA">
            <w:pPr>
              <w:pStyle w:val="104"/>
              <w:widowControl w:val="0"/>
              <w:autoSpaceDE w:val="0"/>
              <w:autoSpaceDN w:val="0"/>
              <w:rPr>
                <w:color w:val="auto"/>
                <w:szCs w:val="21"/>
                <w:u w:val="none" w:color="auto"/>
              </w:rPr>
            </w:pPr>
            <w:r>
              <w:rPr>
                <w:color w:val="auto"/>
                <w:szCs w:val="21"/>
                <w:u w:val="none" w:color="auto"/>
              </w:rPr>
              <w:t>硝酸盐氮</w:t>
            </w:r>
          </w:p>
        </w:tc>
        <w:tc>
          <w:tcPr>
            <w:tcW w:w="1304" w:type="dxa"/>
            <w:noWrap/>
            <w:vAlign w:val="center"/>
          </w:tcPr>
          <w:p w14:paraId="64CD8DA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7597FFB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3897CB4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557A192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7B33522D">
            <w:pPr>
              <w:pStyle w:val="104"/>
              <w:widowControl w:val="0"/>
              <w:autoSpaceDE w:val="0"/>
              <w:autoSpaceDN w:val="0"/>
              <w:rPr>
                <w:color w:val="auto"/>
                <w:szCs w:val="21"/>
                <w:u w:val="none" w:color="auto"/>
              </w:rPr>
            </w:pPr>
            <w:r>
              <w:rPr>
                <w:color w:val="auto"/>
                <w:szCs w:val="21"/>
                <w:u w:val="none" w:color="auto"/>
              </w:rPr>
              <w:t>≤20</w:t>
            </w:r>
          </w:p>
        </w:tc>
      </w:tr>
      <w:tr w14:paraId="280CB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75AD0F98">
            <w:pPr>
              <w:pStyle w:val="104"/>
              <w:widowControl w:val="0"/>
              <w:autoSpaceDE w:val="0"/>
              <w:autoSpaceDN w:val="0"/>
              <w:rPr>
                <w:color w:val="auto"/>
                <w:szCs w:val="21"/>
                <w:u w:val="none" w:color="auto"/>
              </w:rPr>
            </w:pPr>
          </w:p>
        </w:tc>
        <w:tc>
          <w:tcPr>
            <w:tcW w:w="1304" w:type="dxa"/>
            <w:noWrap/>
            <w:vAlign w:val="center"/>
          </w:tcPr>
          <w:p w14:paraId="15C207E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4DA1EF2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61B2CA1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8AB2E1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51AE1C6A">
            <w:pPr>
              <w:pStyle w:val="104"/>
              <w:widowControl w:val="0"/>
              <w:autoSpaceDE w:val="0"/>
              <w:autoSpaceDN w:val="0"/>
              <w:rPr>
                <w:color w:val="auto"/>
                <w:szCs w:val="21"/>
                <w:u w:val="none" w:color="auto"/>
              </w:rPr>
            </w:pPr>
          </w:p>
        </w:tc>
      </w:tr>
      <w:tr w14:paraId="7C88C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3DD11297">
            <w:pPr>
              <w:pStyle w:val="104"/>
              <w:widowControl w:val="0"/>
              <w:autoSpaceDE w:val="0"/>
              <w:autoSpaceDN w:val="0"/>
              <w:rPr>
                <w:color w:val="auto"/>
                <w:szCs w:val="21"/>
                <w:u w:val="none" w:color="auto"/>
              </w:rPr>
            </w:pPr>
            <w:r>
              <w:rPr>
                <w:color w:val="auto"/>
                <w:szCs w:val="21"/>
                <w:u w:val="none" w:color="auto"/>
              </w:rPr>
              <w:t>亚硝酸盐氮</w:t>
            </w:r>
          </w:p>
        </w:tc>
        <w:tc>
          <w:tcPr>
            <w:tcW w:w="1304" w:type="dxa"/>
            <w:noWrap/>
            <w:vAlign w:val="center"/>
          </w:tcPr>
          <w:p w14:paraId="2999651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6E03524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59F3C3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11152F0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11180BCB">
            <w:pPr>
              <w:pStyle w:val="104"/>
              <w:widowControl w:val="0"/>
              <w:autoSpaceDE w:val="0"/>
              <w:autoSpaceDN w:val="0"/>
              <w:rPr>
                <w:color w:val="auto"/>
                <w:szCs w:val="21"/>
                <w:u w:val="none" w:color="auto"/>
              </w:rPr>
            </w:pPr>
            <w:r>
              <w:rPr>
                <w:color w:val="auto"/>
                <w:szCs w:val="21"/>
                <w:u w:val="none" w:color="auto"/>
              </w:rPr>
              <w:t>≤1.0</w:t>
            </w:r>
          </w:p>
        </w:tc>
      </w:tr>
      <w:tr w14:paraId="28426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4338823E">
            <w:pPr>
              <w:pStyle w:val="104"/>
              <w:widowControl w:val="0"/>
              <w:autoSpaceDE w:val="0"/>
              <w:autoSpaceDN w:val="0"/>
              <w:rPr>
                <w:color w:val="auto"/>
                <w:szCs w:val="21"/>
                <w:u w:val="none" w:color="auto"/>
              </w:rPr>
            </w:pPr>
          </w:p>
        </w:tc>
        <w:tc>
          <w:tcPr>
            <w:tcW w:w="1304" w:type="dxa"/>
            <w:noWrap/>
            <w:vAlign w:val="center"/>
          </w:tcPr>
          <w:p w14:paraId="5F73A08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13F54804">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vAlign w:val="center"/>
          </w:tcPr>
          <w:p w14:paraId="1749D53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541699A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50F39867">
            <w:pPr>
              <w:pStyle w:val="104"/>
              <w:widowControl w:val="0"/>
              <w:autoSpaceDE w:val="0"/>
              <w:autoSpaceDN w:val="0"/>
              <w:rPr>
                <w:color w:val="auto"/>
                <w:szCs w:val="21"/>
                <w:u w:val="none" w:color="auto"/>
              </w:rPr>
            </w:pPr>
          </w:p>
        </w:tc>
      </w:tr>
      <w:tr w14:paraId="50337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4" w:hRule="atLeast"/>
          <w:jc w:val="center"/>
        </w:trPr>
        <w:tc>
          <w:tcPr>
            <w:tcW w:w="2500" w:type="dxa"/>
            <w:vMerge w:val="restart"/>
            <w:noWrap/>
            <w:vAlign w:val="center"/>
          </w:tcPr>
          <w:p w14:paraId="1B828005">
            <w:pPr>
              <w:pStyle w:val="104"/>
              <w:widowControl w:val="0"/>
              <w:autoSpaceDE w:val="0"/>
              <w:autoSpaceDN w:val="0"/>
              <w:rPr>
                <w:rFonts w:hint="eastAsia" w:eastAsia="宋体"/>
                <w:color w:val="auto"/>
                <w:szCs w:val="21"/>
                <w:u w:val="none" w:color="auto"/>
                <w:lang w:val="en-US" w:eastAsia="zh-CN"/>
              </w:rPr>
            </w:pPr>
            <w:r>
              <w:rPr>
                <w:rFonts w:hint="eastAsia"/>
                <w:color w:val="auto"/>
                <w:szCs w:val="21"/>
                <w:u w:val="none" w:color="auto"/>
                <w:lang w:val="en-US" w:eastAsia="zh-CN"/>
              </w:rPr>
              <w:t>总硬度</w:t>
            </w:r>
          </w:p>
        </w:tc>
        <w:tc>
          <w:tcPr>
            <w:tcW w:w="1304" w:type="dxa"/>
            <w:noWrap/>
            <w:vAlign w:val="center"/>
          </w:tcPr>
          <w:p w14:paraId="1F0AC43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1525460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4526606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4559057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708C3455">
            <w:pPr>
              <w:pStyle w:val="104"/>
              <w:widowControl w:val="0"/>
              <w:autoSpaceDE w:val="0"/>
              <w:autoSpaceDN w:val="0"/>
              <w:rPr>
                <w:rFonts w:hint="default" w:eastAsia="宋体"/>
                <w:color w:val="auto"/>
                <w:szCs w:val="21"/>
                <w:u w:val="none" w:color="auto"/>
                <w:lang w:val="en-US" w:eastAsia="zh-CN"/>
              </w:rPr>
            </w:pPr>
            <w:r>
              <w:rPr>
                <w:color w:val="auto"/>
                <w:szCs w:val="21"/>
                <w:u w:val="none" w:color="auto"/>
              </w:rPr>
              <w:t>≤</w:t>
            </w:r>
            <w:r>
              <w:rPr>
                <w:rFonts w:hint="eastAsia"/>
                <w:color w:val="auto"/>
                <w:szCs w:val="21"/>
                <w:u w:val="none" w:color="auto"/>
                <w:lang w:val="en-US" w:eastAsia="zh-CN"/>
              </w:rPr>
              <w:t>450</w:t>
            </w:r>
          </w:p>
        </w:tc>
      </w:tr>
      <w:tr w14:paraId="51DC4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4" w:hRule="atLeast"/>
          <w:jc w:val="center"/>
        </w:trPr>
        <w:tc>
          <w:tcPr>
            <w:tcW w:w="2500" w:type="dxa"/>
            <w:vMerge w:val="continue"/>
            <w:noWrap/>
            <w:vAlign w:val="center"/>
          </w:tcPr>
          <w:p w14:paraId="2DDB380C">
            <w:pPr>
              <w:widowControl/>
              <w:jc w:val="center"/>
              <w:textAlignment w:val="center"/>
              <w:rPr>
                <w:color w:val="auto"/>
                <w:u w:val="none" w:color="auto"/>
              </w:rPr>
            </w:pPr>
          </w:p>
        </w:tc>
        <w:tc>
          <w:tcPr>
            <w:tcW w:w="1304" w:type="dxa"/>
            <w:noWrap/>
            <w:vAlign w:val="center"/>
          </w:tcPr>
          <w:p w14:paraId="25E69CD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6E1F8F9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57E7AE5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3AD3487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0E09BD3F">
            <w:pPr>
              <w:widowControl/>
              <w:jc w:val="center"/>
              <w:textAlignment w:val="center"/>
              <w:rPr>
                <w:color w:val="auto"/>
                <w:szCs w:val="21"/>
                <w:u w:val="none" w:color="auto"/>
              </w:rPr>
            </w:pPr>
          </w:p>
        </w:tc>
      </w:tr>
      <w:tr w14:paraId="4EFBD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4" w:hRule="atLeast"/>
          <w:jc w:val="center"/>
        </w:trPr>
        <w:tc>
          <w:tcPr>
            <w:tcW w:w="2500" w:type="dxa"/>
            <w:vMerge w:val="restart"/>
            <w:noWrap/>
            <w:vAlign w:val="center"/>
          </w:tcPr>
          <w:p w14:paraId="53DB95DD">
            <w:pPr>
              <w:pStyle w:val="104"/>
              <w:widowControl w:val="0"/>
              <w:autoSpaceDE w:val="0"/>
              <w:autoSpaceDN w:val="0"/>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溶解性总固体</w:t>
            </w:r>
          </w:p>
        </w:tc>
        <w:tc>
          <w:tcPr>
            <w:tcW w:w="1304" w:type="dxa"/>
            <w:noWrap/>
            <w:vAlign w:val="center"/>
          </w:tcPr>
          <w:p w14:paraId="4ACA991A">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36CB333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1C9CC88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3D85593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3CDF09C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≤1000</w:t>
            </w:r>
          </w:p>
        </w:tc>
      </w:tr>
      <w:tr w14:paraId="79C17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3DCF1219">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0559639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29704012">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tcPr>
          <w:p w14:paraId="09875272">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980" w:type="dxa"/>
            <w:noWrap/>
          </w:tcPr>
          <w:p w14:paraId="20C7EF80">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000EE83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4065F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3F3BB0F6">
            <w:pPr>
              <w:pStyle w:val="104"/>
              <w:widowControl w:val="0"/>
              <w:autoSpaceDE w:val="0"/>
              <w:autoSpaceDN w:val="0"/>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耗氧量</w:t>
            </w:r>
          </w:p>
        </w:tc>
        <w:tc>
          <w:tcPr>
            <w:tcW w:w="1304" w:type="dxa"/>
            <w:noWrap/>
            <w:vAlign w:val="center"/>
          </w:tcPr>
          <w:p w14:paraId="77E1FED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1B6D632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17E3E90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CB444B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010BBB0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≤3.0</w:t>
            </w:r>
          </w:p>
        </w:tc>
      </w:tr>
      <w:tr w14:paraId="09B54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597BF90E">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7745F7E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vAlign w:val="center"/>
          </w:tcPr>
          <w:p w14:paraId="63222AD4">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vAlign w:val="center"/>
          </w:tcPr>
          <w:p w14:paraId="7F2407D8">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980" w:type="dxa"/>
            <w:noWrap/>
            <w:vAlign w:val="center"/>
          </w:tcPr>
          <w:p w14:paraId="2C715020">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472E121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02868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40B747F7">
            <w:pPr>
              <w:pStyle w:val="104"/>
              <w:widowControl w:val="0"/>
              <w:autoSpaceDE w:val="0"/>
              <w:autoSpaceDN w:val="0"/>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铁</w:t>
            </w:r>
          </w:p>
        </w:tc>
        <w:tc>
          <w:tcPr>
            <w:tcW w:w="1304" w:type="dxa"/>
            <w:noWrap/>
            <w:vAlign w:val="center"/>
          </w:tcPr>
          <w:p w14:paraId="5F92D49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46B92B4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454F5E0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23E5B35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702CD14D">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≤0.3</w:t>
            </w:r>
          </w:p>
        </w:tc>
      </w:tr>
      <w:tr w14:paraId="37075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12A799EF">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490E5E7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20B386C1">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tcPr>
          <w:p w14:paraId="58D917F8">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980" w:type="dxa"/>
            <w:noWrap/>
          </w:tcPr>
          <w:p w14:paraId="24C02017">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67283B4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542BB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3D5FA2A6">
            <w:pPr>
              <w:pStyle w:val="104"/>
              <w:widowControl w:val="0"/>
              <w:autoSpaceDE w:val="0"/>
              <w:autoSpaceDN w:val="0"/>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锰</w:t>
            </w:r>
          </w:p>
        </w:tc>
        <w:tc>
          <w:tcPr>
            <w:tcW w:w="1304" w:type="dxa"/>
            <w:noWrap/>
            <w:vAlign w:val="center"/>
          </w:tcPr>
          <w:p w14:paraId="616E888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124916B1">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02CF93E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16671C0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37AC948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≤0.1</w:t>
            </w:r>
          </w:p>
        </w:tc>
      </w:tr>
      <w:tr w14:paraId="349C7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721F4ED8">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1E70B29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17FFFD85">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tcPr>
          <w:p w14:paraId="529161ED">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980" w:type="dxa"/>
            <w:noWrap/>
          </w:tcPr>
          <w:p w14:paraId="7A580E86">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70EE16B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3E8D4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3F59DAFC">
            <w:pPr>
              <w:pStyle w:val="104"/>
              <w:widowControl w:val="0"/>
              <w:autoSpaceDE w:val="0"/>
              <w:autoSpaceDN w:val="0"/>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挥发性酚类</w:t>
            </w:r>
          </w:p>
        </w:tc>
        <w:tc>
          <w:tcPr>
            <w:tcW w:w="1304" w:type="dxa"/>
            <w:noWrap/>
            <w:vAlign w:val="center"/>
          </w:tcPr>
          <w:p w14:paraId="490A48F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10C74A0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105224D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59B4A33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2335079A">
            <w:pPr>
              <w:widowControl/>
              <w:jc w:val="center"/>
              <w:textAlignment w:val="center"/>
              <w:rPr>
                <w:rFonts w:hint="default"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≤0.002</w:t>
            </w:r>
          </w:p>
        </w:tc>
      </w:tr>
      <w:tr w14:paraId="573A0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01016215">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5E13D07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5B1B9707">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tcPr>
          <w:p w14:paraId="438CD85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tcPr>
          <w:p w14:paraId="0F046C5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250A2FC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087E7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6792B0EE">
            <w:pPr>
              <w:pStyle w:val="104"/>
              <w:widowControl w:val="0"/>
              <w:autoSpaceDE w:val="0"/>
              <w:autoSpaceDN w:val="0"/>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w:t>
            </w:r>
          </w:p>
        </w:tc>
        <w:tc>
          <w:tcPr>
            <w:tcW w:w="1304" w:type="dxa"/>
            <w:noWrap/>
            <w:vAlign w:val="center"/>
          </w:tcPr>
          <w:p w14:paraId="53F93C9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32DBFC8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0DCF072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45DA2F36">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62E1DF2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≤0.7</w:t>
            </w:r>
          </w:p>
        </w:tc>
      </w:tr>
      <w:tr w14:paraId="175C7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05994994">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0541C35F">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1A589F1C">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tcPr>
          <w:p w14:paraId="0F20DD6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tcPr>
          <w:p w14:paraId="74B0DD59">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4B8D77D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r>
      <w:tr w14:paraId="7B2C1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1650F0D8">
            <w:pPr>
              <w:pStyle w:val="104"/>
              <w:widowControl w:val="0"/>
              <w:autoSpaceDE w:val="0"/>
              <w:autoSpaceDN w:val="0"/>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二甲苯</w:t>
            </w:r>
          </w:p>
        </w:tc>
        <w:tc>
          <w:tcPr>
            <w:tcW w:w="1304" w:type="dxa"/>
            <w:noWrap/>
            <w:vAlign w:val="center"/>
          </w:tcPr>
          <w:p w14:paraId="33117A4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28CFF46E">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12766184">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4A78BB9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2360FA5B">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≤0.5</w:t>
            </w:r>
          </w:p>
        </w:tc>
      </w:tr>
      <w:tr w14:paraId="1283B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585E8292">
            <w:pPr>
              <w:pStyle w:val="104"/>
              <w:widowControl w:val="0"/>
              <w:autoSpaceDE w:val="0"/>
              <w:autoSpaceDN w:val="0"/>
              <w:rPr>
                <w:rFonts w:ascii="Times New Roman" w:hAnsi="Times New Roman" w:eastAsia="宋体" w:cs="Times New Roman"/>
                <w:color w:val="auto"/>
                <w:szCs w:val="21"/>
                <w:u w:val="none" w:color="auto"/>
              </w:rPr>
            </w:pPr>
          </w:p>
        </w:tc>
        <w:tc>
          <w:tcPr>
            <w:tcW w:w="1304" w:type="dxa"/>
            <w:noWrap/>
            <w:vAlign w:val="center"/>
          </w:tcPr>
          <w:p w14:paraId="4DC0FC73">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2E361BDB">
            <w:pPr>
              <w:widowControl/>
              <w:jc w:val="center"/>
              <w:textAlignment w:val="center"/>
              <w:rPr>
                <w:rFonts w:hint="default" w:ascii="Times New Roman" w:hAnsi="Times New Roman" w:eastAsia="宋体" w:cs="Times New Roman"/>
                <w:color w:val="auto"/>
                <w:kern w:val="0"/>
                <w:szCs w:val="21"/>
                <w:u w:val="none" w:color="auto"/>
                <w:lang w:val="en-US" w:eastAsia="zh-CN" w:bidi="ar"/>
              </w:rPr>
            </w:pPr>
          </w:p>
        </w:tc>
        <w:tc>
          <w:tcPr>
            <w:tcW w:w="1138" w:type="dxa"/>
            <w:noWrap/>
          </w:tcPr>
          <w:p w14:paraId="139DE535">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tcPr>
          <w:p w14:paraId="1040AD3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4054E3EE">
            <w:pPr>
              <w:pStyle w:val="104"/>
              <w:widowControl w:val="0"/>
              <w:autoSpaceDE w:val="0"/>
              <w:autoSpaceDN w:val="0"/>
              <w:rPr>
                <w:color w:val="auto"/>
                <w:szCs w:val="21"/>
                <w:u w:val="none" w:color="auto"/>
              </w:rPr>
            </w:pPr>
          </w:p>
        </w:tc>
      </w:tr>
      <w:tr w14:paraId="414D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restart"/>
            <w:noWrap/>
            <w:vAlign w:val="center"/>
          </w:tcPr>
          <w:p w14:paraId="67DDC44B">
            <w:pPr>
              <w:pStyle w:val="104"/>
              <w:widowControl w:val="0"/>
              <w:autoSpaceDE w:val="0"/>
              <w:autoSpaceDN w:val="0"/>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石油类</w:t>
            </w:r>
          </w:p>
        </w:tc>
        <w:tc>
          <w:tcPr>
            <w:tcW w:w="1304" w:type="dxa"/>
            <w:noWrap/>
            <w:vAlign w:val="center"/>
          </w:tcPr>
          <w:p w14:paraId="0C638E1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监测值</w:t>
            </w:r>
          </w:p>
        </w:tc>
        <w:tc>
          <w:tcPr>
            <w:tcW w:w="1006" w:type="dxa"/>
            <w:noWrap/>
            <w:vAlign w:val="center"/>
          </w:tcPr>
          <w:p w14:paraId="665D2210">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vAlign w:val="center"/>
          </w:tcPr>
          <w:p w14:paraId="241EFD0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vAlign w:val="center"/>
          </w:tcPr>
          <w:p w14:paraId="3BF3E87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restart"/>
            <w:noWrap/>
            <w:vAlign w:val="center"/>
          </w:tcPr>
          <w:p w14:paraId="2BE862B6">
            <w:pPr>
              <w:pStyle w:val="104"/>
              <w:widowControl w:val="0"/>
              <w:autoSpaceDE w:val="0"/>
              <w:autoSpaceDN w:val="0"/>
              <w:rPr>
                <w:rFonts w:hint="eastAsia" w:eastAsia="宋体"/>
                <w:color w:val="auto"/>
                <w:szCs w:val="21"/>
                <w:u w:val="none" w:color="auto"/>
                <w:lang w:val="en-US" w:eastAsia="zh-CN"/>
              </w:rPr>
            </w:pPr>
            <w:r>
              <w:rPr>
                <w:rFonts w:hint="eastAsia"/>
                <w:color w:val="auto"/>
                <w:szCs w:val="21"/>
                <w:u w:val="none" w:color="auto"/>
                <w:lang w:val="en-US" w:eastAsia="zh-CN"/>
              </w:rPr>
              <w:t>/</w:t>
            </w:r>
          </w:p>
        </w:tc>
      </w:tr>
      <w:tr w14:paraId="138A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2500" w:type="dxa"/>
            <w:vMerge w:val="continue"/>
            <w:noWrap/>
            <w:vAlign w:val="center"/>
          </w:tcPr>
          <w:p w14:paraId="75A43CCC">
            <w:pPr>
              <w:pStyle w:val="104"/>
              <w:widowControl w:val="0"/>
              <w:autoSpaceDE w:val="0"/>
              <w:autoSpaceDN w:val="0"/>
              <w:rPr>
                <w:rFonts w:hint="eastAsia"/>
                <w:color w:val="auto"/>
                <w:szCs w:val="21"/>
                <w:u w:val="none" w:color="auto"/>
                <w:lang w:val="en-US" w:eastAsia="zh-CN"/>
              </w:rPr>
            </w:pPr>
          </w:p>
        </w:tc>
        <w:tc>
          <w:tcPr>
            <w:tcW w:w="1304" w:type="dxa"/>
            <w:noWrap/>
            <w:vAlign w:val="center"/>
          </w:tcPr>
          <w:p w14:paraId="6FCCB822">
            <w:pPr>
              <w:widowControl/>
              <w:jc w:val="center"/>
              <w:textAlignment w:val="center"/>
              <w:rPr>
                <w:rFonts w:hint="eastAsia" w:ascii="Times New Roman" w:hAnsi="Times New Roman" w:eastAsia="宋体" w:cs="Times New Roman"/>
                <w:color w:val="auto"/>
                <w:kern w:val="0"/>
                <w:szCs w:val="21"/>
                <w:u w:val="none" w:color="auto"/>
                <w:lang w:val="en-US" w:eastAsia="zh-CN" w:bidi="ar"/>
              </w:rPr>
            </w:pPr>
            <w:r>
              <w:rPr>
                <w:rFonts w:hint="eastAsia" w:ascii="Times New Roman" w:hAnsi="Times New Roman" w:eastAsia="宋体" w:cs="Times New Roman"/>
                <w:color w:val="auto"/>
                <w:kern w:val="0"/>
                <w:szCs w:val="21"/>
                <w:u w:val="none" w:color="auto"/>
                <w:lang w:val="en-US" w:eastAsia="zh-CN" w:bidi="ar"/>
              </w:rPr>
              <w:t>Pi</w:t>
            </w:r>
          </w:p>
        </w:tc>
        <w:tc>
          <w:tcPr>
            <w:tcW w:w="1006" w:type="dxa"/>
            <w:noWrap/>
          </w:tcPr>
          <w:p w14:paraId="12063BB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138" w:type="dxa"/>
            <w:noWrap/>
          </w:tcPr>
          <w:p w14:paraId="354470A7">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980" w:type="dxa"/>
            <w:noWrap/>
          </w:tcPr>
          <w:p w14:paraId="796D3E28">
            <w:pPr>
              <w:widowControl/>
              <w:jc w:val="center"/>
              <w:textAlignment w:val="center"/>
              <w:rPr>
                <w:rFonts w:hint="eastAsia" w:ascii="Times New Roman" w:hAnsi="Times New Roman" w:eastAsia="宋体" w:cs="Times New Roman"/>
                <w:color w:val="auto"/>
                <w:kern w:val="0"/>
                <w:szCs w:val="21"/>
                <w:u w:val="none" w:color="auto"/>
                <w:lang w:val="en-US" w:eastAsia="zh-CN" w:bidi="ar"/>
              </w:rPr>
            </w:pPr>
          </w:p>
        </w:tc>
        <w:tc>
          <w:tcPr>
            <w:tcW w:w="1712" w:type="dxa"/>
            <w:vMerge w:val="continue"/>
            <w:noWrap/>
            <w:vAlign w:val="center"/>
          </w:tcPr>
          <w:p w14:paraId="18D1635B">
            <w:pPr>
              <w:pStyle w:val="104"/>
              <w:widowControl w:val="0"/>
              <w:autoSpaceDE w:val="0"/>
              <w:autoSpaceDN w:val="0"/>
              <w:rPr>
                <w:color w:val="auto"/>
                <w:szCs w:val="21"/>
                <w:u w:val="none" w:color="auto"/>
              </w:rPr>
            </w:pPr>
          </w:p>
        </w:tc>
      </w:tr>
      <w:bookmarkEnd w:id="194"/>
    </w:tbl>
    <w:p w14:paraId="561471F3">
      <w:pPr>
        <w:pageBreakBefore w:val="0"/>
        <w:widowControl w:val="0"/>
        <w:kinsoku/>
        <w:wordWrap/>
        <w:overflowPunct/>
        <w:topLinePunct w:val="0"/>
        <w:autoSpaceDE w:val="0"/>
        <w:autoSpaceDN w:val="0"/>
        <w:bidi w:val="0"/>
        <w:snapToGrid w:val="0"/>
        <w:spacing w:before="312" w:beforeLines="100" w:line="360" w:lineRule="auto"/>
        <w:ind w:firstLine="480" w:firstLineChars="200"/>
        <w:jc w:val="left"/>
        <w:textAlignment w:val="auto"/>
        <w:outlineLvl w:val="9"/>
        <w:rPr>
          <w:rFonts w:hint="eastAsia" w:ascii="Times New Roman" w:hAnsi="Times New Roman" w:eastAsia="宋体" w:cs="Times New Roman"/>
          <w:b/>
          <w:color w:val="auto"/>
          <w:kern w:val="0"/>
          <w:sz w:val="32"/>
          <w:szCs w:val="32"/>
          <w:u w:val="none" w:color="auto"/>
        </w:rPr>
      </w:pPr>
      <w:r>
        <w:rPr>
          <w:rFonts w:ascii="Times New Roman" w:hAnsi="Times New Roman" w:eastAsia="宋体" w:cs="Times New Roman"/>
          <w:color w:val="auto"/>
          <w:kern w:val="0"/>
          <w:sz w:val="24"/>
          <w:szCs w:val="24"/>
          <w:u w:val="none" w:color="auto"/>
        </w:rPr>
        <w:t>由表3.4-3可知，</w:t>
      </w:r>
      <w:r>
        <w:rPr>
          <w:rFonts w:hint="eastAsia" w:ascii="Times New Roman" w:hAnsi="Times New Roman" w:eastAsia="宋体" w:cs="Times New Roman"/>
          <w:color w:val="auto"/>
          <w:kern w:val="0"/>
          <w:sz w:val="24"/>
          <w:szCs w:val="24"/>
          <w:u w:val="none" w:color="auto"/>
        </w:rPr>
        <w:t>项目区域地下水除Na</w:t>
      </w:r>
      <w:r>
        <w:rPr>
          <w:rFonts w:hint="eastAsia" w:ascii="Times New Roman" w:hAnsi="Times New Roman" w:eastAsia="宋体" w:cs="Times New Roman"/>
          <w:color w:val="auto"/>
          <w:kern w:val="0"/>
          <w:sz w:val="24"/>
          <w:szCs w:val="24"/>
          <w:u w:val="none" w:color="auto"/>
          <w:vertAlign w:val="superscript"/>
        </w:rPr>
        <w:t>+</w:t>
      </w:r>
      <w:r>
        <w:rPr>
          <w:rFonts w:hint="eastAsia" w:ascii="Times New Roman" w:hAnsi="Times New Roman" w:eastAsia="宋体" w:cs="Times New Roman"/>
          <w:color w:val="auto"/>
          <w:kern w:val="0"/>
          <w:sz w:val="24"/>
          <w:szCs w:val="24"/>
          <w:u w:val="none" w:color="auto"/>
        </w:rPr>
        <w:t>（最大超标</w:t>
      </w:r>
      <w:r>
        <w:rPr>
          <w:rFonts w:hint="eastAsia" w:ascii="Times New Roman" w:hAnsi="Times New Roman" w:eastAsia="宋体" w:cs="Times New Roman"/>
          <w:color w:val="auto"/>
          <w:kern w:val="0"/>
          <w:sz w:val="24"/>
          <w:szCs w:val="24"/>
          <w:u w:val="none" w:color="auto"/>
          <w:lang w:val="en-US" w:eastAsia="zh-CN"/>
        </w:rPr>
        <w:t>3.64</w:t>
      </w:r>
      <w:r>
        <w:rPr>
          <w:rFonts w:hint="eastAsia" w:ascii="Times New Roman" w:hAnsi="Times New Roman" w:eastAsia="宋体" w:cs="Times New Roman"/>
          <w:color w:val="auto"/>
          <w:kern w:val="0"/>
          <w:sz w:val="24"/>
          <w:szCs w:val="24"/>
          <w:u w:val="none" w:color="auto"/>
        </w:rPr>
        <w:t>倍）、硫酸盐（最大超标</w:t>
      </w:r>
      <w:r>
        <w:rPr>
          <w:rFonts w:hint="eastAsia" w:ascii="Times New Roman" w:hAnsi="Times New Roman" w:eastAsia="宋体" w:cs="Times New Roman"/>
          <w:color w:val="auto"/>
          <w:kern w:val="0"/>
          <w:sz w:val="24"/>
          <w:szCs w:val="24"/>
          <w:u w:val="none" w:color="auto"/>
          <w:lang w:val="en-US" w:eastAsia="zh-CN"/>
        </w:rPr>
        <w:t>1.344</w:t>
      </w:r>
      <w:r>
        <w:rPr>
          <w:rFonts w:hint="eastAsia" w:ascii="Times New Roman" w:hAnsi="Times New Roman" w:eastAsia="宋体" w:cs="Times New Roman"/>
          <w:color w:val="auto"/>
          <w:kern w:val="0"/>
          <w:sz w:val="24"/>
          <w:szCs w:val="24"/>
          <w:u w:val="none" w:color="auto"/>
        </w:rPr>
        <w:t>倍）、氯化物（最大超标</w:t>
      </w:r>
      <w:r>
        <w:rPr>
          <w:rFonts w:hint="eastAsia" w:ascii="Times New Roman" w:hAnsi="Times New Roman" w:eastAsia="宋体" w:cs="Times New Roman"/>
          <w:color w:val="auto"/>
          <w:kern w:val="0"/>
          <w:sz w:val="24"/>
          <w:szCs w:val="24"/>
          <w:u w:val="none" w:color="auto"/>
          <w:lang w:val="en-US" w:eastAsia="zh-CN"/>
        </w:rPr>
        <w:t>5.856</w:t>
      </w:r>
      <w:r>
        <w:rPr>
          <w:rFonts w:hint="eastAsia" w:ascii="Times New Roman" w:hAnsi="Times New Roman" w:eastAsia="宋体" w:cs="Times New Roman"/>
          <w:color w:val="auto"/>
          <w:kern w:val="0"/>
          <w:sz w:val="24"/>
          <w:szCs w:val="24"/>
          <w:u w:val="none" w:color="auto"/>
        </w:rPr>
        <w:t>倍）、总硬度（最大超标</w:t>
      </w:r>
      <w:r>
        <w:rPr>
          <w:rFonts w:hint="eastAsia" w:ascii="Times New Roman" w:hAnsi="Times New Roman" w:eastAsia="宋体" w:cs="Times New Roman"/>
          <w:color w:val="auto"/>
          <w:kern w:val="0"/>
          <w:sz w:val="24"/>
          <w:szCs w:val="24"/>
          <w:u w:val="none" w:color="auto"/>
          <w:lang w:val="en-US" w:eastAsia="zh-CN"/>
        </w:rPr>
        <w:t>3.787</w:t>
      </w:r>
      <w:r>
        <w:rPr>
          <w:rFonts w:hint="eastAsia" w:ascii="Times New Roman" w:hAnsi="Times New Roman" w:eastAsia="宋体" w:cs="Times New Roman"/>
          <w:color w:val="auto"/>
          <w:kern w:val="0"/>
          <w:sz w:val="24"/>
          <w:szCs w:val="24"/>
          <w:u w:val="none" w:color="auto"/>
        </w:rPr>
        <w:t>倍）、溶解性总固体（最大超标</w:t>
      </w:r>
      <w:r>
        <w:rPr>
          <w:rFonts w:hint="eastAsia" w:ascii="Times New Roman" w:hAnsi="Times New Roman" w:eastAsia="宋体" w:cs="Times New Roman"/>
          <w:color w:val="auto"/>
          <w:kern w:val="0"/>
          <w:sz w:val="24"/>
          <w:szCs w:val="24"/>
          <w:u w:val="none" w:color="auto"/>
          <w:lang w:val="en-US" w:eastAsia="zh-CN"/>
        </w:rPr>
        <w:t>3.82</w:t>
      </w:r>
      <w:r>
        <w:rPr>
          <w:rFonts w:hint="eastAsia" w:ascii="Times New Roman" w:hAnsi="Times New Roman" w:eastAsia="宋体" w:cs="Times New Roman"/>
          <w:color w:val="auto"/>
          <w:kern w:val="0"/>
          <w:sz w:val="24"/>
          <w:szCs w:val="24"/>
          <w:u w:val="none" w:color="auto"/>
        </w:rPr>
        <w:t>倍）超标外，其余各监测因子均满足《地下水质量标准》（GB/T14848-2017）III类标准限值要求。超标原因为项目所在区域属填海区，受海水盐度影响，Na</w:t>
      </w:r>
      <w:r>
        <w:rPr>
          <w:rFonts w:hint="eastAsia" w:ascii="Times New Roman" w:hAnsi="Times New Roman" w:eastAsia="宋体" w:cs="Times New Roman"/>
          <w:color w:val="auto"/>
          <w:kern w:val="0"/>
          <w:sz w:val="24"/>
          <w:szCs w:val="24"/>
          <w:u w:val="none" w:color="auto"/>
          <w:vertAlign w:val="superscript"/>
        </w:rPr>
        <w:t>+</w:t>
      </w:r>
      <w:r>
        <w:rPr>
          <w:rFonts w:hint="eastAsia" w:ascii="Times New Roman" w:hAnsi="Times New Roman" w:eastAsia="宋体" w:cs="Times New Roman"/>
          <w:color w:val="auto"/>
          <w:kern w:val="0"/>
          <w:sz w:val="24"/>
          <w:szCs w:val="24"/>
          <w:u w:val="none" w:color="auto"/>
        </w:rPr>
        <w:t>、Cl</w:t>
      </w:r>
      <w:r>
        <w:rPr>
          <w:rFonts w:hint="eastAsia" w:ascii="Times New Roman" w:hAnsi="Times New Roman" w:eastAsia="宋体" w:cs="Times New Roman"/>
          <w:color w:val="auto"/>
          <w:kern w:val="0"/>
          <w:sz w:val="24"/>
          <w:szCs w:val="24"/>
          <w:u w:val="none" w:color="auto"/>
          <w:vertAlign w:val="superscript"/>
        </w:rPr>
        <w:t>-</w:t>
      </w:r>
      <w:r>
        <w:rPr>
          <w:rFonts w:hint="eastAsia" w:ascii="Times New Roman" w:hAnsi="Times New Roman" w:eastAsia="宋体" w:cs="Times New Roman"/>
          <w:color w:val="auto"/>
          <w:kern w:val="0"/>
          <w:sz w:val="24"/>
          <w:szCs w:val="24"/>
          <w:u w:val="none" w:color="auto"/>
        </w:rPr>
        <w:t>、SO</w:t>
      </w:r>
      <w:r>
        <w:rPr>
          <w:rFonts w:hint="eastAsia" w:ascii="Times New Roman" w:hAnsi="Times New Roman" w:eastAsia="宋体" w:cs="Times New Roman"/>
          <w:color w:val="auto"/>
          <w:kern w:val="0"/>
          <w:sz w:val="24"/>
          <w:szCs w:val="24"/>
          <w:u w:val="none" w:color="auto"/>
          <w:vertAlign w:val="subscript"/>
        </w:rPr>
        <w:t>4</w:t>
      </w:r>
      <w:r>
        <w:rPr>
          <w:rFonts w:hint="eastAsia" w:ascii="Times New Roman" w:hAnsi="Times New Roman" w:eastAsia="宋体" w:cs="Times New Roman"/>
          <w:color w:val="auto"/>
          <w:kern w:val="0"/>
          <w:sz w:val="24"/>
          <w:szCs w:val="24"/>
          <w:u w:val="none" w:color="auto"/>
          <w:vertAlign w:val="superscript"/>
        </w:rPr>
        <w:t>2-</w:t>
      </w:r>
      <w:r>
        <w:rPr>
          <w:rFonts w:hint="eastAsia" w:ascii="Times New Roman" w:hAnsi="Times New Roman" w:eastAsia="宋体" w:cs="Times New Roman"/>
          <w:color w:val="auto"/>
          <w:kern w:val="0"/>
          <w:sz w:val="24"/>
          <w:szCs w:val="24"/>
          <w:u w:val="none" w:color="auto"/>
        </w:rPr>
        <w:t>、总硬度、溶解性总固体出现不同程度超标</w:t>
      </w:r>
      <w:r>
        <w:rPr>
          <w:rFonts w:ascii="Times New Roman" w:hAnsi="Times New Roman" w:eastAsia="宋体" w:cs="Times New Roman"/>
          <w:color w:val="auto"/>
          <w:kern w:val="0"/>
          <w:sz w:val="24"/>
          <w:szCs w:val="24"/>
          <w:u w:val="none" w:color="auto"/>
        </w:rPr>
        <w:t>。</w:t>
      </w:r>
    </w:p>
    <w:bookmarkEnd w:id="181"/>
    <w:p w14:paraId="448B00B3">
      <w:pPr>
        <w:pStyle w:val="3"/>
        <w:bidi w:val="0"/>
        <w:rPr>
          <w:color w:val="auto"/>
          <w:u w:val="none" w:color="auto"/>
        </w:rPr>
      </w:pPr>
      <w:bookmarkStart w:id="195" w:name="_Toc3728210"/>
      <w:bookmarkStart w:id="196" w:name="_Toc530130449"/>
      <w:bookmarkStart w:id="197" w:name="_Toc505847312"/>
      <w:bookmarkStart w:id="198" w:name="_Toc27818"/>
      <w:r>
        <w:rPr>
          <w:color w:val="auto"/>
          <w:u w:val="none" w:color="auto"/>
        </w:rPr>
        <w:t>土壤环境质量现状调查与评价</w:t>
      </w:r>
      <w:bookmarkEnd w:id="195"/>
      <w:bookmarkEnd w:id="196"/>
      <w:bookmarkEnd w:id="197"/>
      <w:bookmarkEnd w:id="198"/>
    </w:p>
    <w:p w14:paraId="1927D3C2">
      <w:pPr>
        <w:pStyle w:val="4"/>
        <w:bidi w:val="0"/>
        <w:rPr>
          <w:color w:val="auto"/>
          <w:u w:val="none" w:color="auto"/>
        </w:rPr>
      </w:pPr>
      <w:bookmarkStart w:id="199" w:name="_Toc413081349"/>
      <w:bookmarkStart w:id="200" w:name="_Toc3728211"/>
      <w:r>
        <w:rPr>
          <w:color w:val="auto"/>
          <w:u w:val="none" w:color="auto"/>
        </w:rPr>
        <w:t>监测布点</w:t>
      </w:r>
      <w:bookmarkEnd w:id="199"/>
      <w:bookmarkEnd w:id="200"/>
    </w:p>
    <w:p w14:paraId="31ACE7FE">
      <w:pPr>
        <w:autoSpaceDE w:val="0"/>
        <w:autoSpaceDN w:val="0"/>
        <w:spacing w:line="360" w:lineRule="auto"/>
        <w:ind w:firstLine="482"/>
        <w:rPr>
          <w:rFonts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single" w:color="auto"/>
          <w:lang w:val="en-US" w:eastAsia="zh-CN"/>
        </w:rPr>
        <w:t>项目厂区为填海区，</w:t>
      </w:r>
      <w:r>
        <w:rPr>
          <w:rFonts w:hint="default" w:ascii="Times New Roman" w:hAnsi="Times New Roman" w:eastAsia="宋体" w:cs="Times New Roman"/>
          <w:color w:val="auto"/>
          <w:sz w:val="24"/>
          <w:szCs w:val="24"/>
          <w:u w:val="single" w:color="auto"/>
          <w:lang w:eastAsia="zh-CN"/>
        </w:rPr>
        <w:t>在</w:t>
      </w:r>
      <w:r>
        <w:rPr>
          <w:rFonts w:hint="eastAsia" w:ascii="Times New Roman" w:hAnsi="Times New Roman" w:eastAsia="宋体" w:cs="Times New Roman"/>
          <w:color w:val="auto"/>
          <w:sz w:val="24"/>
          <w:szCs w:val="24"/>
          <w:u w:val="none" w:color="auto"/>
          <w:lang w:eastAsia="zh-CN"/>
        </w:rPr>
        <w:t>厂区范围内</w:t>
      </w:r>
      <w:r>
        <w:rPr>
          <w:rFonts w:hint="eastAsia" w:ascii="Times New Roman" w:hAnsi="Times New Roman" w:eastAsia="宋体" w:cs="Times New Roman"/>
          <w:color w:val="auto"/>
          <w:sz w:val="24"/>
          <w:szCs w:val="24"/>
          <w:u w:val="none" w:color="auto"/>
        </w:rPr>
        <w:t>布设3个柱状样和1个表层样，场外要求布设2个表层样，共6个点位</w:t>
      </w:r>
      <w:r>
        <w:rPr>
          <w:rFonts w:ascii="Times New Roman" w:hAnsi="Times New Roman" w:eastAsia="宋体" w:cs="Times New Roman"/>
          <w:color w:val="auto"/>
          <w:sz w:val="24"/>
          <w:szCs w:val="24"/>
          <w:u w:val="none" w:color="auto"/>
        </w:rPr>
        <w:t>，监测布点详见表</w:t>
      </w:r>
      <w:r>
        <w:rPr>
          <w:rFonts w:hint="eastAsia" w:ascii="Times New Roman" w:hAnsi="Times New Roman" w:eastAsia="宋体" w:cs="Times New Roman"/>
          <w:color w:val="auto"/>
          <w:sz w:val="24"/>
          <w:szCs w:val="24"/>
          <w:u w:val="none" w:color="auto"/>
        </w:rPr>
        <w:t>3.5</w:t>
      </w:r>
      <w:r>
        <w:rPr>
          <w:rFonts w:ascii="Times New Roman" w:hAnsi="Times New Roman" w:eastAsia="宋体" w:cs="Times New Roman"/>
          <w:color w:val="auto"/>
          <w:sz w:val="24"/>
          <w:szCs w:val="24"/>
          <w:u w:val="none" w:color="auto"/>
        </w:rPr>
        <w:t>-1。</w:t>
      </w:r>
    </w:p>
    <w:p w14:paraId="3C1A1F43">
      <w:pPr>
        <w:pStyle w:val="6"/>
        <w:bidi w:val="0"/>
        <w:rPr>
          <w:color w:val="auto"/>
          <w:u w:val="none" w:color="auto"/>
        </w:rPr>
      </w:pPr>
      <w:r>
        <w:rPr>
          <w:color w:val="auto"/>
          <w:u w:val="none" w:color="auto"/>
        </w:rPr>
        <w:t>土壤环境质量现状监测布点</w:t>
      </w:r>
    </w:p>
    <w:tbl>
      <w:tblPr>
        <w:tblStyle w:val="37"/>
        <w:tblW w:w="501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2"/>
        <w:gridCol w:w="1415"/>
        <w:gridCol w:w="1131"/>
        <w:gridCol w:w="3275"/>
        <w:gridCol w:w="956"/>
        <w:gridCol w:w="959"/>
      </w:tblGrid>
      <w:tr w14:paraId="1DDAF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exact"/>
          <w:tblHeader/>
          <w:jc w:val="center"/>
        </w:trPr>
        <w:tc>
          <w:tcPr>
            <w:tcW w:w="361" w:type="pct"/>
            <w:noWrap w:val="0"/>
            <w:vAlign w:val="center"/>
          </w:tcPr>
          <w:p w14:paraId="4CAC9BBA">
            <w:pPr>
              <w:widowControl/>
              <w:adjustRightInd w:val="0"/>
              <w:snapToGrid w:val="0"/>
              <w:jc w:val="center"/>
              <w:rPr>
                <w:rFonts w:hint="default" w:ascii="Times New Roman" w:hAnsi="Times New Roman" w:eastAsia="宋体" w:cs="Times New Roman"/>
                <w:b/>
                <w:color w:val="auto"/>
                <w:kern w:val="0"/>
                <w:sz w:val="21"/>
                <w:szCs w:val="21"/>
                <w:u w:val="none" w:color="auto"/>
              </w:rPr>
            </w:pPr>
            <w:bookmarkStart w:id="201" w:name="_Toc3728212"/>
            <w:r>
              <w:rPr>
                <w:rFonts w:hint="default" w:ascii="Times New Roman" w:hAnsi="Times New Roman" w:eastAsia="宋体" w:cs="Times New Roman"/>
                <w:b/>
                <w:color w:val="auto"/>
                <w:kern w:val="0"/>
                <w:sz w:val="21"/>
                <w:szCs w:val="21"/>
                <w:u w:val="none" w:color="auto"/>
              </w:rPr>
              <w:t>序号</w:t>
            </w:r>
          </w:p>
        </w:tc>
        <w:tc>
          <w:tcPr>
            <w:tcW w:w="848" w:type="pct"/>
            <w:noWrap w:val="0"/>
            <w:vAlign w:val="center"/>
          </w:tcPr>
          <w:p w14:paraId="62930724">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点位名称</w:t>
            </w:r>
          </w:p>
        </w:tc>
        <w:tc>
          <w:tcPr>
            <w:tcW w:w="678" w:type="pct"/>
            <w:noWrap w:val="0"/>
            <w:vAlign w:val="center"/>
          </w:tcPr>
          <w:p w14:paraId="30A64C51">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布点类型</w:t>
            </w:r>
          </w:p>
        </w:tc>
        <w:tc>
          <w:tcPr>
            <w:tcW w:w="1963" w:type="pct"/>
            <w:noWrap w:val="0"/>
            <w:vAlign w:val="center"/>
          </w:tcPr>
          <w:p w14:paraId="4EFA626E">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采样深度</w:t>
            </w:r>
          </w:p>
        </w:tc>
        <w:tc>
          <w:tcPr>
            <w:tcW w:w="573" w:type="pct"/>
            <w:noWrap w:val="0"/>
            <w:vAlign w:val="center"/>
          </w:tcPr>
          <w:p w14:paraId="16FFAE53">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土地类型</w:t>
            </w:r>
          </w:p>
        </w:tc>
        <w:tc>
          <w:tcPr>
            <w:tcW w:w="574" w:type="pct"/>
            <w:noWrap w:val="0"/>
            <w:vAlign w:val="center"/>
          </w:tcPr>
          <w:p w14:paraId="0CC33D90">
            <w:pPr>
              <w:widowControl/>
              <w:adjustRightInd w:val="0"/>
              <w:snapToGrid w:val="0"/>
              <w:jc w:val="center"/>
              <w:rPr>
                <w:rFonts w:hint="default" w:ascii="Times New Roman" w:hAnsi="Times New Roman" w:eastAsia="宋体" w:cs="Times New Roman"/>
                <w:b/>
                <w:color w:val="auto"/>
                <w:kern w:val="0"/>
                <w:sz w:val="21"/>
                <w:szCs w:val="21"/>
                <w:u w:val="none" w:color="auto"/>
                <w:lang w:val="en-US" w:eastAsia="zh-CN"/>
              </w:rPr>
            </w:pPr>
            <w:r>
              <w:rPr>
                <w:rFonts w:hint="default" w:ascii="Times New Roman" w:hAnsi="Times New Roman" w:eastAsia="宋体" w:cs="Times New Roman"/>
                <w:b/>
                <w:color w:val="auto"/>
                <w:kern w:val="0"/>
                <w:sz w:val="21"/>
                <w:szCs w:val="21"/>
                <w:u w:val="none" w:color="auto"/>
                <w:lang w:val="en-US" w:eastAsia="zh-CN"/>
              </w:rPr>
              <w:t>备注</w:t>
            </w:r>
          </w:p>
        </w:tc>
      </w:tr>
      <w:tr w14:paraId="50B52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 w:hRule="atLeast"/>
          <w:jc w:val="center"/>
        </w:trPr>
        <w:tc>
          <w:tcPr>
            <w:tcW w:w="361" w:type="pct"/>
            <w:noWrap w:val="0"/>
            <w:vAlign w:val="center"/>
          </w:tcPr>
          <w:p w14:paraId="643F1E62">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S1</w:t>
            </w:r>
          </w:p>
        </w:tc>
        <w:tc>
          <w:tcPr>
            <w:tcW w:w="848" w:type="pct"/>
            <w:noWrap w:val="0"/>
            <w:vAlign w:val="center"/>
          </w:tcPr>
          <w:p w14:paraId="6B9A50E0">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厂区内1</w:t>
            </w:r>
          </w:p>
        </w:tc>
        <w:tc>
          <w:tcPr>
            <w:tcW w:w="678" w:type="pct"/>
            <w:noWrap w:val="0"/>
            <w:vAlign w:val="center"/>
          </w:tcPr>
          <w:p w14:paraId="2EB07E41">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柱状</w:t>
            </w:r>
            <w:r>
              <w:rPr>
                <w:rFonts w:hint="default" w:ascii="Times New Roman" w:hAnsi="Times New Roman" w:eastAsia="宋体" w:cs="Times New Roman"/>
                <w:color w:val="auto"/>
                <w:kern w:val="0"/>
                <w:sz w:val="21"/>
                <w:szCs w:val="21"/>
                <w:u w:val="none" w:color="auto"/>
              </w:rPr>
              <w:t>样点</w:t>
            </w:r>
          </w:p>
        </w:tc>
        <w:tc>
          <w:tcPr>
            <w:tcW w:w="1963" w:type="pct"/>
            <w:noWrap w:val="0"/>
            <w:vAlign w:val="center"/>
          </w:tcPr>
          <w:p w14:paraId="55C0DF8B">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0~0.5m、0.5~1.5m、1.5~3m</w:t>
            </w:r>
          </w:p>
        </w:tc>
        <w:tc>
          <w:tcPr>
            <w:tcW w:w="573" w:type="pct"/>
            <w:vMerge w:val="restart"/>
            <w:noWrap w:val="0"/>
            <w:vAlign w:val="center"/>
          </w:tcPr>
          <w:p w14:paraId="6A50B865">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建设用地</w:t>
            </w:r>
          </w:p>
        </w:tc>
        <w:tc>
          <w:tcPr>
            <w:tcW w:w="574" w:type="pct"/>
            <w:vMerge w:val="restart"/>
            <w:noWrap w:val="0"/>
            <w:vAlign w:val="center"/>
          </w:tcPr>
          <w:p w14:paraId="51E95E3C">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场地内</w:t>
            </w:r>
          </w:p>
        </w:tc>
      </w:tr>
      <w:tr w14:paraId="427E0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2" w:hRule="atLeast"/>
          <w:jc w:val="center"/>
        </w:trPr>
        <w:tc>
          <w:tcPr>
            <w:tcW w:w="361" w:type="pct"/>
            <w:noWrap w:val="0"/>
            <w:vAlign w:val="center"/>
          </w:tcPr>
          <w:p w14:paraId="2B1550AC">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S2</w:t>
            </w:r>
          </w:p>
        </w:tc>
        <w:tc>
          <w:tcPr>
            <w:tcW w:w="848" w:type="pct"/>
            <w:noWrap w:val="0"/>
            <w:vAlign w:val="center"/>
          </w:tcPr>
          <w:p w14:paraId="2CC7755F">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厂区内2</w:t>
            </w:r>
          </w:p>
        </w:tc>
        <w:tc>
          <w:tcPr>
            <w:tcW w:w="678" w:type="pct"/>
            <w:noWrap w:val="0"/>
            <w:vAlign w:val="center"/>
          </w:tcPr>
          <w:p w14:paraId="33E6AC35">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柱状</w:t>
            </w:r>
            <w:r>
              <w:rPr>
                <w:rFonts w:hint="default" w:ascii="Times New Roman" w:hAnsi="Times New Roman" w:eastAsia="宋体" w:cs="Times New Roman"/>
                <w:color w:val="auto"/>
                <w:kern w:val="0"/>
                <w:sz w:val="21"/>
                <w:szCs w:val="21"/>
                <w:u w:val="none" w:color="auto"/>
              </w:rPr>
              <w:t>样点</w:t>
            </w:r>
          </w:p>
        </w:tc>
        <w:tc>
          <w:tcPr>
            <w:tcW w:w="1963" w:type="pct"/>
            <w:noWrap w:val="0"/>
            <w:vAlign w:val="center"/>
          </w:tcPr>
          <w:p w14:paraId="013B2EC7">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0~0.5m、0.5~1.5m、1.5~3m</w:t>
            </w:r>
          </w:p>
        </w:tc>
        <w:tc>
          <w:tcPr>
            <w:tcW w:w="573" w:type="pct"/>
            <w:vMerge w:val="continue"/>
            <w:noWrap w:val="0"/>
            <w:vAlign w:val="center"/>
          </w:tcPr>
          <w:p w14:paraId="4ED5D6A3">
            <w:pPr>
              <w:widowControl/>
              <w:adjustRightInd w:val="0"/>
              <w:snapToGrid w:val="0"/>
              <w:jc w:val="center"/>
              <w:rPr>
                <w:rFonts w:hint="default" w:ascii="Times New Roman" w:hAnsi="Times New Roman" w:eastAsia="宋体" w:cs="Times New Roman"/>
                <w:color w:val="auto"/>
                <w:kern w:val="0"/>
                <w:sz w:val="21"/>
                <w:szCs w:val="21"/>
                <w:u w:val="none" w:color="auto"/>
              </w:rPr>
            </w:pPr>
          </w:p>
        </w:tc>
        <w:tc>
          <w:tcPr>
            <w:tcW w:w="574" w:type="pct"/>
            <w:vMerge w:val="continue"/>
            <w:noWrap w:val="0"/>
            <w:vAlign w:val="center"/>
          </w:tcPr>
          <w:p w14:paraId="5D324BD9">
            <w:pPr>
              <w:widowControl/>
              <w:adjustRightInd w:val="0"/>
              <w:snapToGrid w:val="0"/>
              <w:jc w:val="center"/>
              <w:rPr>
                <w:rFonts w:hint="default" w:ascii="Times New Roman" w:hAnsi="Times New Roman" w:eastAsia="宋体" w:cs="Times New Roman"/>
                <w:color w:val="auto"/>
                <w:kern w:val="0"/>
                <w:sz w:val="21"/>
                <w:szCs w:val="21"/>
                <w:u w:val="none" w:color="auto"/>
              </w:rPr>
            </w:pPr>
          </w:p>
        </w:tc>
      </w:tr>
      <w:tr w14:paraId="064D9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61" w:type="pct"/>
            <w:noWrap w:val="0"/>
            <w:vAlign w:val="center"/>
          </w:tcPr>
          <w:p w14:paraId="26642199">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S3</w:t>
            </w:r>
          </w:p>
        </w:tc>
        <w:tc>
          <w:tcPr>
            <w:tcW w:w="848" w:type="pct"/>
            <w:noWrap w:val="0"/>
            <w:vAlign w:val="center"/>
          </w:tcPr>
          <w:p w14:paraId="49D45B6C">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厂区内3</w:t>
            </w:r>
          </w:p>
        </w:tc>
        <w:tc>
          <w:tcPr>
            <w:tcW w:w="678" w:type="pct"/>
            <w:noWrap w:val="0"/>
            <w:vAlign w:val="center"/>
          </w:tcPr>
          <w:p w14:paraId="32B4709E">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柱状</w:t>
            </w:r>
            <w:r>
              <w:rPr>
                <w:rFonts w:hint="default" w:ascii="Times New Roman" w:hAnsi="Times New Roman" w:eastAsia="宋体" w:cs="Times New Roman"/>
                <w:color w:val="auto"/>
                <w:kern w:val="0"/>
                <w:sz w:val="21"/>
                <w:szCs w:val="21"/>
                <w:u w:val="none" w:color="auto"/>
              </w:rPr>
              <w:t>样点</w:t>
            </w:r>
          </w:p>
        </w:tc>
        <w:tc>
          <w:tcPr>
            <w:tcW w:w="1963" w:type="pct"/>
            <w:noWrap w:val="0"/>
            <w:vAlign w:val="center"/>
          </w:tcPr>
          <w:p w14:paraId="0C49A984">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rPr>
              <w:t>0~0.5m、0.5~1.5m、1.5~3m</w:t>
            </w:r>
          </w:p>
        </w:tc>
        <w:tc>
          <w:tcPr>
            <w:tcW w:w="573" w:type="pct"/>
            <w:vMerge w:val="continue"/>
            <w:noWrap w:val="0"/>
            <w:vAlign w:val="center"/>
          </w:tcPr>
          <w:p w14:paraId="36AFAEE0">
            <w:pPr>
              <w:widowControl/>
              <w:adjustRightInd w:val="0"/>
              <w:snapToGrid w:val="0"/>
              <w:jc w:val="center"/>
              <w:rPr>
                <w:rFonts w:hint="default" w:ascii="Times New Roman" w:hAnsi="Times New Roman" w:eastAsia="宋体" w:cs="Times New Roman"/>
                <w:color w:val="auto"/>
                <w:kern w:val="0"/>
                <w:sz w:val="21"/>
                <w:szCs w:val="21"/>
                <w:u w:val="none" w:color="auto"/>
              </w:rPr>
            </w:pPr>
          </w:p>
        </w:tc>
        <w:tc>
          <w:tcPr>
            <w:tcW w:w="574" w:type="pct"/>
            <w:vMerge w:val="continue"/>
            <w:noWrap w:val="0"/>
            <w:vAlign w:val="center"/>
          </w:tcPr>
          <w:p w14:paraId="24BF385E">
            <w:pPr>
              <w:widowControl/>
              <w:adjustRightInd w:val="0"/>
              <w:snapToGrid w:val="0"/>
              <w:jc w:val="center"/>
              <w:rPr>
                <w:rFonts w:hint="default" w:ascii="Times New Roman" w:hAnsi="Times New Roman" w:eastAsia="宋体" w:cs="Times New Roman"/>
                <w:color w:val="auto"/>
                <w:kern w:val="0"/>
                <w:sz w:val="21"/>
                <w:szCs w:val="21"/>
                <w:u w:val="none" w:color="auto"/>
              </w:rPr>
            </w:pPr>
          </w:p>
        </w:tc>
      </w:tr>
      <w:tr w14:paraId="5D9F3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61" w:type="pct"/>
            <w:noWrap w:val="0"/>
            <w:vAlign w:val="center"/>
          </w:tcPr>
          <w:p w14:paraId="103057D9">
            <w:pPr>
              <w:widowControl/>
              <w:adjustRightInd w:val="0"/>
              <w:snapToGrid w:val="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rPr>
              <w:t>S</w:t>
            </w:r>
            <w:r>
              <w:rPr>
                <w:rFonts w:hint="default" w:ascii="Times New Roman" w:hAnsi="Times New Roman" w:eastAsia="宋体" w:cs="Times New Roman"/>
                <w:color w:val="auto"/>
                <w:kern w:val="0"/>
                <w:sz w:val="21"/>
                <w:szCs w:val="21"/>
                <w:u w:val="none" w:color="auto"/>
                <w:lang w:val="en-US" w:eastAsia="zh-CN"/>
              </w:rPr>
              <w:t>4</w:t>
            </w:r>
          </w:p>
        </w:tc>
        <w:tc>
          <w:tcPr>
            <w:tcW w:w="848" w:type="pct"/>
            <w:noWrap w:val="0"/>
            <w:vAlign w:val="center"/>
          </w:tcPr>
          <w:p w14:paraId="480B1868">
            <w:pPr>
              <w:widowControl/>
              <w:adjustRightInd w:val="0"/>
              <w:snapToGrid w:val="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rPr>
              <w:t>厂区内</w:t>
            </w:r>
            <w:r>
              <w:rPr>
                <w:rFonts w:hint="default" w:ascii="Times New Roman" w:hAnsi="Times New Roman" w:eastAsia="宋体" w:cs="Times New Roman"/>
                <w:color w:val="auto"/>
                <w:kern w:val="0"/>
                <w:sz w:val="21"/>
                <w:szCs w:val="21"/>
                <w:u w:val="none" w:color="auto"/>
                <w:lang w:val="en-US" w:eastAsia="zh-CN"/>
              </w:rPr>
              <w:t>4</w:t>
            </w:r>
          </w:p>
        </w:tc>
        <w:tc>
          <w:tcPr>
            <w:tcW w:w="678" w:type="pct"/>
            <w:noWrap w:val="0"/>
            <w:vAlign w:val="center"/>
          </w:tcPr>
          <w:p w14:paraId="1D0DB441">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表层样点</w:t>
            </w:r>
          </w:p>
        </w:tc>
        <w:tc>
          <w:tcPr>
            <w:tcW w:w="1963" w:type="pct"/>
            <w:noWrap w:val="0"/>
            <w:vAlign w:val="center"/>
          </w:tcPr>
          <w:p w14:paraId="709A0135">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0~0.2m</w:t>
            </w:r>
          </w:p>
        </w:tc>
        <w:tc>
          <w:tcPr>
            <w:tcW w:w="573" w:type="pct"/>
            <w:vMerge w:val="continue"/>
            <w:noWrap w:val="0"/>
            <w:vAlign w:val="center"/>
          </w:tcPr>
          <w:p w14:paraId="008D3CC3">
            <w:pPr>
              <w:widowControl/>
              <w:adjustRightInd w:val="0"/>
              <w:snapToGrid w:val="0"/>
              <w:jc w:val="center"/>
              <w:rPr>
                <w:rFonts w:hint="default" w:ascii="Times New Roman" w:hAnsi="Times New Roman" w:eastAsia="宋体" w:cs="Times New Roman"/>
                <w:color w:val="auto"/>
                <w:kern w:val="0"/>
                <w:sz w:val="21"/>
                <w:szCs w:val="21"/>
                <w:u w:val="none" w:color="auto"/>
              </w:rPr>
            </w:pPr>
          </w:p>
        </w:tc>
        <w:tc>
          <w:tcPr>
            <w:tcW w:w="574" w:type="pct"/>
            <w:vMerge w:val="continue"/>
            <w:noWrap w:val="0"/>
            <w:vAlign w:val="center"/>
          </w:tcPr>
          <w:p w14:paraId="1671E93E">
            <w:pPr>
              <w:widowControl/>
              <w:adjustRightInd w:val="0"/>
              <w:snapToGrid w:val="0"/>
              <w:jc w:val="center"/>
              <w:rPr>
                <w:rFonts w:hint="default" w:ascii="Times New Roman" w:hAnsi="Times New Roman" w:eastAsia="宋体" w:cs="Times New Roman"/>
                <w:color w:val="auto"/>
                <w:kern w:val="0"/>
                <w:sz w:val="21"/>
                <w:szCs w:val="21"/>
                <w:u w:val="none" w:color="auto"/>
              </w:rPr>
            </w:pPr>
          </w:p>
        </w:tc>
      </w:tr>
      <w:tr w14:paraId="03475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61" w:type="pct"/>
            <w:noWrap w:val="0"/>
            <w:vAlign w:val="center"/>
          </w:tcPr>
          <w:p w14:paraId="4D474C3F">
            <w:pPr>
              <w:widowControl/>
              <w:adjustRightInd w:val="0"/>
              <w:snapToGrid w:val="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rPr>
              <w:t>S</w:t>
            </w:r>
            <w:r>
              <w:rPr>
                <w:rFonts w:hint="default" w:ascii="Times New Roman" w:hAnsi="Times New Roman" w:eastAsia="宋体" w:cs="Times New Roman"/>
                <w:color w:val="auto"/>
                <w:kern w:val="0"/>
                <w:sz w:val="21"/>
                <w:szCs w:val="21"/>
                <w:u w:val="none" w:color="auto"/>
                <w:lang w:val="en-US" w:eastAsia="zh-CN"/>
              </w:rPr>
              <w:t>5</w:t>
            </w:r>
          </w:p>
        </w:tc>
        <w:tc>
          <w:tcPr>
            <w:tcW w:w="848" w:type="pct"/>
            <w:noWrap w:val="0"/>
            <w:vAlign w:val="center"/>
          </w:tcPr>
          <w:p w14:paraId="58312DF5">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厂区北侧</w:t>
            </w:r>
          </w:p>
        </w:tc>
        <w:tc>
          <w:tcPr>
            <w:tcW w:w="678" w:type="pct"/>
            <w:noWrap w:val="0"/>
            <w:vAlign w:val="center"/>
          </w:tcPr>
          <w:p w14:paraId="5DE8C5E6">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表层样点</w:t>
            </w:r>
          </w:p>
        </w:tc>
        <w:tc>
          <w:tcPr>
            <w:tcW w:w="1963" w:type="pct"/>
            <w:noWrap w:val="0"/>
            <w:vAlign w:val="center"/>
          </w:tcPr>
          <w:p w14:paraId="2E280D06">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0~0.2m</w:t>
            </w:r>
          </w:p>
        </w:tc>
        <w:tc>
          <w:tcPr>
            <w:tcW w:w="573" w:type="pct"/>
            <w:vMerge w:val="continue"/>
            <w:noWrap w:val="0"/>
            <w:vAlign w:val="center"/>
          </w:tcPr>
          <w:p w14:paraId="6B9494EE">
            <w:pPr>
              <w:widowControl/>
              <w:adjustRightInd w:val="0"/>
              <w:snapToGrid w:val="0"/>
              <w:jc w:val="center"/>
              <w:rPr>
                <w:rFonts w:hint="default" w:ascii="Times New Roman" w:hAnsi="Times New Roman" w:eastAsia="宋体" w:cs="Times New Roman"/>
                <w:color w:val="auto"/>
                <w:kern w:val="0"/>
                <w:sz w:val="21"/>
                <w:szCs w:val="21"/>
                <w:u w:val="none" w:color="auto"/>
              </w:rPr>
            </w:pPr>
          </w:p>
        </w:tc>
        <w:tc>
          <w:tcPr>
            <w:tcW w:w="574" w:type="pct"/>
            <w:vMerge w:val="restart"/>
            <w:noWrap w:val="0"/>
            <w:vAlign w:val="center"/>
          </w:tcPr>
          <w:p w14:paraId="7855DECE">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场地外</w:t>
            </w:r>
          </w:p>
        </w:tc>
      </w:tr>
      <w:tr w14:paraId="6943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61" w:type="pct"/>
            <w:noWrap w:val="0"/>
            <w:vAlign w:val="center"/>
          </w:tcPr>
          <w:p w14:paraId="6A2C40C7">
            <w:pPr>
              <w:widowControl/>
              <w:adjustRightInd w:val="0"/>
              <w:snapToGrid w:val="0"/>
              <w:jc w:val="center"/>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rPr>
              <w:t>S</w:t>
            </w:r>
            <w:r>
              <w:rPr>
                <w:rFonts w:hint="default" w:ascii="Times New Roman" w:hAnsi="Times New Roman" w:eastAsia="宋体" w:cs="Times New Roman"/>
                <w:color w:val="auto"/>
                <w:kern w:val="0"/>
                <w:sz w:val="21"/>
                <w:szCs w:val="21"/>
                <w:u w:val="none" w:color="auto"/>
                <w:lang w:val="en-US" w:eastAsia="zh-CN"/>
              </w:rPr>
              <w:t>6</w:t>
            </w:r>
          </w:p>
        </w:tc>
        <w:tc>
          <w:tcPr>
            <w:tcW w:w="848" w:type="pct"/>
            <w:noWrap w:val="0"/>
            <w:vAlign w:val="center"/>
          </w:tcPr>
          <w:p w14:paraId="503D1500">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厂区南侧</w:t>
            </w:r>
          </w:p>
        </w:tc>
        <w:tc>
          <w:tcPr>
            <w:tcW w:w="678" w:type="pct"/>
            <w:noWrap w:val="0"/>
            <w:vAlign w:val="center"/>
          </w:tcPr>
          <w:p w14:paraId="0170EA5B">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表层样点</w:t>
            </w:r>
          </w:p>
        </w:tc>
        <w:tc>
          <w:tcPr>
            <w:tcW w:w="1963" w:type="pct"/>
            <w:noWrap w:val="0"/>
            <w:vAlign w:val="center"/>
          </w:tcPr>
          <w:p w14:paraId="203AE6BE">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0~0.2m</w:t>
            </w:r>
          </w:p>
        </w:tc>
        <w:tc>
          <w:tcPr>
            <w:tcW w:w="573" w:type="pct"/>
            <w:vMerge w:val="continue"/>
            <w:noWrap w:val="0"/>
            <w:vAlign w:val="center"/>
          </w:tcPr>
          <w:p w14:paraId="4C8A2568">
            <w:pPr>
              <w:widowControl/>
              <w:adjustRightInd w:val="0"/>
              <w:snapToGrid w:val="0"/>
              <w:jc w:val="center"/>
              <w:rPr>
                <w:rFonts w:hint="default" w:ascii="Times New Roman" w:hAnsi="Times New Roman" w:eastAsia="宋体" w:cs="Times New Roman"/>
                <w:color w:val="auto"/>
                <w:kern w:val="0"/>
                <w:sz w:val="21"/>
                <w:szCs w:val="21"/>
                <w:u w:val="none" w:color="auto"/>
              </w:rPr>
            </w:pPr>
          </w:p>
        </w:tc>
        <w:tc>
          <w:tcPr>
            <w:tcW w:w="574" w:type="pct"/>
            <w:vMerge w:val="continue"/>
            <w:noWrap w:val="0"/>
            <w:vAlign w:val="center"/>
          </w:tcPr>
          <w:p w14:paraId="1EB80752">
            <w:pPr>
              <w:widowControl/>
              <w:adjustRightInd w:val="0"/>
              <w:snapToGrid w:val="0"/>
              <w:jc w:val="center"/>
              <w:rPr>
                <w:rFonts w:hint="default" w:ascii="Times New Roman" w:hAnsi="Times New Roman" w:eastAsia="宋体" w:cs="Times New Roman"/>
                <w:color w:val="auto"/>
                <w:kern w:val="0"/>
                <w:sz w:val="21"/>
                <w:szCs w:val="21"/>
                <w:u w:val="none" w:color="auto"/>
              </w:rPr>
            </w:pPr>
          </w:p>
        </w:tc>
      </w:tr>
    </w:tbl>
    <w:p w14:paraId="5E95BA39">
      <w:pPr>
        <w:pStyle w:val="4"/>
        <w:bidi w:val="0"/>
        <w:rPr>
          <w:color w:val="auto"/>
          <w:u w:val="none" w:color="auto"/>
        </w:rPr>
      </w:pPr>
      <w:r>
        <w:rPr>
          <w:color w:val="auto"/>
          <w:u w:val="none" w:color="auto"/>
        </w:rPr>
        <w:t>监测因子</w:t>
      </w:r>
      <w:bookmarkEnd w:id="201"/>
    </w:p>
    <w:p w14:paraId="136D0997">
      <w:pPr>
        <w:pStyle w:val="6"/>
        <w:bidi w:val="0"/>
        <w:rPr>
          <w:color w:val="auto"/>
          <w:u w:val="none" w:color="auto"/>
        </w:rPr>
      </w:pPr>
      <w:r>
        <w:rPr>
          <w:color w:val="auto"/>
          <w:u w:val="none" w:color="auto"/>
        </w:rPr>
        <w:t>土壤环境质量现状监测</w:t>
      </w:r>
      <w:r>
        <w:rPr>
          <w:rFonts w:hint="eastAsia"/>
          <w:color w:val="auto"/>
          <w:u w:val="none" w:color="auto"/>
          <w:lang w:eastAsia="zh-CN"/>
        </w:rPr>
        <w:t>因子</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7421"/>
      </w:tblGrid>
      <w:tr w14:paraId="0E484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noWrap w:val="0"/>
            <w:vAlign w:val="center"/>
          </w:tcPr>
          <w:p w14:paraId="30B37C3C">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监测点位</w:t>
            </w:r>
          </w:p>
        </w:tc>
        <w:tc>
          <w:tcPr>
            <w:tcW w:w="4353" w:type="pct"/>
            <w:noWrap w:val="0"/>
            <w:vAlign w:val="center"/>
          </w:tcPr>
          <w:p w14:paraId="74FA5B15">
            <w:pPr>
              <w:widowControl/>
              <w:adjustRightInd w:val="0"/>
              <w:snapToGrid w:val="0"/>
              <w:jc w:val="center"/>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监测因子</w:t>
            </w:r>
          </w:p>
        </w:tc>
      </w:tr>
      <w:tr w14:paraId="6B417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6" w:type="pct"/>
            <w:noWrap w:val="0"/>
            <w:vAlign w:val="center"/>
          </w:tcPr>
          <w:p w14:paraId="06FFC709">
            <w:pPr>
              <w:widowControl/>
              <w:adjustRightInd w:val="0"/>
              <w:snapToGrid w:val="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4</w:t>
            </w:r>
          </w:p>
        </w:tc>
        <w:tc>
          <w:tcPr>
            <w:tcW w:w="4353" w:type="pct"/>
            <w:noWrap w:val="0"/>
            <w:vAlign w:val="center"/>
          </w:tcPr>
          <w:p w14:paraId="6C04ACEF">
            <w:pPr>
              <w:widowControl/>
              <w:adjustRightInd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rPr>
              <w:t>GB 36600-2018 表1所列45项基本项目</w:t>
            </w:r>
          </w:p>
        </w:tc>
      </w:tr>
      <w:tr w14:paraId="73D08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noWrap w:val="0"/>
            <w:vAlign w:val="center"/>
          </w:tcPr>
          <w:p w14:paraId="0E79D156">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1</w:t>
            </w: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2</w:t>
            </w: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3</w:t>
            </w:r>
          </w:p>
        </w:tc>
        <w:tc>
          <w:tcPr>
            <w:tcW w:w="4353" w:type="pct"/>
            <w:noWrap w:val="0"/>
            <w:vAlign w:val="center"/>
          </w:tcPr>
          <w:p w14:paraId="4AC965F8">
            <w:pPr>
              <w:widowControl/>
              <w:adjustRightInd w:val="0"/>
              <w:snapToGrid w:val="0"/>
              <w:jc w:val="center"/>
              <w:rPr>
                <w:rFonts w:hint="default" w:ascii="Times New Roman" w:hAnsi="Times New Roman" w:eastAsia="宋体" w:cs="Times New Roman"/>
                <w:color w:val="auto"/>
                <w:kern w:val="0"/>
                <w:sz w:val="21"/>
                <w:szCs w:val="21"/>
                <w:u w:val="none" w:color="auto"/>
                <w:lang w:val="en-US"/>
              </w:rPr>
            </w:pPr>
            <w:r>
              <w:rPr>
                <w:rFonts w:hint="eastAsia" w:ascii="Times New Roman" w:hAnsi="Times New Roman" w:eastAsia="宋体" w:cs="Times New Roman"/>
                <w:color w:val="auto"/>
                <w:kern w:val="0"/>
                <w:sz w:val="21"/>
                <w:szCs w:val="21"/>
                <w:u w:val="none" w:color="auto"/>
                <w:lang w:val="en-US" w:eastAsia="zh-CN"/>
              </w:rPr>
              <w:t>甲苯、邻二甲苯、间二甲苯+对二甲苯</w:t>
            </w:r>
          </w:p>
        </w:tc>
      </w:tr>
      <w:tr w14:paraId="0CCF4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noWrap w:val="0"/>
            <w:vAlign w:val="center"/>
          </w:tcPr>
          <w:p w14:paraId="7314609E">
            <w:pPr>
              <w:widowControl/>
              <w:adjustRightInd w:val="0"/>
              <w:snapToGrid w:val="0"/>
              <w:jc w:val="center"/>
              <w:rPr>
                <w:rFonts w:hint="eastAsia" w:ascii="Times New Roman" w:hAnsi="Times New Roman" w:eastAsia="宋体" w:cs="Times New Roman"/>
                <w:color w:val="auto"/>
                <w:kern w:val="0"/>
                <w:sz w:val="21"/>
                <w:szCs w:val="21"/>
                <w:u w:val="none" w:color="auto"/>
              </w:rPr>
            </w:pP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5</w:t>
            </w:r>
            <w:r>
              <w:rPr>
                <w:rFonts w:hint="eastAsia"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6</w:t>
            </w:r>
          </w:p>
        </w:tc>
        <w:tc>
          <w:tcPr>
            <w:tcW w:w="4353" w:type="pct"/>
            <w:noWrap w:val="0"/>
            <w:vAlign w:val="center"/>
          </w:tcPr>
          <w:p w14:paraId="35E8ED47">
            <w:pPr>
              <w:widowControl/>
              <w:adjustRightInd w:val="0"/>
              <w:snapToGrid w:val="0"/>
              <w:jc w:val="center"/>
              <w:rPr>
                <w:rFonts w:hint="eastAsia"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甲苯、邻二甲苯、间二甲苯+对二甲苯</w:t>
            </w:r>
          </w:p>
        </w:tc>
      </w:tr>
      <w:tr w14:paraId="4290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6" w:type="pct"/>
            <w:noWrap w:val="0"/>
            <w:vAlign w:val="center"/>
          </w:tcPr>
          <w:p w14:paraId="62CD70AC">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同步做理化特性调查</w:t>
            </w:r>
          </w:p>
        </w:tc>
        <w:tc>
          <w:tcPr>
            <w:tcW w:w="4353" w:type="pct"/>
            <w:noWrap w:val="0"/>
            <w:vAlign w:val="center"/>
          </w:tcPr>
          <w:p w14:paraId="138C8A9A">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取</w:t>
            </w:r>
            <w:r>
              <w:rPr>
                <w:rFonts w:hint="eastAsia" w:ascii="Times New Roman" w:hAnsi="Times New Roman" w:eastAsia="宋体" w:cs="Times New Roman"/>
                <w:color w:val="auto"/>
                <w:kern w:val="0"/>
                <w:sz w:val="21"/>
                <w:szCs w:val="21"/>
                <w:u w:val="none" w:color="auto"/>
              </w:rPr>
              <w:t>点</w:t>
            </w:r>
            <w:r>
              <w:rPr>
                <w:rFonts w:hint="default" w:ascii="Times New Roman" w:hAnsi="Times New Roman" w:eastAsia="宋体" w:cs="Times New Roman"/>
                <w:color w:val="auto"/>
                <w:kern w:val="0"/>
                <w:sz w:val="21"/>
                <w:szCs w:val="21"/>
                <w:u w:val="none" w:color="auto"/>
              </w:rPr>
              <w:t>S</w:t>
            </w:r>
            <w:r>
              <w:rPr>
                <w:rFonts w:hint="eastAsia" w:ascii="Times New Roman" w:hAnsi="Times New Roman" w:eastAsia="宋体" w:cs="Times New Roman"/>
                <w:color w:val="auto"/>
                <w:kern w:val="0"/>
                <w:sz w:val="21"/>
                <w:szCs w:val="21"/>
                <w:u w:val="none" w:color="auto"/>
                <w:lang w:val="en-US" w:eastAsia="zh-CN"/>
              </w:rPr>
              <w:t>4</w:t>
            </w:r>
            <w:r>
              <w:rPr>
                <w:rFonts w:hint="default" w:ascii="Times New Roman" w:hAnsi="Times New Roman" w:eastAsia="宋体" w:cs="Times New Roman"/>
                <w:color w:val="auto"/>
                <w:kern w:val="0"/>
                <w:sz w:val="21"/>
                <w:szCs w:val="21"/>
                <w:u w:val="none" w:color="auto"/>
              </w:rPr>
              <w:t>作现场记录（颜色、结构、质地、砂砾含量、其他异物等）和</w:t>
            </w:r>
          </w:p>
          <w:p w14:paraId="2100F67F">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实验室测定（阳离子交换量、氧化还原电位、饱和导水率、土壤容重、孔隙度等），调查结果可按表</w:t>
            </w:r>
            <w:r>
              <w:rPr>
                <w:rFonts w:hint="eastAsia" w:ascii="Times New Roman" w:hAnsi="Times New Roman" w:eastAsia="宋体" w:cs="Times New Roman"/>
                <w:color w:val="auto"/>
                <w:kern w:val="0"/>
                <w:sz w:val="21"/>
                <w:szCs w:val="21"/>
                <w:u w:val="none" w:color="auto"/>
              </w:rPr>
              <w:t>3</w:t>
            </w:r>
            <w:r>
              <w:rPr>
                <w:rFonts w:hint="default" w:ascii="Times New Roman" w:hAnsi="Times New Roman" w:eastAsia="宋体" w:cs="Times New Roman"/>
                <w:color w:val="auto"/>
                <w:kern w:val="0"/>
                <w:sz w:val="21"/>
                <w:szCs w:val="21"/>
                <w:u w:val="none" w:color="auto"/>
              </w:rPr>
              <w:t>-</w:t>
            </w:r>
            <w:r>
              <w:rPr>
                <w:rFonts w:hint="eastAsia" w:ascii="Times New Roman" w:hAnsi="Times New Roman" w:eastAsia="宋体" w:cs="Times New Roman"/>
                <w:color w:val="auto"/>
                <w:kern w:val="0"/>
                <w:sz w:val="21"/>
                <w:szCs w:val="21"/>
                <w:u w:val="none" w:color="auto"/>
              </w:rPr>
              <w:t>6</w:t>
            </w:r>
            <w:r>
              <w:rPr>
                <w:rFonts w:hint="default" w:ascii="Times New Roman" w:hAnsi="Times New Roman" w:eastAsia="宋体" w:cs="Times New Roman"/>
                <w:color w:val="auto"/>
                <w:kern w:val="0"/>
                <w:sz w:val="21"/>
                <w:szCs w:val="21"/>
                <w:u w:val="none" w:color="auto"/>
              </w:rPr>
              <w:t>填写。</w:t>
            </w:r>
          </w:p>
        </w:tc>
      </w:tr>
    </w:tbl>
    <w:p w14:paraId="7E536157">
      <w:pPr>
        <w:pStyle w:val="4"/>
        <w:bidi w:val="0"/>
        <w:rPr>
          <w:color w:val="auto"/>
          <w:u w:val="none" w:color="auto"/>
        </w:rPr>
      </w:pPr>
      <w:bookmarkStart w:id="202" w:name="_Toc3728213"/>
      <w:r>
        <w:rPr>
          <w:color w:val="auto"/>
          <w:u w:val="none" w:color="auto"/>
        </w:rPr>
        <w:t>监测频率和监测时间</w:t>
      </w:r>
      <w:bookmarkEnd w:id="202"/>
    </w:p>
    <w:p w14:paraId="7BCEEACA">
      <w:pPr>
        <w:autoSpaceDE w:val="0"/>
        <w:autoSpaceDN w:val="0"/>
        <w:spacing w:line="360" w:lineRule="auto"/>
        <w:ind w:firstLine="482"/>
        <w:rPr>
          <w:rFonts w:hint="default" w:ascii="Times New Roman" w:hAnsi="Times New Roman" w:eastAsia="宋体" w:cs="Times New Roman"/>
          <w:color w:val="auto"/>
          <w:sz w:val="24"/>
          <w:szCs w:val="24"/>
          <w:u w:val="single" w:color="auto"/>
          <w:lang w:val="en-US" w:eastAsia="zh-CN"/>
        </w:rPr>
      </w:pPr>
      <w:bookmarkStart w:id="203" w:name="_Hlk502223976"/>
      <w:r>
        <w:rPr>
          <w:rFonts w:ascii="Times New Roman" w:hAnsi="Times New Roman" w:eastAsia="宋体" w:cs="Times New Roman"/>
          <w:color w:val="auto"/>
          <w:sz w:val="24"/>
          <w:szCs w:val="24"/>
          <w:u w:val="single" w:color="auto"/>
        </w:rPr>
        <w:t>广西宁大检测技术有限公司于202</w:t>
      </w:r>
      <w:r>
        <w:rPr>
          <w:rFonts w:hint="eastAsia" w:ascii="Times New Roman" w:hAnsi="Times New Roman" w:eastAsia="宋体" w:cs="Times New Roman"/>
          <w:color w:val="auto"/>
          <w:sz w:val="24"/>
          <w:szCs w:val="24"/>
          <w:u w:val="single" w:color="auto"/>
          <w:lang w:val="en-US" w:eastAsia="zh-CN"/>
        </w:rPr>
        <w:t>4</w:t>
      </w:r>
      <w:r>
        <w:rPr>
          <w:rFonts w:ascii="Times New Roman" w:hAnsi="Times New Roman" w:eastAsia="宋体" w:cs="Times New Roman"/>
          <w:color w:val="auto"/>
          <w:sz w:val="24"/>
          <w:szCs w:val="24"/>
          <w:u w:val="single" w:color="auto"/>
        </w:rPr>
        <w:t>年</w:t>
      </w:r>
      <w:r>
        <w:rPr>
          <w:rFonts w:hint="eastAsia" w:ascii="Times New Roman" w:hAnsi="Times New Roman" w:eastAsia="宋体" w:cs="Times New Roman"/>
          <w:color w:val="auto"/>
          <w:sz w:val="24"/>
          <w:szCs w:val="24"/>
          <w:u w:val="single" w:color="auto"/>
          <w:lang w:val="en-US" w:eastAsia="zh-CN"/>
        </w:rPr>
        <w:t>10</w:t>
      </w:r>
      <w:r>
        <w:rPr>
          <w:rFonts w:ascii="Times New Roman" w:hAnsi="Times New Roman" w:eastAsia="宋体" w:cs="Times New Roman"/>
          <w:color w:val="auto"/>
          <w:sz w:val="24"/>
          <w:szCs w:val="24"/>
          <w:u w:val="single" w:color="auto"/>
        </w:rPr>
        <w:t>月</w:t>
      </w:r>
      <w:r>
        <w:rPr>
          <w:rFonts w:hint="eastAsia" w:ascii="Times New Roman" w:hAnsi="Times New Roman" w:eastAsia="宋体" w:cs="Times New Roman"/>
          <w:color w:val="auto"/>
          <w:sz w:val="24"/>
          <w:szCs w:val="24"/>
          <w:u w:val="single" w:color="auto"/>
        </w:rPr>
        <w:t>1</w:t>
      </w:r>
      <w:r>
        <w:rPr>
          <w:rFonts w:hint="eastAsia" w:ascii="Times New Roman" w:hAnsi="Times New Roman" w:eastAsia="宋体" w:cs="Times New Roman"/>
          <w:color w:val="auto"/>
          <w:sz w:val="24"/>
          <w:szCs w:val="24"/>
          <w:u w:val="single" w:color="auto"/>
          <w:lang w:val="en-US" w:eastAsia="zh-CN"/>
        </w:rPr>
        <w:t>6</w:t>
      </w:r>
      <w:r>
        <w:rPr>
          <w:rFonts w:ascii="Times New Roman" w:hAnsi="Times New Roman" w:eastAsia="宋体" w:cs="Times New Roman"/>
          <w:color w:val="auto"/>
          <w:sz w:val="24"/>
          <w:szCs w:val="24"/>
          <w:u w:val="single" w:color="auto"/>
        </w:rPr>
        <w:t>日对采样点各</w:t>
      </w:r>
      <w:r>
        <w:rPr>
          <w:rFonts w:hint="eastAsia" w:ascii="Times New Roman" w:hAnsi="Times New Roman" w:eastAsia="宋体" w:cs="Times New Roman"/>
          <w:color w:val="auto"/>
          <w:sz w:val="24"/>
          <w:szCs w:val="24"/>
          <w:u w:val="single" w:color="auto"/>
          <w:lang w:eastAsia="zh-CN"/>
        </w:rPr>
        <w:t>做</w:t>
      </w:r>
      <w:r>
        <w:rPr>
          <w:rFonts w:ascii="Times New Roman" w:hAnsi="Times New Roman" w:eastAsia="宋体" w:cs="Times New Roman"/>
          <w:color w:val="auto"/>
          <w:sz w:val="24"/>
          <w:szCs w:val="24"/>
          <w:u w:val="single" w:color="auto"/>
        </w:rPr>
        <w:t>一次采样。</w:t>
      </w:r>
      <w:r>
        <w:rPr>
          <w:rFonts w:hint="eastAsia" w:ascii="Times New Roman" w:hAnsi="Times New Roman" w:eastAsia="宋体" w:cs="Times New Roman"/>
          <w:color w:val="auto"/>
          <w:sz w:val="24"/>
          <w:szCs w:val="24"/>
          <w:u w:val="single" w:color="auto"/>
          <w:lang w:val="en-US" w:eastAsia="zh-CN"/>
        </w:rPr>
        <w:t>其中石油烃</w:t>
      </w:r>
      <w:r>
        <w:rPr>
          <w:rFonts w:hint="eastAsia" w:ascii="Times New Roman" w:hAnsi="Times New Roman" w:eastAsia="宋体" w:cs="Times New Roman"/>
          <w:color w:val="auto"/>
          <w:sz w:val="24"/>
          <w:szCs w:val="24"/>
          <w:u w:val="single" w:color="auto"/>
        </w:rPr>
        <w:t>监测数据引用</w:t>
      </w:r>
      <w:r>
        <w:rPr>
          <w:rFonts w:hint="eastAsia" w:ascii="Times New Roman" w:hAnsi="Times New Roman" w:eastAsia="宋体" w:cs="Times New Roman"/>
          <w:color w:val="auto"/>
          <w:sz w:val="24"/>
          <w:szCs w:val="24"/>
          <w:u w:val="single" w:color="auto"/>
          <w:lang w:val="en-US" w:eastAsia="zh-CN"/>
        </w:rPr>
        <w:t>《钦州港大榄坪港区大榄坪作业区1号至3号泊位工程</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重大变动</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环境影响报告书》广西宁大检测技术有限公司</w:t>
      </w:r>
      <w:r>
        <w:rPr>
          <w:rFonts w:hint="eastAsia" w:ascii="Times New Roman" w:hAnsi="Times New Roman" w:eastAsia="宋体" w:cs="Times New Roman"/>
          <w:color w:val="auto"/>
          <w:sz w:val="24"/>
          <w:szCs w:val="24"/>
          <w:u w:val="single" w:color="auto"/>
        </w:rPr>
        <w:t>202</w:t>
      </w:r>
      <w:r>
        <w:rPr>
          <w:rFonts w:hint="eastAsia" w:ascii="Times New Roman" w:hAnsi="Times New Roman" w:eastAsia="宋体" w:cs="Times New Roman"/>
          <w:color w:val="auto"/>
          <w:sz w:val="24"/>
          <w:szCs w:val="24"/>
          <w:u w:val="single" w:color="auto"/>
          <w:lang w:val="en-US" w:eastAsia="zh-CN"/>
        </w:rPr>
        <w:t>4</w:t>
      </w:r>
      <w:r>
        <w:rPr>
          <w:rFonts w:hint="eastAsia" w:ascii="Times New Roman" w:hAnsi="Times New Roman" w:eastAsia="宋体" w:cs="Times New Roman"/>
          <w:color w:val="auto"/>
          <w:sz w:val="24"/>
          <w:szCs w:val="24"/>
          <w:u w:val="single" w:color="auto"/>
        </w:rPr>
        <w:t>年</w:t>
      </w:r>
      <w:r>
        <w:rPr>
          <w:rFonts w:hint="eastAsia" w:ascii="Times New Roman" w:hAnsi="Times New Roman" w:eastAsia="宋体" w:cs="Times New Roman"/>
          <w:color w:val="auto"/>
          <w:sz w:val="24"/>
          <w:szCs w:val="24"/>
          <w:u w:val="single" w:color="auto"/>
          <w:lang w:val="en-US" w:eastAsia="zh-CN"/>
        </w:rPr>
        <w:t>3</w:t>
      </w:r>
      <w:r>
        <w:rPr>
          <w:rFonts w:hint="eastAsia" w:ascii="Times New Roman" w:hAnsi="Times New Roman" w:eastAsia="宋体" w:cs="Times New Roman"/>
          <w:color w:val="auto"/>
          <w:sz w:val="24"/>
          <w:szCs w:val="24"/>
          <w:u w:val="single" w:color="auto"/>
        </w:rPr>
        <w:t>月</w:t>
      </w:r>
      <w:r>
        <w:rPr>
          <w:rFonts w:hint="eastAsia" w:ascii="Times New Roman" w:hAnsi="Times New Roman" w:eastAsia="宋体" w:cs="Times New Roman"/>
          <w:color w:val="auto"/>
          <w:sz w:val="24"/>
          <w:szCs w:val="24"/>
          <w:u w:val="single" w:color="auto"/>
          <w:lang w:val="en-US" w:eastAsia="zh-CN"/>
        </w:rPr>
        <w:t>20</w:t>
      </w:r>
      <w:r>
        <w:rPr>
          <w:rFonts w:hint="eastAsia" w:ascii="Times New Roman" w:hAnsi="Times New Roman" w:eastAsia="宋体" w:cs="Times New Roman"/>
          <w:color w:val="auto"/>
          <w:sz w:val="24"/>
          <w:szCs w:val="24"/>
          <w:u w:val="single" w:color="auto"/>
        </w:rPr>
        <w:t>日的监测数据。</w:t>
      </w:r>
    </w:p>
    <w:bookmarkEnd w:id="203"/>
    <w:p w14:paraId="23795DFF">
      <w:pPr>
        <w:pStyle w:val="4"/>
        <w:bidi w:val="0"/>
        <w:rPr>
          <w:color w:val="auto"/>
          <w:u w:val="none" w:color="auto"/>
        </w:rPr>
      </w:pPr>
      <w:bookmarkStart w:id="204" w:name="_Toc3728214"/>
      <w:bookmarkStart w:id="205" w:name="_Toc413081352"/>
      <w:r>
        <w:rPr>
          <w:color w:val="auto"/>
          <w:u w:val="none" w:color="auto"/>
        </w:rPr>
        <w:t>监测分析方法</w:t>
      </w:r>
      <w:bookmarkEnd w:id="204"/>
      <w:bookmarkEnd w:id="205"/>
    </w:p>
    <w:p w14:paraId="002AE90E">
      <w:pPr>
        <w:autoSpaceDE w:val="0"/>
        <w:autoSpaceDN w:val="0"/>
        <w:spacing w:line="360" w:lineRule="auto"/>
        <w:ind w:firstLine="482"/>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土壤</w:t>
      </w:r>
      <w:r>
        <w:rPr>
          <w:rFonts w:ascii="Times New Roman" w:hAnsi="Times New Roman" w:eastAsia="宋体" w:cs="Times New Roman"/>
          <w:color w:val="auto"/>
          <w:sz w:val="24"/>
          <w:szCs w:val="24"/>
          <w:u w:val="none" w:color="auto"/>
        </w:rPr>
        <w:t>分析参照国家环保总局的《环境监测分析方法》和《土壤元素的近代分析方法》中相应的规定进行，详见表</w:t>
      </w:r>
      <w:r>
        <w:rPr>
          <w:rFonts w:hint="eastAsia" w:ascii="Times New Roman" w:hAnsi="Times New Roman" w:eastAsia="宋体" w:cs="Times New Roman"/>
          <w:color w:val="auto"/>
          <w:sz w:val="24"/>
          <w:szCs w:val="24"/>
          <w:u w:val="none" w:color="auto"/>
        </w:rPr>
        <w:t>3.</w:t>
      </w:r>
      <w:r>
        <w:rPr>
          <w:rFonts w:hint="eastAsia" w:ascii="Times New Roman" w:hAnsi="Times New Roman" w:eastAsia="宋体" w:cs="Times New Roman"/>
          <w:color w:val="auto"/>
          <w:sz w:val="24"/>
          <w:szCs w:val="24"/>
          <w:u w:val="none" w:color="auto"/>
          <w:lang w:val="en-US" w:eastAsia="zh-CN"/>
        </w:rPr>
        <w:t>6</w:t>
      </w:r>
      <w:r>
        <w:rPr>
          <w:rFonts w:ascii="Times New Roman" w:hAnsi="Times New Roman" w:eastAsia="宋体" w:cs="Times New Roman"/>
          <w:color w:val="auto"/>
          <w:sz w:val="24"/>
          <w:szCs w:val="24"/>
          <w:u w:val="none" w:color="auto"/>
        </w:rPr>
        <w:t>-2。</w:t>
      </w:r>
    </w:p>
    <w:p w14:paraId="46977C3D">
      <w:pPr>
        <w:pStyle w:val="6"/>
        <w:bidi w:val="0"/>
        <w:rPr>
          <w:color w:val="auto"/>
          <w:u w:val="none" w:color="auto"/>
        </w:rPr>
      </w:pPr>
      <w:r>
        <w:rPr>
          <w:color w:val="auto"/>
          <w:u w:val="none" w:color="auto"/>
        </w:rPr>
        <w:t>土壤监测分析方法</w:t>
      </w:r>
    </w:p>
    <w:tbl>
      <w:tblPr>
        <w:tblStyle w:val="37"/>
        <w:tblW w:w="92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3"/>
        <w:gridCol w:w="1556"/>
        <w:gridCol w:w="5685"/>
        <w:gridCol w:w="1538"/>
      </w:tblGrid>
      <w:tr w14:paraId="0AFF4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03" w:type="dxa"/>
            <w:vAlign w:val="center"/>
          </w:tcPr>
          <w:p w14:paraId="488C7D1E">
            <w:pPr>
              <w:adjustRightInd w:val="0"/>
              <w:snapToGrid w:val="0"/>
              <w:jc w:val="center"/>
              <w:rPr>
                <w:rFonts w:ascii="Times New Roman" w:hAnsi="Times New Roman" w:eastAsia="宋体" w:cs="Times New Roman"/>
                <w:bCs/>
                <w:color w:val="auto"/>
                <w:szCs w:val="21"/>
                <w:u w:val="none" w:color="auto"/>
              </w:rPr>
            </w:pPr>
            <w:bookmarkStart w:id="206" w:name="_Toc3728215"/>
            <w:r>
              <w:rPr>
                <w:rFonts w:ascii="Times New Roman" w:hAnsi="Times New Roman" w:eastAsia="宋体" w:cs="Times New Roman"/>
                <w:bCs/>
                <w:color w:val="auto"/>
                <w:szCs w:val="21"/>
                <w:u w:val="none" w:color="auto"/>
              </w:rPr>
              <w:t>序号</w:t>
            </w:r>
          </w:p>
        </w:tc>
        <w:tc>
          <w:tcPr>
            <w:tcW w:w="1556" w:type="dxa"/>
            <w:vAlign w:val="center"/>
          </w:tcPr>
          <w:p w14:paraId="02321A41">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监测项目</w:t>
            </w:r>
          </w:p>
        </w:tc>
        <w:tc>
          <w:tcPr>
            <w:tcW w:w="5685" w:type="dxa"/>
            <w:vAlign w:val="center"/>
          </w:tcPr>
          <w:p w14:paraId="76BA3E8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分析方法</w:t>
            </w:r>
          </w:p>
        </w:tc>
        <w:tc>
          <w:tcPr>
            <w:tcW w:w="1538" w:type="dxa"/>
            <w:vAlign w:val="center"/>
          </w:tcPr>
          <w:p w14:paraId="3A60F14A">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检出限</w:t>
            </w:r>
          </w:p>
        </w:tc>
      </w:tr>
      <w:tr w14:paraId="0D278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6BAD4D2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w:t>
            </w:r>
          </w:p>
        </w:tc>
        <w:tc>
          <w:tcPr>
            <w:tcW w:w="1556" w:type="dxa"/>
            <w:vAlign w:val="center"/>
          </w:tcPr>
          <w:p w14:paraId="35F5EDD4">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铜</w:t>
            </w:r>
          </w:p>
        </w:tc>
        <w:tc>
          <w:tcPr>
            <w:tcW w:w="5685" w:type="dxa"/>
            <w:vAlign w:val="center"/>
          </w:tcPr>
          <w:p w14:paraId="73847DF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土壤质量 铜、锌的测定</w:t>
            </w:r>
          </w:p>
          <w:p w14:paraId="05BF125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火焰原子吸收分光光度法  GB/T17138-1997</w:t>
            </w:r>
          </w:p>
        </w:tc>
        <w:tc>
          <w:tcPr>
            <w:tcW w:w="1538" w:type="dxa"/>
            <w:vAlign w:val="center"/>
          </w:tcPr>
          <w:p w14:paraId="38ADF0EA">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1.0mg/kg</w:t>
            </w:r>
          </w:p>
        </w:tc>
      </w:tr>
      <w:tr w14:paraId="4260E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74210AA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w:t>
            </w:r>
          </w:p>
        </w:tc>
        <w:tc>
          <w:tcPr>
            <w:tcW w:w="1556" w:type="dxa"/>
            <w:vAlign w:val="center"/>
          </w:tcPr>
          <w:p w14:paraId="7EB0148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铅</w:t>
            </w:r>
          </w:p>
        </w:tc>
        <w:tc>
          <w:tcPr>
            <w:tcW w:w="5685" w:type="dxa"/>
            <w:vMerge w:val="restart"/>
            <w:vAlign w:val="center"/>
          </w:tcPr>
          <w:p w14:paraId="3139AE9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土壤质量 铅、镉的测定</w:t>
            </w:r>
          </w:p>
          <w:p w14:paraId="1D916210">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石墨炉原子吸收分光光度法  GB/T17141-1997</w:t>
            </w:r>
          </w:p>
        </w:tc>
        <w:tc>
          <w:tcPr>
            <w:tcW w:w="1538" w:type="dxa"/>
            <w:vAlign w:val="center"/>
          </w:tcPr>
          <w:p w14:paraId="104EC51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0.1mg/kg</w:t>
            </w:r>
          </w:p>
        </w:tc>
      </w:tr>
      <w:tr w14:paraId="1DF6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6FC66931">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3</w:t>
            </w:r>
          </w:p>
        </w:tc>
        <w:tc>
          <w:tcPr>
            <w:tcW w:w="1556" w:type="dxa"/>
            <w:vAlign w:val="center"/>
          </w:tcPr>
          <w:p w14:paraId="126453D0">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镉</w:t>
            </w:r>
          </w:p>
        </w:tc>
        <w:tc>
          <w:tcPr>
            <w:tcW w:w="5685" w:type="dxa"/>
            <w:vMerge w:val="continue"/>
            <w:vAlign w:val="center"/>
          </w:tcPr>
          <w:p w14:paraId="42EABA01">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0B26D49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0.01mg/kg</w:t>
            </w:r>
          </w:p>
        </w:tc>
      </w:tr>
      <w:tr w14:paraId="7DF7F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5EC57E0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4</w:t>
            </w:r>
          </w:p>
        </w:tc>
        <w:tc>
          <w:tcPr>
            <w:tcW w:w="1556" w:type="dxa"/>
            <w:vAlign w:val="center"/>
          </w:tcPr>
          <w:p w14:paraId="73ED4AAA">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砷</w:t>
            </w:r>
          </w:p>
        </w:tc>
        <w:tc>
          <w:tcPr>
            <w:tcW w:w="5685" w:type="dxa"/>
            <w:vMerge w:val="restart"/>
            <w:vAlign w:val="center"/>
          </w:tcPr>
          <w:p w14:paraId="2DBAF93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土壤质量 总汞、总砷、总铅的测定  原子荧光法  GB/T 22105.2-2008</w:t>
            </w:r>
          </w:p>
        </w:tc>
        <w:tc>
          <w:tcPr>
            <w:tcW w:w="1538" w:type="dxa"/>
            <w:vAlign w:val="center"/>
          </w:tcPr>
          <w:p w14:paraId="6C0D9F55">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0.01mg/kg</w:t>
            </w:r>
          </w:p>
        </w:tc>
      </w:tr>
      <w:tr w14:paraId="41DD4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3AE93C6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5</w:t>
            </w:r>
          </w:p>
        </w:tc>
        <w:tc>
          <w:tcPr>
            <w:tcW w:w="1556" w:type="dxa"/>
            <w:vAlign w:val="center"/>
          </w:tcPr>
          <w:p w14:paraId="3949AF3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汞</w:t>
            </w:r>
          </w:p>
        </w:tc>
        <w:tc>
          <w:tcPr>
            <w:tcW w:w="5685" w:type="dxa"/>
            <w:vMerge w:val="continue"/>
            <w:vAlign w:val="center"/>
          </w:tcPr>
          <w:p w14:paraId="684F99CA">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25964B0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0.002mg/kg</w:t>
            </w:r>
          </w:p>
        </w:tc>
      </w:tr>
      <w:tr w14:paraId="56F94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027AD36F">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6</w:t>
            </w:r>
          </w:p>
        </w:tc>
        <w:tc>
          <w:tcPr>
            <w:tcW w:w="1556" w:type="dxa"/>
            <w:vAlign w:val="center"/>
          </w:tcPr>
          <w:p w14:paraId="0AC7D7CA">
            <w:pPr>
              <w:adjustRightInd w:val="0"/>
              <w:snapToGrid w:val="0"/>
              <w:jc w:val="center"/>
              <w:rPr>
                <w:rFonts w:ascii="Times New Roman" w:hAnsi="Times New Roman" w:eastAsia="宋体" w:cs="Times New Roman"/>
                <w:bCs/>
                <w:color w:val="auto"/>
                <w:szCs w:val="21"/>
                <w:u w:val="none" w:color="auto"/>
              </w:rPr>
            </w:pPr>
            <w:r>
              <w:rPr>
                <w:rFonts w:hint="eastAsia" w:ascii="Times New Roman" w:hAnsi="Times New Roman" w:eastAsia="宋体" w:cs="Times New Roman"/>
                <w:bCs/>
                <w:color w:val="auto"/>
                <w:szCs w:val="21"/>
                <w:u w:val="none" w:color="auto"/>
              </w:rPr>
              <w:t>六价</w:t>
            </w:r>
            <w:r>
              <w:rPr>
                <w:rFonts w:ascii="Times New Roman" w:hAnsi="Times New Roman" w:eastAsia="宋体" w:cs="Times New Roman"/>
                <w:bCs/>
                <w:color w:val="auto"/>
                <w:szCs w:val="21"/>
                <w:u w:val="none" w:color="auto"/>
              </w:rPr>
              <w:t>铬</w:t>
            </w:r>
          </w:p>
        </w:tc>
        <w:tc>
          <w:tcPr>
            <w:tcW w:w="5685" w:type="dxa"/>
            <w:vAlign w:val="center"/>
          </w:tcPr>
          <w:p w14:paraId="69F31A83">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土壤和沉积物</w:t>
            </w:r>
            <w:r>
              <w:rPr>
                <w:rFonts w:hint="eastAsia" w:ascii="Times New Roman" w:hAnsi="Times New Roman" w:eastAsia="宋体" w:cs="Times New Roman"/>
                <w:bCs/>
                <w:color w:val="auto"/>
                <w:szCs w:val="21"/>
                <w:u w:val="none" w:color="auto"/>
              </w:rPr>
              <w:t xml:space="preserve"> </w:t>
            </w:r>
            <w:r>
              <w:rPr>
                <w:rFonts w:ascii="Times New Roman" w:hAnsi="Times New Roman" w:eastAsia="宋体" w:cs="Times New Roman"/>
                <w:bCs/>
                <w:color w:val="auto"/>
                <w:szCs w:val="21"/>
                <w:u w:val="none" w:color="auto"/>
              </w:rPr>
              <w:t>六价铬的测定</w:t>
            </w:r>
            <w:r>
              <w:rPr>
                <w:rFonts w:hint="eastAsia" w:ascii="Times New Roman" w:hAnsi="Times New Roman" w:eastAsia="宋体" w:cs="Times New Roman"/>
                <w:bCs/>
                <w:color w:val="auto"/>
                <w:szCs w:val="21"/>
                <w:u w:val="none" w:color="auto"/>
              </w:rPr>
              <w:t xml:space="preserve"> </w:t>
            </w:r>
            <w:r>
              <w:rPr>
                <w:rFonts w:ascii="Times New Roman" w:hAnsi="Times New Roman" w:eastAsia="宋体" w:cs="Times New Roman"/>
                <w:bCs/>
                <w:color w:val="auto"/>
                <w:szCs w:val="21"/>
                <w:u w:val="none" w:color="auto"/>
              </w:rPr>
              <w:t>碱溶液提取-火焰原子</w:t>
            </w:r>
          </w:p>
          <w:p w14:paraId="2D837C0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 xml:space="preserve">吸收分光光度法HJ 1082-2019 </w:t>
            </w:r>
          </w:p>
        </w:tc>
        <w:tc>
          <w:tcPr>
            <w:tcW w:w="1538" w:type="dxa"/>
            <w:vAlign w:val="center"/>
          </w:tcPr>
          <w:p w14:paraId="56BF218F">
            <w:pPr>
              <w:adjustRightInd w:val="0"/>
              <w:snapToGrid w:val="0"/>
              <w:jc w:val="center"/>
              <w:rPr>
                <w:rFonts w:ascii="Times New Roman" w:hAnsi="Times New Roman" w:eastAsia="宋体" w:cs="Times New Roman"/>
                <w:bCs/>
                <w:color w:val="auto"/>
                <w:szCs w:val="21"/>
                <w:u w:val="none" w:color="auto"/>
              </w:rPr>
            </w:pPr>
            <w:r>
              <w:rPr>
                <w:rFonts w:hint="eastAsia" w:ascii="Times New Roman" w:hAnsi="Times New Roman" w:eastAsia="宋体" w:cs="Times New Roman"/>
                <w:bCs/>
                <w:color w:val="auto"/>
                <w:szCs w:val="21"/>
                <w:u w:val="none" w:color="auto"/>
              </w:rPr>
              <w:t>0.5</w:t>
            </w:r>
            <w:r>
              <w:rPr>
                <w:rFonts w:ascii="Times New Roman" w:hAnsi="Times New Roman" w:eastAsia="宋体" w:cs="Times New Roman"/>
                <w:bCs/>
                <w:color w:val="auto"/>
                <w:szCs w:val="21"/>
                <w:u w:val="none" w:color="auto"/>
              </w:rPr>
              <w:t>mg/kg</w:t>
            </w:r>
          </w:p>
        </w:tc>
      </w:tr>
      <w:tr w14:paraId="6B4DF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58891FC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7</w:t>
            </w:r>
          </w:p>
        </w:tc>
        <w:tc>
          <w:tcPr>
            <w:tcW w:w="1556" w:type="dxa"/>
            <w:vAlign w:val="center"/>
          </w:tcPr>
          <w:p w14:paraId="7D15E54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镍</w:t>
            </w:r>
          </w:p>
        </w:tc>
        <w:tc>
          <w:tcPr>
            <w:tcW w:w="5685" w:type="dxa"/>
            <w:vAlign w:val="center"/>
          </w:tcPr>
          <w:p w14:paraId="24436315">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土壤质量 镍的测定</w:t>
            </w:r>
          </w:p>
          <w:p w14:paraId="3784FFFA">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火焰原子吸收分光光度法GB/T17139-1997</w:t>
            </w:r>
          </w:p>
        </w:tc>
        <w:tc>
          <w:tcPr>
            <w:tcW w:w="1538" w:type="dxa"/>
            <w:vAlign w:val="center"/>
          </w:tcPr>
          <w:p w14:paraId="6EB8523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5mg/kg</w:t>
            </w:r>
          </w:p>
        </w:tc>
      </w:tr>
      <w:tr w14:paraId="481D8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72BE92D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8</w:t>
            </w:r>
          </w:p>
        </w:tc>
        <w:tc>
          <w:tcPr>
            <w:tcW w:w="1556" w:type="dxa"/>
            <w:vAlign w:val="center"/>
          </w:tcPr>
          <w:p w14:paraId="19B1DF0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四氯化碳</w:t>
            </w:r>
          </w:p>
        </w:tc>
        <w:tc>
          <w:tcPr>
            <w:tcW w:w="5685" w:type="dxa"/>
            <w:vMerge w:val="restart"/>
            <w:vAlign w:val="center"/>
          </w:tcPr>
          <w:p w14:paraId="0DBE25B4">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土壤和沉积物 挥发性有机物的测定 吹扫捕集/气相色谱-质谱法 HJ 605-2011</w:t>
            </w:r>
          </w:p>
        </w:tc>
        <w:tc>
          <w:tcPr>
            <w:tcW w:w="1538" w:type="dxa"/>
            <w:vAlign w:val="center"/>
          </w:tcPr>
          <w:p w14:paraId="65130949">
            <w:pPr>
              <w:widowControl/>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0.0013 mg/kg</w:t>
            </w:r>
          </w:p>
        </w:tc>
      </w:tr>
      <w:tr w14:paraId="710C9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350C107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9</w:t>
            </w:r>
          </w:p>
        </w:tc>
        <w:tc>
          <w:tcPr>
            <w:tcW w:w="1556" w:type="dxa"/>
            <w:vAlign w:val="center"/>
          </w:tcPr>
          <w:p w14:paraId="6936E474">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氯仿</w:t>
            </w:r>
          </w:p>
        </w:tc>
        <w:tc>
          <w:tcPr>
            <w:tcW w:w="5685" w:type="dxa"/>
            <w:vMerge w:val="continue"/>
            <w:vAlign w:val="center"/>
          </w:tcPr>
          <w:p w14:paraId="05B14ABD">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04025E3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0.0011mg/kg</w:t>
            </w:r>
          </w:p>
        </w:tc>
      </w:tr>
      <w:tr w14:paraId="3D684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28E7431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10</w:t>
            </w:r>
          </w:p>
        </w:tc>
        <w:tc>
          <w:tcPr>
            <w:tcW w:w="1556" w:type="dxa"/>
            <w:vAlign w:val="center"/>
          </w:tcPr>
          <w:p w14:paraId="3F80D7AF">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氯甲烷</w:t>
            </w:r>
          </w:p>
        </w:tc>
        <w:tc>
          <w:tcPr>
            <w:tcW w:w="5685" w:type="dxa"/>
            <w:vMerge w:val="continue"/>
            <w:vAlign w:val="center"/>
          </w:tcPr>
          <w:p w14:paraId="310467EC">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0ECD2DA6">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0.0010 mg/kg</w:t>
            </w:r>
          </w:p>
        </w:tc>
      </w:tr>
      <w:tr w14:paraId="13030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Align w:val="center"/>
          </w:tcPr>
          <w:p w14:paraId="2999FA4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w:t>
            </w:r>
          </w:p>
        </w:tc>
        <w:tc>
          <w:tcPr>
            <w:tcW w:w="1556" w:type="dxa"/>
            <w:vAlign w:val="center"/>
          </w:tcPr>
          <w:p w14:paraId="6717C2E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1,1-二氯乙烷</w:t>
            </w:r>
          </w:p>
        </w:tc>
        <w:tc>
          <w:tcPr>
            <w:tcW w:w="5685" w:type="dxa"/>
            <w:vMerge w:val="continue"/>
            <w:vAlign w:val="center"/>
          </w:tcPr>
          <w:p w14:paraId="49678B29">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67DE0D3B">
            <w:pPr>
              <w:widowControl/>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0.0012mg/kg</w:t>
            </w:r>
          </w:p>
        </w:tc>
      </w:tr>
      <w:tr w14:paraId="02A5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9D0BC45">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12</w:t>
            </w:r>
          </w:p>
        </w:tc>
        <w:tc>
          <w:tcPr>
            <w:tcW w:w="1556" w:type="dxa"/>
            <w:vAlign w:val="center"/>
          </w:tcPr>
          <w:p w14:paraId="0E1D4C6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1,2-二氯乙烷</w:t>
            </w:r>
          </w:p>
        </w:tc>
        <w:tc>
          <w:tcPr>
            <w:tcW w:w="5685" w:type="dxa"/>
            <w:vMerge w:val="restart"/>
            <w:vAlign w:val="center"/>
          </w:tcPr>
          <w:p w14:paraId="3AF71563">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土壤和沉积物 挥发性有机物的测定 吹扫捕集/气相色谱-质谱法 HJ 605-2011</w:t>
            </w:r>
          </w:p>
        </w:tc>
        <w:tc>
          <w:tcPr>
            <w:tcW w:w="1538" w:type="dxa"/>
            <w:vAlign w:val="center"/>
          </w:tcPr>
          <w:p w14:paraId="4FE6FC0D">
            <w:pPr>
              <w:widowControl/>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0.0013mg/kg</w:t>
            </w:r>
          </w:p>
        </w:tc>
      </w:tr>
      <w:tr w14:paraId="3209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5FF3F8A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13</w:t>
            </w:r>
          </w:p>
        </w:tc>
        <w:tc>
          <w:tcPr>
            <w:tcW w:w="1556" w:type="dxa"/>
            <w:vAlign w:val="center"/>
          </w:tcPr>
          <w:p w14:paraId="1A37670E">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1,1-二氯乙烯</w:t>
            </w:r>
          </w:p>
        </w:tc>
        <w:tc>
          <w:tcPr>
            <w:tcW w:w="5685" w:type="dxa"/>
            <w:vMerge w:val="continue"/>
            <w:vAlign w:val="center"/>
          </w:tcPr>
          <w:p w14:paraId="140BA9B0">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08990350">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0.001mg/kg</w:t>
            </w:r>
          </w:p>
        </w:tc>
      </w:tr>
      <w:tr w14:paraId="2E0EE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60BEB52F">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14</w:t>
            </w:r>
          </w:p>
        </w:tc>
        <w:tc>
          <w:tcPr>
            <w:tcW w:w="1556" w:type="dxa"/>
            <w:vAlign w:val="center"/>
          </w:tcPr>
          <w:p w14:paraId="5AAE492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（顺）1,2-二氯乙烯</w:t>
            </w:r>
          </w:p>
        </w:tc>
        <w:tc>
          <w:tcPr>
            <w:tcW w:w="5685" w:type="dxa"/>
            <w:vMerge w:val="continue"/>
            <w:vAlign w:val="center"/>
          </w:tcPr>
          <w:p w14:paraId="17656214">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2BFE29F6">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0.0013mg/kg</w:t>
            </w:r>
          </w:p>
        </w:tc>
      </w:tr>
      <w:tr w14:paraId="61C7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2977B77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15</w:t>
            </w:r>
          </w:p>
        </w:tc>
        <w:tc>
          <w:tcPr>
            <w:tcW w:w="1556" w:type="dxa"/>
            <w:vAlign w:val="center"/>
          </w:tcPr>
          <w:p w14:paraId="2F1CFFE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（反）1,2-二氯乙烯</w:t>
            </w:r>
          </w:p>
        </w:tc>
        <w:tc>
          <w:tcPr>
            <w:tcW w:w="5685" w:type="dxa"/>
            <w:vMerge w:val="continue"/>
            <w:vAlign w:val="center"/>
          </w:tcPr>
          <w:p w14:paraId="6A2ED6E8">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3EBCF4A6">
            <w:pPr>
              <w:widowControl/>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0.0014mg/kg</w:t>
            </w:r>
          </w:p>
        </w:tc>
      </w:tr>
      <w:tr w14:paraId="7571A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54119976">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16</w:t>
            </w:r>
          </w:p>
        </w:tc>
        <w:tc>
          <w:tcPr>
            <w:tcW w:w="1556" w:type="dxa"/>
            <w:vAlign w:val="center"/>
          </w:tcPr>
          <w:p w14:paraId="060FC8C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二氯甲烷</w:t>
            </w:r>
          </w:p>
        </w:tc>
        <w:tc>
          <w:tcPr>
            <w:tcW w:w="5685" w:type="dxa"/>
            <w:vMerge w:val="continue"/>
            <w:vAlign w:val="center"/>
          </w:tcPr>
          <w:p w14:paraId="6A90FB20">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0F8063A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0.0015mg/kg</w:t>
            </w:r>
          </w:p>
        </w:tc>
      </w:tr>
      <w:tr w14:paraId="0381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73F5C4E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17</w:t>
            </w:r>
          </w:p>
        </w:tc>
        <w:tc>
          <w:tcPr>
            <w:tcW w:w="1556" w:type="dxa"/>
            <w:vAlign w:val="center"/>
          </w:tcPr>
          <w:p w14:paraId="447B68F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1,2-二氯丙烷</w:t>
            </w:r>
          </w:p>
        </w:tc>
        <w:tc>
          <w:tcPr>
            <w:tcW w:w="5685" w:type="dxa"/>
            <w:vMerge w:val="continue"/>
            <w:vAlign w:val="center"/>
          </w:tcPr>
          <w:p w14:paraId="29787568">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3B69897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0.0011mg/kg</w:t>
            </w:r>
          </w:p>
        </w:tc>
      </w:tr>
      <w:tr w14:paraId="5345F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5FB39A66">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18</w:t>
            </w:r>
          </w:p>
        </w:tc>
        <w:tc>
          <w:tcPr>
            <w:tcW w:w="1556" w:type="dxa"/>
            <w:vAlign w:val="center"/>
          </w:tcPr>
          <w:p w14:paraId="6542745A">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1,1,1,2,-四氯乙烷</w:t>
            </w:r>
          </w:p>
        </w:tc>
        <w:tc>
          <w:tcPr>
            <w:tcW w:w="5685" w:type="dxa"/>
            <w:vMerge w:val="continue"/>
            <w:vAlign w:val="center"/>
          </w:tcPr>
          <w:p w14:paraId="7137E87D">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1E5E4A6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0.0012mg/kg</w:t>
            </w:r>
          </w:p>
        </w:tc>
      </w:tr>
      <w:tr w14:paraId="4F9C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28EF97BC">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19</w:t>
            </w:r>
          </w:p>
        </w:tc>
        <w:tc>
          <w:tcPr>
            <w:tcW w:w="1556" w:type="dxa"/>
            <w:vAlign w:val="center"/>
          </w:tcPr>
          <w:p w14:paraId="31B7B74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1,1,2,2,-四氯乙烷</w:t>
            </w:r>
          </w:p>
        </w:tc>
        <w:tc>
          <w:tcPr>
            <w:tcW w:w="5685" w:type="dxa"/>
            <w:vMerge w:val="continue"/>
            <w:vAlign w:val="center"/>
          </w:tcPr>
          <w:p w14:paraId="2C72F686">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372B336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0.0012mg/kg</w:t>
            </w:r>
          </w:p>
        </w:tc>
      </w:tr>
      <w:tr w14:paraId="3D491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B046DAC">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20</w:t>
            </w:r>
          </w:p>
        </w:tc>
        <w:tc>
          <w:tcPr>
            <w:tcW w:w="1556" w:type="dxa"/>
            <w:vAlign w:val="center"/>
          </w:tcPr>
          <w:p w14:paraId="63B7FE50">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四氯乙烯</w:t>
            </w:r>
          </w:p>
        </w:tc>
        <w:tc>
          <w:tcPr>
            <w:tcW w:w="5685" w:type="dxa"/>
            <w:vMerge w:val="continue"/>
            <w:vAlign w:val="center"/>
          </w:tcPr>
          <w:p w14:paraId="7227604C">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6DBAC6FC">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0.0014mg/kg</w:t>
            </w:r>
          </w:p>
        </w:tc>
      </w:tr>
      <w:tr w14:paraId="273E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1861317F">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21</w:t>
            </w:r>
          </w:p>
        </w:tc>
        <w:tc>
          <w:tcPr>
            <w:tcW w:w="1556" w:type="dxa"/>
            <w:vAlign w:val="center"/>
          </w:tcPr>
          <w:p w14:paraId="42C0DA7B">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1,1,1-三氯乙烷</w:t>
            </w:r>
          </w:p>
        </w:tc>
        <w:tc>
          <w:tcPr>
            <w:tcW w:w="5685" w:type="dxa"/>
            <w:vMerge w:val="continue"/>
            <w:vAlign w:val="center"/>
          </w:tcPr>
          <w:p w14:paraId="6CB0C01D">
            <w:pPr>
              <w:adjustRightInd w:val="0"/>
              <w:snapToGrid w:val="0"/>
              <w:jc w:val="center"/>
              <w:rPr>
                <w:rFonts w:ascii="Times New Roman" w:hAnsi="Times New Roman" w:eastAsia="宋体" w:cs="Times New Roman"/>
                <w:bCs/>
                <w:color w:val="auto"/>
                <w:szCs w:val="21"/>
                <w:u w:val="none" w:color="auto"/>
              </w:rPr>
            </w:pPr>
          </w:p>
        </w:tc>
        <w:tc>
          <w:tcPr>
            <w:tcW w:w="1538" w:type="dxa"/>
            <w:vAlign w:val="center"/>
          </w:tcPr>
          <w:p w14:paraId="4454A78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0.0013mg/kg</w:t>
            </w:r>
          </w:p>
        </w:tc>
      </w:tr>
      <w:tr w14:paraId="750D7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3C0565AC">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22</w:t>
            </w:r>
          </w:p>
        </w:tc>
        <w:tc>
          <w:tcPr>
            <w:tcW w:w="1556" w:type="dxa"/>
            <w:vAlign w:val="center"/>
          </w:tcPr>
          <w:p w14:paraId="247A3B2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1,1,2-三氯乙烷</w:t>
            </w:r>
          </w:p>
        </w:tc>
        <w:tc>
          <w:tcPr>
            <w:tcW w:w="5685" w:type="dxa"/>
            <w:vMerge w:val="continue"/>
            <w:vAlign w:val="center"/>
          </w:tcPr>
          <w:p w14:paraId="7C1FEBAA">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7D9E3D8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35D5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42E29115">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23</w:t>
            </w:r>
          </w:p>
        </w:tc>
        <w:tc>
          <w:tcPr>
            <w:tcW w:w="1556" w:type="dxa"/>
            <w:vAlign w:val="center"/>
          </w:tcPr>
          <w:p w14:paraId="18B314F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三氯乙烯</w:t>
            </w:r>
          </w:p>
        </w:tc>
        <w:tc>
          <w:tcPr>
            <w:tcW w:w="5685" w:type="dxa"/>
            <w:vMerge w:val="continue"/>
            <w:vAlign w:val="center"/>
          </w:tcPr>
          <w:p w14:paraId="4CD2FEC1">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14DE158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522AE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4451D30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24</w:t>
            </w:r>
          </w:p>
        </w:tc>
        <w:tc>
          <w:tcPr>
            <w:tcW w:w="1556" w:type="dxa"/>
            <w:vAlign w:val="center"/>
          </w:tcPr>
          <w:p w14:paraId="7F980E09">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1,2,3-三氯丙烷</w:t>
            </w:r>
          </w:p>
        </w:tc>
        <w:tc>
          <w:tcPr>
            <w:tcW w:w="5685" w:type="dxa"/>
            <w:vMerge w:val="continue"/>
            <w:vAlign w:val="center"/>
          </w:tcPr>
          <w:p w14:paraId="1CEDDD29">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7687BF5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6E994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F8813F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25</w:t>
            </w:r>
          </w:p>
        </w:tc>
        <w:tc>
          <w:tcPr>
            <w:tcW w:w="1556" w:type="dxa"/>
            <w:vAlign w:val="center"/>
          </w:tcPr>
          <w:p w14:paraId="0D158BA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氯乙烯</w:t>
            </w:r>
          </w:p>
        </w:tc>
        <w:tc>
          <w:tcPr>
            <w:tcW w:w="5685" w:type="dxa"/>
            <w:vMerge w:val="continue"/>
            <w:vAlign w:val="center"/>
          </w:tcPr>
          <w:p w14:paraId="476FAED9">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560BF7A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0.0010mg/kg</w:t>
            </w:r>
          </w:p>
        </w:tc>
      </w:tr>
      <w:tr w14:paraId="1986C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3216C7C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26</w:t>
            </w:r>
          </w:p>
        </w:tc>
        <w:tc>
          <w:tcPr>
            <w:tcW w:w="1556" w:type="dxa"/>
            <w:vAlign w:val="center"/>
          </w:tcPr>
          <w:p w14:paraId="3345AE6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w:t>
            </w:r>
          </w:p>
        </w:tc>
        <w:tc>
          <w:tcPr>
            <w:tcW w:w="5685" w:type="dxa"/>
            <w:vMerge w:val="continue"/>
            <w:vAlign w:val="center"/>
          </w:tcPr>
          <w:p w14:paraId="77E554F1">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4D7CB3B7">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0.0019mg/kg</w:t>
            </w:r>
          </w:p>
        </w:tc>
      </w:tr>
      <w:tr w14:paraId="2A567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11454E9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27</w:t>
            </w:r>
          </w:p>
        </w:tc>
        <w:tc>
          <w:tcPr>
            <w:tcW w:w="1556" w:type="dxa"/>
            <w:vAlign w:val="center"/>
          </w:tcPr>
          <w:p w14:paraId="3147BA66">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氯苯</w:t>
            </w:r>
          </w:p>
        </w:tc>
        <w:tc>
          <w:tcPr>
            <w:tcW w:w="5685" w:type="dxa"/>
            <w:vMerge w:val="continue"/>
            <w:vAlign w:val="center"/>
          </w:tcPr>
          <w:p w14:paraId="03B0B3E7">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67AB41D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4D39A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2FE6C41E">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28</w:t>
            </w:r>
          </w:p>
        </w:tc>
        <w:tc>
          <w:tcPr>
            <w:tcW w:w="1556" w:type="dxa"/>
            <w:vAlign w:val="center"/>
          </w:tcPr>
          <w:p w14:paraId="0E64FD7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1,2-二氯苯</w:t>
            </w:r>
          </w:p>
        </w:tc>
        <w:tc>
          <w:tcPr>
            <w:tcW w:w="5685" w:type="dxa"/>
            <w:vMerge w:val="continue"/>
            <w:vAlign w:val="center"/>
          </w:tcPr>
          <w:p w14:paraId="1978A13F">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0BEBA4D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0.0015mg/kg</w:t>
            </w:r>
          </w:p>
        </w:tc>
      </w:tr>
      <w:tr w14:paraId="400D1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3C70933A">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29</w:t>
            </w:r>
          </w:p>
        </w:tc>
        <w:tc>
          <w:tcPr>
            <w:tcW w:w="1556" w:type="dxa"/>
            <w:vAlign w:val="center"/>
          </w:tcPr>
          <w:p w14:paraId="6F9675D6">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1,4-二氯苯</w:t>
            </w:r>
          </w:p>
        </w:tc>
        <w:tc>
          <w:tcPr>
            <w:tcW w:w="5685" w:type="dxa"/>
            <w:vMerge w:val="continue"/>
            <w:vAlign w:val="center"/>
          </w:tcPr>
          <w:p w14:paraId="77C9559D">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0A040CF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0.0015mg/kg</w:t>
            </w:r>
          </w:p>
        </w:tc>
      </w:tr>
      <w:tr w14:paraId="1B3BF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2304BC89">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30</w:t>
            </w:r>
          </w:p>
        </w:tc>
        <w:tc>
          <w:tcPr>
            <w:tcW w:w="1556" w:type="dxa"/>
            <w:vAlign w:val="center"/>
          </w:tcPr>
          <w:p w14:paraId="75BDD0B9">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乙苯</w:t>
            </w:r>
          </w:p>
        </w:tc>
        <w:tc>
          <w:tcPr>
            <w:tcW w:w="5685" w:type="dxa"/>
            <w:vMerge w:val="continue"/>
            <w:vAlign w:val="center"/>
          </w:tcPr>
          <w:p w14:paraId="2545C9CC">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63FF22B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5D119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45CE62E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31</w:t>
            </w:r>
          </w:p>
        </w:tc>
        <w:tc>
          <w:tcPr>
            <w:tcW w:w="1556" w:type="dxa"/>
            <w:vAlign w:val="center"/>
          </w:tcPr>
          <w:p w14:paraId="563E0118">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苯乙烯</w:t>
            </w:r>
          </w:p>
        </w:tc>
        <w:tc>
          <w:tcPr>
            <w:tcW w:w="5685" w:type="dxa"/>
            <w:vMerge w:val="continue"/>
            <w:vAlign w:val="center"/>
          </w:tcPr>
          <w:p w14:paraId="5D072448">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1E76EC3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0.0011mg/kg</w:t>
            </w:r>
          </w:p>
        </w:tc>
      </w:tr>
      <w:tr w14:paraId="4CBB1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E016B1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32</w:t>
            </w:r>
          </w:p>
        </w:tc>
        <w:tc>
          <w:tcPr>
            <w:tcW w:w="1556" w:type="dxa"/>
            <w:vAlign w:val="center"/>
          </w:tcPr>
          <w:p w14:paraId="0183B48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甲苯</w:t>
            </w:r>
          </w:p>
        </w:tc>
        <w:tc>
          <w:tcPr>
            <w:tcW w:w="5685" w:type="dxa"/>
            <w:vMerge w:val="continue"/>
            <w:vAlign w:val="center"/>
          </w:tcPr>
          <w:p w14:paraId="0E4C6B99">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04A7824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0.0013mg/kg</w:t>
            </w:r>
          </w:p>
        </w:tc>
      </w:tr>
      <w:tr w14:paraId="16F91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3F51C30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33</w:t>
            </w:r>
          </w:p>
        </w:tc>
        <w:tc>
          <w:tcPr>
            <w:tcW w:w="1556" w:type="dxa"/>
            <w:vAlign w:val="center"/>
          </w:tcPr>
          <w:p w14:paraId="62382B69">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对（间）-二甲苯</w:t>
            </w:r>
          </w:p>
        </w:tc>
        <w:tc>
          <w:tcPr>
            <w:tcW w:w="5685" w:type="dxa"/>
            <w:vMerge w:val="continue"/>
            <w:vAlign w:val="center"/>
          </w:tcPr>
          <w:p w14:paraId="37BFE427">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5190465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0.0012mg/kg</w:t>
            </w:r>
          </w:p>
        </w:tc>
      </w:tr>
      <w:tr w14:paraId="0BCDF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5ADC016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34</w:t>
            </w:r>
          </w:p>
        </w:tc>
        <w:tc>
          <w:tcPr>
            <w:tcW w:w="1556" w:type="dxa"/>
            <w:vAlign w:val="center"/>
          </w:tcPr>
          <w:p w14:paraId="65E593C6">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邻二甲苯</w:t>
            </w:r>
          </w:p>
        </w:tc>
        <w:tc>
          <w:tcPr>
            <w:tcW w:w="5685" w:type="dxa"/>
            <w:vMerge w:val="continue"/>
            <w:vAlign w:val="center"/>
          </w:tcPr>
          <w:p w14:paraId="4CE35E9F">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59FD363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0.0012 mg/kg</w:t>
            </w:r>
          </w:p>
        </w:tc>
      </w:tr>
      <w:tr w14:paraId="2DA3F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4A76D81C">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35</w:t>
            </w:r>
          </w:p>
        </w:tc>
        <w:tc>
          <w:tcPr>
            <w:tcW w:w="1556" w:type="dxa"/>
            <w:vAlign w:val="center"/>
          </w:tcPr>
          <w:p w14:paraId="3FC1246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硝基苯</w:t>
            </w:r>
          </w:p>
        </w:tc>
        <w:tc>
          <w:tcPr>
            <w:tcW w:w="5685" w:type="dxa"/>
            <w:vMerge w:val="restart"/>
            <w:vAlign w:val="center"/>
          </w:tcPr>
          <w:p w14:paraId="6BED6218">
            <w:pPr>
              <w:widowControl/>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土壤和沉积物 半挥发性有机物的测定 气相色谱-质谱法</w:t>
            </w:r>
          </w:p>
          <w:p w14:paraId="5812AF0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HJ 834-2017</w:t>
            </w:r>
          </w:p>
        </w:tc>
        <w:tc>
          <w:tcPr>
            <w:tcW w:w="1538" w:type="dxa"/>
            <w:vAlign w:val="center"/>
          </w:tcPr>
          <w:p w14:paraId="0655ADA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0.09 mg/kg</w:t>
            </w:r>
          </w:p>
        </w:tc>
      </w:tr>
      <w:tr w14:paraId="5FDC3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95128D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36</w:t>
            </w:r>
          </w:p>
        </w:tc>
        <w:tc>
          <w:tcPr>
            <w:tcW w:w="1556" w:type="dxa"/>
            <w:vAlign w:val="center"/>
          </w:tcPr>
          <w:p w14:paraId="5277A1C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苯胺</w:t>
            </w:r>
          </w:p>
        </w:tc>
        <w:tc>
          <w:tcPr>
            <w:tcW w:w="5685" w:type="dxa"/>
            <w:vMerge w:val="continue"/>
            <w:vAlign w:val="center"/>
          </w:tcPr>
          <w:p w14:paraId="60ED2295">
            <w:pPr>
              <w:widowControl/>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4453CA3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10D6B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1EC9187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37</w:t>
            </w:r>
          </w:p>
        </w:tc>
        <w:tc>
          <w:tcPr>
            <w:tcW w:w="1556" w:type="dxa"/>
            <w:vAlign w:val="center"/>
          </w:tcPr>
          <w:p w14:paraId="337222EC">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2-氯酚</w:t>
            </w:r>
          </w:p>
        </w:tc>
        <w:tc>
          <w:tcPr>
            <w:tcW w:w="5685" w:type="dxa"/>
            <w:vMerge w:val="continue"/>
            <w:vAlign w:val="center"/>
          </w:tcPr>
          <w:p w14:paraId="7E24FC57">
            <w:pPr>
              <w:widowControl/>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1136DC7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0.06 mg/kg</w:t>
            </w:r>
          </w:p>
        </w:tc>
      </w:tr>
      <w:tr w14:paraId="3D7D9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7427143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38</w:t>
            </w:r>
          </w:p>
        </w:tc>
        <w:tc>
          <w:tcPr>
            <w:tcW w:w="1556" w:type="dxa"/>
            <w:vAlign w:val="center"/>
          </w:tcPr>
          <w:p w14:paraId="439BC62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苯并[a]蒽</w:t>
            </w:r>
          </w:p>
        </w:tc>
        <w:tc>
          <w:tcPr>
            <w:tcW w:w="5685" w:type="dxa"/>
            <w:vMerge w:val="continue"/>
            <w:vAlign w:val="center"/>
          </w:tcPr>
          <w:p w14:paraId="0D7DB14A">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38ED287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22539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43E5A9B8">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39</w:t>
            </w:r>
          </w:p>
        </w:tc>
        <w:tc>
          <w:tcPr>
            <w:tcW w:w="1556" w:type="dxa"/>
            <w:vAlign w:val="center"/>
          </w:tcPr>
          <w:p w14:paraId="001F2B4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苯并[b]荧蒽</w:t>
            </w:r>
          </w:p>
        </w:tc>
        <w:tc>
          <w:tcPr>
            <w:tcW w:w="5685" w:type="dxa"/>
            <w:vMerge w:val="continue"/>
            <w:vAlign w:val="center"/>
          </w:tcPr>
          <w:p w14:paraId="13C7F447">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21EAF687">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0.2 mg/kg</w:t>
            </w:r>
          </w:p>
        </w:tc>
      </w:tr>
      <w:tr w14:paraId="6A18C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7167F0A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40</w:t>
            </w:r>
          </w:p>
        </w:tc>
        <w:tc>
          <w:tcPr>
            <w:tcW w:w="1556" w:type="dxa"/>
            <w:vAlign w:val="center"/>
          </w:tcPr>
          <w:p w14:paraId="51D8752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苯并[a]芘</w:t>
            </w:r>
          </w:p>
        </w:tc>
        <w:tc>
          <w:tcPr>
            <w:tcW w:w="5685" w:type="dxa"/>
            <w:vMerge w:val="continue"/>
            <w:vAlign w:val="center"/>
          </w:tcPr>
          <w:p w14:paraId="32084EDE">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5157360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0E79A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0B2E34A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41</w:t>
            </w:r>
          </w:p>
        </w:tc>
        <w:tc>
          <w:tcPr>
            <w:tcW w:w="1556" w:type="dxa"/>
            <w:vAlign w:val="center"/>
          </w:tcPr>
          <w:p w14:paraId="4FE59FB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苯并[k]荧蒽</w:t>
            </w:r>
          </w:p>
        </w:tc>
        <w:tc>
          <w:tcPr>
            <w:tcW w:w="5685" w:type="dxa"/>
            <w:vMerge w:val="continue"/>
            <w:vAlign w:val="center"/>
          </w:tcPr>
          <w:p w14:paraId="7492BE44">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2162A6A0">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7054B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7806FE52">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42</w:t>
            </w:r>
          </w:p>
        </w:tc>
        <w:tc>
          <w:tcPr>
            <w:tcW w:w="1556" w:type="dxa"/>
            <w:vAlign w:val="center"/>
          </w:tcPr>
          <w:p w14:paraId="64A4441E">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䓛</w:t>
            </w:r>
          </w:p>
        </w:tc>
        <w:tc>
          <w:tcPr>
            <w:tcW w:w="5685" w:type="dxa"/>
            <w:vMerge w:val="continue"/>
            <w:vAlign w:val="center"/>
          </w:tcPr>
          <w:p w14:paraId="54D94AC6">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0618F2DF">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5E49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12944E6B">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43</w:t>
            </w:r>
          </w:p>
        </w:tc>
        <w:tc>
          <w:tcPr>
            <w:tcW w:w="1556" w:type="dxa"/>
            <w:vAlign w:val="center"/>
          </w:tcPr>
          <w:p w14:paraId="64989CA1">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二苯并[a,h]蒽</w:t>
            </w:r>
          </w:p>
        </w:tc>
        <w:tc>
          <w:tcPr>
            <w:tcW w:w="5685" w:type="dxa"/>
            <w:vMerge w:val="continue"/>
            <w:vAlign w:val="center"/>
          </w:tcPr>
          <w:p w14:paraId="0ED49491">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41D10BD7">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21E7C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3CAA21C3">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44</w:t>
            </w:r>
          </w:p>
        </w:tc>
        <w:tc>
          <w:tcPr>
            <w:tcW w:w="1556" w:type="dxa"/>
            <w:vAlign w:val="center"/>
          </w:tcPr>
          <w:p w14:paraId="3F4D88E5">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茚并[1,2,3-cd]芘</w:t>
            </w:r>
          </w:p>
        </w:tc>
        <w:tc>
          <w:tcPr>
            <w:tcW w:w="5685" w:type="dxa"/>
            <w:vMerge w:val="continue"/>
            <w:vAlign w:val="center"/>
          </w:tcPr>
          <w:p w14:paraId="4BF648EA">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6E1DB0E4">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0.1 mg/kg</w:t>
            </w:r>
          </w:p>
        </w:tc>
      </w:tr>
      <w:tr w14:paraId="2C66A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tcPr>
          <w:p w14:paraId="157CEF89">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45</w:t>
            </w:r>
          </w:p>
        </w:tc>
        <w:tc>
          <w:tcPr>
            <w:tcW w:w="1556" w:type="dxa"/>
            <w:vAlign w:val="center"/>
          </w:tcPr>
          <w:p w14:paraId="47269298">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萘</w:t>
            </w:r>
          </w:p>
        </w:tc>
        <w:tc>
          <w:tcPr>
            <w:tcW w:w="5685" w:type="dxa"/>
            <w:vMerge w:val="continue"/>
            <w:vAlign w:val="center"/>
          </w:tcPr>
          <w:p w14:paraId="2F11AF3F">
            <w:pPr>
              <w:adjustRightInd w:val="0"/>
              <w:snapToGrid w:val="0"/>
              <w:jc w:val="center"/>
              <w:rPr>
                <w:rFonts w:ascii="Times New Roman" w:hAnsi="Times New Roman" w:eastAsia="宋体" w:cs="Times New Roman"/>
                <w:color w:val="auto"/>
                <w:szCs w:val="21"/>
                <w:u w:val="none" w:color="auto"/>
              </w:rPr>
            </w:pPr>
          </w:p>
        </w:tc>
        <w:tc>
          <w:tcPr>
            <w:tcW w:w="1538" w:type="dxa"/>
            <w:vAlign w:val="center"/>
          </w:tcPr>
          <w:p w14:paraId="44BF84C6">
            <w:pPr>
              <w:adjustRightInd w:val="0"/>
              <w:snapToGrid w:val="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0.09 mg/kg</w:t>
            </w:r>
          </w:p>
        </w:tc>
      </w:tr>
    </w:tbl>
    <w:p w14:paraId="0408990F">
      <w:pPr>
        <w:pStyle w:val="4"/>
        <w:bidi w:val="0"/>
        <w:rPr>
          <w:color w:val="auto"/>
          <w:u w:val="none" w:color="auto"/>
        </w:rPr>
      </w:pPr>
      <w:r>
        <w:rPr>
          <w:color w:val="auto"/>
          <w:u w:val="none" w:color="auto"/>
        </w:rPr>
        <w:t>监测结果及评价</w:t>
      </w:r>
      <w:bookmarkEnd w:id="206"/>
    </w:p>
    <w:p w14:paraId="7EB71710">
      <w:pPr>
        <w:autoSpaceDE w:val="0"/>
        <w:autoSpaceDN w:val="0"/>
        <w:adjustRightInd w:val="0"/>
        <w:snapToGrid w:val="0"/>
        <w:spacing w:line="360" w:lineRule="auto"/>
        <w:ind w:firstLine="480" w:firstLineChars="200"/>
        <w:jc w:val="left"/>
        <w:textAlignment w:val="baseline"/>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由土壤现状监测结果表可知，建设项目场地监测点各监测因子均满足《土壤环境质量建设用地土壤污染风险管控标准》（GB36600-2018）第二类用地筛选值的要求。土样分析结果详见表</w:t>
      </w:r>
      <w:r>
        <w:rPr>
          <w:rFonts w:hint="eastAsia" w:ascii="Times New Roman" w:hAnsi="Times New Roman" w:eastAsia="宋体" w:cs="Times New Roman"/>
          <w:color w:val="auto"/>
          <w:sz w:val="24"/>
          <w:szCs w:val="24"/>
          <w:u w:val="none" w:color="auto"/>
        </w:rPr>
        <w:t>3.</w:t>
      </w:r>
      <w:r>
        <w:rPr>
          <w:rFonts w:hint="eastAsia" w:ascii="Times New Roman" w:hAnsi="Times New Roman" w:eastAsia="宋体" w:cs="Times New Roman"/>
          <w:color w:val="auto"/>
          <w:sz w:val="24"/>
          <w:szCs w:val="24"/>
          <w:u w:val="none" w:color="auto"/>
          <w:lang w:val="en-US" w:eastAsia="zh-CN"/>
        </w:rPr>
        <w:t>6</w:t>
      </w:r>
      <w:r>
        <w:rPr>
          <w:rFonts w:ascii="Times New Roman" w:hAnsi="Times New Roman" w:eastAsia="宋体" w:cs="Times New Roman"/>
          <w:color w:val="auto"/>
          <w:sz w:val="24"/>
          <w:szCs w:val="24"/>
          <w:u w:val="none" w:color="auto"/>
        </w:rPr>
        <w:t>-3。</w:t>
      </w:r>
    </w:p>
    <w:p w14:paraId="4B86CF3F">
      <w:pPr>
        <w:autoSpaceDE w:val="0"/>
        <w:autoSpaceDN w:val="0"/>
        <w:adjustRightInd w:val="0"/>
        <w:snapToGrid w:val="0"/>
        <w:spacing w:line="360" w:lineRule="auto"/>
        <w:ind w:firstLine="480" w:firstLineChars="200"/>
        <w:jc w:val="left"/>
        <w:textAlignment w:val="baseline"/>
        <w:rPr>
          <w:rFonts w:ascii="Times New Roman" w:hAnsi="Times New Roman" w:eastAsia="宋体" w:cs="Times New Roman"/>
          <w:color w:val="auto"/>
          <w:sz w:val="24"/>
          <w:szCs w:val="24"/>
          <w:u w:val="none" w:color="auto"/>
        </w:rPr>
      </w:pPr>
      <w:bookmarkStart w:id="207" w:name="_Toc3728216"/>
      <w:r>
        <w:rPr>
          <w:rFonts w:ascii="Times New Roman" w:hAnsi="Times New Roman" w:eastAsia="宋体" w:cs="Times New Roman"/>
          <w:color w:val="auto"/>
          <w:sz w:val="24"/>
          <w:szCs w:val="24"/>
          <w:u w:val="none" w:color="auto"/>
        </w:rPr>
        <w:t>土壤的监测结果及分析见表3.6-</w:t>
      </w:r>
      <w:r>
        <w:rPr>
          <w:rFonts w:hint="eastAsia" w:ascii="Times New Roman" w:hAnsi="Times New Roman" w:eastAsia="宋体" w:cs="Times New Roman"/>
          <w:color w:val="auto"/>
          <w:sz w:val="24"/>
          <w:szCs w:val="24"/>
          <w:u w:val="none" w:color="auto"/>
        </w:rPr>
        <w:t>5~</w:t>
      </w:r>
      <w:r>
        <w:rPr>
          <w:rFonts w:ascii="Times New Roman" w:hAnsi="Times New Roman" w:eastAsia="宋体" w:cs="Times New Roman"/>
          <w:color w:val="auto"/>
          <w:sz w:val="24"/>
          <w:szCs w:val="24"/>
          <w:u w:val="none" w:color="auto"/>
        </w:rPr>
        <w:t>3.6-</w:t>
      </w:r>
      <w:r>
        <w:rPr>
          <w:rFonts w:hint="eastAsia" w:ascii="Times New Roman" w:hAnsi="Times New Roman" w:eastAsia="宋体" w:cs="Times New Roman"/>
          <w:color w:val="auto"/>
          <w:sz w:val="24"/>
          <w:szCs w:val="24"/>
          <w:u w:val="none" w:color="auto"/>
        </w:rPr>
        <w:t>8</w:t>
      </w:r>
      <w:r>
        <w:rPr>
          <w:rFonts w:ascii="Times New Roman" w:hAnsi="Times New Roman" w:eastAsia="宋体" w:cs="Times New Roman"/>
          <w:color w:val="auto"/>
          <w:sz w:val="24"/>
          <w:szCs w:val="24"/>
          <w:u w:val="none" w:color="auto"/>
        </w:rPr>
        <w:t>。</w:t>
      </w:r>
    </w:p>
    <w:p w14:paraId="1E3F807E">
      <w:pPr>
        <w:pStyle w:val="6"/>
        <w:bidi w:val="0"/>
        <w:rPr>
          <w:color w:val="auto"/>
          <w:u w:val="none" w:color="auto"/>
        </w:rPr>
      </w:pPr>
      <w:r>
        <w:rPr>
          <w:color w:val="auto"/>
          <w:u w:val="none" w:color="auto"/>
        </w:rPr>
        <w:t>土壤监测结果分析表  单位：mg/kg</w:t>
      </w:r>
    </w:p>
    <w:tbl>
      <w:tblPr>
        <w:tblStyle w:val="37"/>
        <w:tblW w:w="5000" w:type="pct"/>
        <w:tblInd w:w="0" w:type="dxa"/>
        <w:tblLayout w:type="autofit"/>
        <w:tblCellMar>
          <w:top w:w="0" w:type="dxa"/>
          <w:left w:w="108" w:type="dxa"/>
          <w:bottom w:w="0" w:type="dxa"/>
          <w:right w:w="108" w:type="dxa"/>
        </w:tblCellMar>
      </w:tblPr>
      <w:tblGrid>
        <w:gridCol w:w="1676"/>
        <w:gridCol w:w="1920"/>
        <w:gridCol w:w="1642"/>
        <w:gridCol w:w="1642"/>
        <w:gridCol w:w="1642"/>
      </w:tblGrid>
      <w:tr w14:paraId="781FEB3D">
        <w:trPr>
          <w:tblHeader/>
        </w:trPr>
        <w:tc>
          <w:tcPr>
            <w:tcW w:w="2109" w:type="pct"/>
            <w:gridSpan w:val="2"/>
            <w:tcBorders>
              <w:top w:val="single" w:color="auto" w:sz="12" w:space="0"/>
              <w:left w:val="single" w:color="auto" w:sz="12" w:space="0"/>
              <w:bottom w:val="single" w:color="auto" w:sz="4" w:space="0"/>
              <w:right w:val="single" w:color="auto" w:sz="4" w:space="0"/>
            </w:tcBorders>
            <w:vAlign w:val="center"/>
          </w:tcPr>
          <w:p w14:paraId="563F648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监测项目</w:t>
            </w:r>
          </w:p>
        </w:tc>
        <w:tc>
          <w:tcPr>
            <w:tcW w:w="963" w:type="pct"/>
            <w:tcBorders>
              <w:top w:val="single" w:color="auto" w:sz="12" w:space="0"/>
              <w:left w:val="single" w:color="auto" w:sz="4" w:space="0"/>
              <w:bottom w:val="single" w:color="auto" w:sz="4" w:space="0"/>
              <w:right w:val="single" w:color="auto" w:sz="4" w:space="0"/>
            </w:tcBorders>
            <w:vAlign w:val="center"/>
          </w:tcPr>
          <w:p w14:paraId="7A5C4E5F">
            <w:pPr>
              <w:pStyle w:val="102"/>
              <w:rPr>
                <w:rFonts w:hint="default" w:ascii="Times New Roman" w:hAnsi="Times New Roman" w:cs="Times New Roman"/>
                <w:bCs/>
                <w:color w:val="auto"/>
                <w:sz w:val="21"/>
                <w:szCs w:val="21"/>
                <w:u w:val="none" w:color="auto"/>
              </w:rPr>
            </w:pPr>
            <w:r>
              <w:rPr>
                <w:rFonts w:hint="default" w:ascii="Times New Roman" w:hAnsi="Times New Roman" w:cs="Times New Roman"/>
                <w:color w:val="auto"/>
                <w:sz w:val="21"/>
                <w:szCs w:val="21"/>
                <w:u w:val="none" w:color="auto"/>
              </w:rPr>
              <w:t>间二甲苯+对二甲苯</w:t>
            </w:r>
          </w:p>
        </w:tc>
        <w:tc>
          <w:tcPr>
            <w:tcW w:w="963" w:type="pct"/>
            <w:tcBorders>
              <w:top w:val="single" w:color="auto" w:sz="12" w:space="0"/>
              <w:left w:val="single" w:color="auto" w:sz="4" w:space="0"/>
              <w:bottom w:val="single" w:color="auto" w:sz="4" w:space="0"/>
              <w:right w:val="single" w:color="auto" w:sz="4" w:space="0"/>
            </w:tcBorders>
            <w:vAlign w:val="center"/>
          </w:tcPr>
          <w:p w14:paraId="2FCBA5D9">
            <w:pPr>
              <w:pStyle w:val="102"/>
              <w:rPr>
                <w:rFonts w:hint="default" w:ascii="Times New Roman" w:hAnsi="Times New Roman" w:cs="Times New Roman"/>
                <w:bCs/>
                <w:color w:val="auto"/>
                <w:sz w:val="21"/>
                <w:szCs w:val="21"/>
                <w:u w:val="none" w:color="auto"/>
              </w:rPr>
            </w:pPr>
            <w:r>
              <w:rPr>
                <w:rFonts w:hint="default" w:ascii="Times New Roman" w:hAnsi="Times New Roman" w:cs="Times New Roman"/>
                <w:color w:val="auto"/>
                <w:sz w:val="21"/>
                <w:szCs w:val="21"/>
                <w:u w:val="none" w:color="auto"/>
              </w:rPr>
              <w:t>邻二甲苯</w:t>
            </w:r>
          </w:p>
        </w:tc>
        <w:tc>
          <w:tcPr>
            <w:tcW w:w="963" w:type="pct"/>
            <w:tcBorders>
              <w:top w:val="single" w:color="auto" w:sz="12" w:space="0"/>
              <w:left w:val="single" w:color="auto" w:sz="4" w:space="0"/>
              <w:bottom w:val="single" w:color="auto" w:sz="4" w:space="0"/>
              <w:right w:val="single" w:color="auto" w:sz="12" w:space="0"/>
            </w:tcBorders>
          </w:tcPr>
          <w:p w14:paraId="47915154">
            <w:pPr>
              <w:pStyle w:val="102"/>
              <w:rPr>
                <w:rFonts w:hint="default" w:ascii="Times New Roman" w:hAnsi="Times New Roman" w:cs="Times New Roman"/>
                <w:color w:val="auto"/>
                <w:sz w:val="21"/>
                <w:szCs w:val="21"/>
                <w:u w:val="none" w:color="auto"/>
              </w:rPr>
            </w:pPr>
            <w:r>
              <w:rPr>
                <w:rFonts w:hint="eastAsia" w:ascii="Times New Roman" w:hAnsi="Times New Roman" w:eastAsia="宋体" w:cs="Times New Roman"/>
                <w:color w:val="auto"/>
                <w:kern w:val="0"/>
                <w:sz w:val="21"/>
                <w:szCs w:val="21"/>
                <w:u w:val="none" w:color="auto"/>
                <w:lang w:val="en-US" w:eastAsia="zh-CN"/>
              </w:rPr>
              <w:t>甲苯</w:t>
            </w:r>
          </w:p>
        </w:tc>
      </w:tr>
      <w:tr w14:paraId="750CB957">
        <w:tc>
          <w:tcPr>
            <w:tcW w:w="983" w:type="pct"/>
            <w:vMerge w:val="restart"/>
            <w:tcBorders>
              <w:top w:val="single" w:color="auto" w:sz="4" w:space="0"/>
              <w:left w:val="single" w:color="auto" w:sz="12" w:space="0"/>
              <w:bottom w:val="single" w:color="auto" w:sz="4" w:space="0"/>
              <w:right w:val="single" w:color="auto" w:sz="4" w:space="0"/>
            </w:tcBorders>
            <w:vAlign w:val="center"/>
          </w:tcPr>
          <w:p w14:paraId="0127F8CF">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S1  0-0.5m</w:t>
            </w:r>
          </w:p>
        </w:tc>
        <w:tc>
          <w:tcPr>
            <w:tcW w:w="1126" w:type="pct"/>
            <w:tcBorders>
              <w:top w:val="single" w:color="auto" w:sz="4" w:space="0"/>
              <w:left w:val="single" w:color="auto" w:sz="4" w:space="0"/>
              <w:bottom w:val="single" w:color="auto" w:sz="4" w:space="0"/>
              <w:right w:val="single" w:color="auto" w:sz="4" w:space="0"/>
            </w:tcBorders>
            <w:vAlign w:val="center"/>
          </w:tcPr>
          <w:p w14:paraId="234FD04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1A85864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6ED53ED1">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6F057ED3">
            <w:pPr>
              <w:pStyle w:val="102"/>
              <w:rPr>
                <w:rFonts w:hint="default" w:ascii="Times New Roman" w:hAnsi="Times New Roman" w:cs="Times New Roman"/>
                <w:color w:val="auto"/>
                <w:sz w:val="21"/>
                <w:szCs w:val="21"/>
                <w:u w:val="none" w:color="auto"/>
              </w:rPr>
            </w:pPr>
          </w:p>
        </w:tc>
      </w:tr>
      <w:tr w14:paraId="0BB9EBFB">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3A404CDE">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63325D4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7FFE583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53906BD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35567E7F">
            <w:pPr>
              <w:pStyle w:val="102"/>
              <w:rPr>
                <w:rFonts w:hint="default" w:ascii="Times New Roman" w:hAnsi="Times New Roman" w:cs="Times New Roman"/>
                <w:color w:val="auto"/>
                <w:sz w:val="21"/>
                <w:szCs w:val="21"/>
                <w:u w:val="none" w:color="auto"/>
              </w:rPr>
            </w:pPr>
          </w:p>
        </w:tc>
      </w:tr>
      <w:tr w14:paraId="194398C4">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2DAA88B6">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1F16F5A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614E0B35">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32CA0548">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40345A88">
            <w:pPr>
              <w:pStyle w:val="102"/>
              <w:rPr>
                <w:rFonts w:hint="default" w:ascii="Times New Roman" w:hAnsi="Times New Roman" w:cs="Times New Roman"/>
                <w:color w:val="auto"/>
                <w:sz w:val="21"/>
                <w:szCs w:val="21"/>
                <w:u w:val="none" w:color="auto"/>
              </w:rPr>
            </w:pPr>
          </w:p>
        </w:tc>
      </w:tr>
      <w:tr w14:paraId="3A2FA41F">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5548BBEC">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S1  0.5-1.5m</w:t>
            </w:r>
          </w:p>
        </w:tc>
        <w:tc>
          <w:tcPr>
            <w:tcW w:w="1126" w:type="pct"/>
            <w:tcBorders>
              <w:top w:val="single" w:color="auto" w:sz="4" w:space="0"/>
              <w:left w:val="single" w:color="auto" w:sz="4" w:space="0"/>
              <w:bottom w:val="single" w:color="auto" w:sz="4" w:space="0"/>
              <w:right w:val="single" w:color="auto" w:sz="4" w:space="0"/>
            </w:tcBorders>
            <w:vAlign w:val="center"/>
          </w:tcPr>
          <w:p w14:paraId="5655B25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74F6EE5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4D32B16">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6F006569">
            <w:pPr>
              <w:pStyle w:val="102"/>
              <w:rPr>
                <w:rFonts w:hint="default" w:ascii="Times New Roman" w:hAnsi="Times New Roman" w:cs="Times New Roman"/>
                <w:color w:val="auto"/>
                <w:sz w:val="21"/>
                <w:szCs w:val="21"/>
                <w:u w:val="none" w:color="auto"/>
              </w:rPr>
            </w:pPr>
          </w:p>
        </w:tc>
      </w:tr>
      <w:tr w14:paraId="06BEA3E6">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7DEA5531">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06CC5DF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214B6FDE">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45586A6F">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5C482CEB">
            <w:pPr>
              <w:pStyle w:val="102"/>
              <w:rPr>
                <w:rFonts w:hint="default" w:ascii="Times New Roman" w:hAnsi="Times New Roman" w:cs="Times New Roman"/>
                <w:color w:val="auto"/>
                <w:sz w:val="21"/>
                <w:szCs w:val="21"/>
                <w:u w:val="none" w:color="auto"/>
              </w:rPr>
            </w:pPr>
          </w:p>
        </w:tc>
      </w:tr>
      <w:tr w14:paraId="611DC86E">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5D316B04">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5E078EC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49A94D9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1330C4CC">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1C2B7782">
            <w:pPr>
              <w:pStyle w:val="102"/>
              <w:rPr>
                <w:rFonts w:hint="default" w:ascii="Times New Roman" w:hAnsi="Times New Roman" w:cs="Times New Roman"/>
                <w:color w:val="auto"/>
                <w:sz w:val="21"/>
                <w:szCs w:val="21"/>
                <w:u w:val="none" w:color="auto"/>
              </w:rPr>
            </w:pPr>
          </w:p>
        </w:tc>
      </w:tr>
      <w:tr w14:paraId="411D801D">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1C06A7A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S1  1.5-3m</w:t>
            </w:r>
          </w:p>
        </w:tc>
        <w:tc>
          <w:tcPr>
            <w:tcW w:w="1126" w:type="pct"/>
            <w:tcBorders>
              <w:top w:val="single" w:color="auto" w:sz="4" w:space="0"/>
              <w:left w:val="single" w:color="auto" w:sz="4" w:space="0"/>
              <w:bottom w:val="single" w:color="auto" w:sz="4" w:space="0"/>
              <w:right w:val="single" w:color="auto" w:sz="4" w:space="0"/>
            </w:tcBorders>
            <w:vAlign w:val="center"/>
          </w:tcPr>
          <w:p w14:paraId="6A870DCC">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5D82D89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53742835">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39A3B357">
            <w:pPr>
              <w:pStyle w:val="102"/>
              <w:rPr>
                <w:rFonts w:hint="default" w:ascii="Times New Roman" w:hAnsi="Times New Roman" w:cs="Times New Roman"/>
                <w:color w:val="auto"/>
                <w:sz w:val="21"/>
                <w:szCs w:val="21"/>
                <w:u w:val="none" w:color="auto"/>
              </w:rPr>
            </w:pPr>
          </w:p>
        </w:tc>
      </w:tr>
      <w:tr w14:paraId="058CDEA7">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1E296B6A">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19C3461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04C4427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4394EBA3">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472C40F1">
            <w:pPr>
              <w:pStyle w:val="102"/>
              <w:rPr>
                <w:rFonts w:hint="default" w:ascii="Times New Roman" w:hAnsi="Times New Roman" w:cs="Times New Roman"/>
                <w:color w:val="auto"/>
                <w:sz w:val="21"/>
                <w:szCs w:val="21"/>
                <w:u w:val="none" w:color="auto"/>
              </w:rPr>
            </w:pPr>
          </w:p>
        </w:tc>
      </w:tr>
      <w:tr w14:paraId="1CBA7D08">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5F11B9FE">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30C3C3A3">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1153783E">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164B98F2">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356AC7BB">
            <w:pPr>
              <w:pStyle w:val="102"/>
              <w:rPr>
                <w:rFonts w:hint="default" w:ascii="Times New Roman" w:hAnsi="Times New Roman" w:cs="Times New Roman"/>
                <w:color w:val="auto"/>
                <w:sz w:val="21"/>
                <w:szCs w:val="21"/>
                <w:u w:val="none" w:color="auto"/>
              </w:rPr>
            </w:pPr>
          </w:p>
        </w:tc>
      </w:tr>
      <w:tr w14:paraId="63095D7A">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45FD7E5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S2  0-0.5m</w:t>
            </w:r>
          </w:p>
        </w:tc>
        <w:tc>
          <w:tcPr>
            <w:tcW w:w="1126" w:type="pct"/>
            <w:tcBorders>
              <w:top w:val="single" w:color="auto" w:sz="4" w:space="0"/>
              <w:left w:val="single" w:color="auto" w:sz="4" w:space="0"/>
              <w:bottom w:val="single" w:color="auto" w:sz="4" w:space="0"/>
              <w:right w:val="single" w:color="auto" w:sz="4" w:space="0"/>
            </w:tcBorders>
            <w:vAlign w:val="center"/>
          </w:tcPr>
          <w:p w14:paraId="2543BCC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7A1E601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1ACE0452">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050FAB80">
            <w:pPr>
              <w:pStyle w:val="102"/>
              <w:rPr>
                <w:rFonts w:hint="default" w:ascii="Times New Roman" w:hAnsi="Times New Roman" w:cs="Times New Roman"/>
                <w:color w:val="auto"/>
                <w:sz w:val="21"/>
                <w:szCs w:val="21"/>
                <w:u w:val="none" w:color="auto"/>
              </w:rPr>
            </w:pPr>
          </w:p>
        </w:tc>
      </w:tr>
      <w:tr w14:paraId="27815D59">
        <w:tc>
          <w:tcPr>
            <w:tcW w:w="983" w:type="pct"/>
            <w:vMerge w:val="continue"/>
            <w:tcBorders>
              <w:top w:val="single" w:color="auto" w:sz="4" w:space="0"/>
              <w:left w:val="single" w:color="auto" w:sz="12" w:space="0"/>
              <w:bottom w:val="single" w:color="auto" w:sz="4" w:space="0"/>
              <w:right w:val="single" w:color="auto" w:sz="4" w:space="0"/>
            </w:tcBorders>
            <w:vAlign w:val="center"/>
          </w:tcPr>
          <w:p w14:paraId="084D3D6D">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3A69778F">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0303EB79">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2903619">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7CBDAD8E">
            <w:pPr>
              <w:pStyle w:val="102"/>
              <w:rPr>
                <w:rFonts w:hint="default" w:ascii="Times New Roman" w:hAnsi="Times New Roman" w:cs="Times New Roman"/>
                <w:color w:val="auto"/>
                <w:sz w:val="21"/>
                <w:szCs w:val="21"/>
                <w:u w:val="none" w:color="auto"/>
              </w:rPr>
            </w:pPr>
          </w:p>
        </w:tc>
      </w:tr>
      <w:tr w14:paraId="2CA4E3C1">
        <w:tc>
          <w:tcPr>
            <w:tcW w:w="983" w:type="pct"/>
            <w:vMerge w:val="continue"/>
            <w:tcBorders>
              <w:top w:val="single" w:color="auto" w:sz="4" w:space="0"/>
              <w:left w:val="single" w:color="auto" w:sz="12" w:space="0"/>
              <w:bottom w:val="single" w:color="auto" w:sz="4" w:space="0"/>
              <w:right w:val="single" w:color="auto" w:sz="4" w:space="0"/>
            </w:tcBorders>
            <w:vAlign w:val="center"/>
          </w:tcPr>
          <w:p w14:paraId="58F581E7">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5CFB2844">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45E31AFB">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70F0981B">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7D176354">
            <w:pPr>
              <w:pStyle w:val="102"/>
              <w:rPr>
                <w:rFonts w:hint="default" w:ascii="Times New Roman" w:hAnsi="Times New Roman" w:cs="Times New Roman"/>
                <w:color w:val="auto"/>
                <w:sz w:val="21"/>
                <w:szCs w:val="21"/>
                <w:u w:val="none" w:color="auto"/>
              </w:rPr>
            </w:pPr>
          </w:p>
        </w:tc>
      </w:tr>
      <w:tr w14:paraId="6B4F981D">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5CF6D4C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S2  0.5-1.5m</w:t>
            </w:r>
          </w:p>
        </w:tc>
        <w:tc>
          <w:tcPr>
            <w:tcW w:w="1126" w:type="pct"/>
            <w:tcBorders>
              <w:top w:val="single" w:color="auto" w:sz="4" w:space="0"/>
              <w:left w:val="single" w:color="auto" w:sz="4" w:space="0"/>
              <w:bottom w:val="single" w:color="auto" w:sz="4" w:space="0"/>
              <w:right w:val="single" w:color="auto" w:sz="4" w:space="0"/>
            </w:tcBorders>
            <w:vAlign w:val="center"/>
          </w:tcPr>
          <w:p w14:paraId="54825E6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7A4AC375">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4DB2E9B5">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71696E05">
            <w:pPr>
              <w:pStyle w:val="102"/>
              <w:rPr>
                <w:rFonts w:hint="default" w:ascii="Times New Roman" w:hAnsi="Times New Roman" w:cs="Times New Roman"/>
                <w:color w:val="auto"/>
                <w:sz w:val="21"/>
                <w:szCs w:val="21"/>
                <w:u w:val="none" w:color="auto"/>
              </w:rPr>
            </w:pPr>
          </w:p>
        </w:tc>
      </w:tr>
      <w:tr w14:paraId="3F871102">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4C27981B">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7CE16383">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1BD1037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2358F447">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761CBB78">
            <w:pPr>
              <w:pStyle w:val="102"/>
              <w:rPr>
                <w:rFonts w:hint="default" w:ascii="Times New Roman" w:hAnsi="Times New Roman" w:cs="Times New Roman"/>
                <w:color w:val="auto"/>
                <w:sz w:val="21"/>
                <w:szCs w:val="21"/>
                <w:u w:val="none" w:color="auto"/>
              </w:rPr>
            </w:pPr>
          </w:p>
        </w:tc>
      </w:tr>
      <w:tr w14:paraId="015AD412">
        <w:tc>
          <w:tcPr>
            <w:tcW w:w="983" w:type="pct"/>
            <w:vMerge w:val="continue"/>
            <w:tcBorders>
              <w:top w:val="single" w:color="auto" w:sz="4" w:space="0"/>
              <w:left w:val="single" w:color="auto" w:sz="12" w:space="0"/>
              <w:bottom w:val="single" w:color="auto" w:sz="4" w:space="0"/>
              <w:right w:val="single" w:color="auto" w:sz="4" w:space="0"/>
            </w:tcBorders>
            <w:vAlign w:val="center"/>
          </w:tcPr>
          <w:p w14:paraId="0C18F3D9">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03A484D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3ACE0053">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2D768B43">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466743A0">
            <w:pPr>
              <w:pStyle w:val="102"/>
              <w:rPr>
                <w:rFonts w:hint="default" w:ascii="Times New Roman" w:hAnsi="Times New Roman" w:cs="Times New Roman"/>
                <w:color w:val="auto"/>
                <w:sz w:val="21"/>
                <w:szCs w:val="21"/>
                <w:u w:val="none" w:color="auto"/>
              </w:rPr>
            </w:pPr>
          </w:p>
        </w:tc>
      </w:tr>
      <w:tr w14:paraId="0954ABEC">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150E0F1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S2  1.5-3m</w:t>
            </w:r>
          </w:p>
        </w:tc>
        <w:tc>
          <w:tcPr>
            <w:tcW w:w="1126" w:type="pct"/>
            <w:tcBorders>
              <w:top w:val="single" w:color="auto" w:sz="4" w:space="0"/>
              <w:left w:val="single" w:color="auto" w:sz="4" w:space="0"/>
              <w:bottom w:val="single" w:color="auto" w:sz="4" w:space="0"/>
              <w:right w:val="single" w:color="auto" w:sz="4" w:space="0"/>
            </w:tcBorders>
            <w:vAlign w:val="center"/>
          </w:tcPr>
          <w:p w14:paraId="15E8DA5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437C58F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7718A1BD">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420C2DB8">
            <w:pPr>
              <w:pStyle w:val="102"/>
              <w:rPr>
                <w:rFonts w:hint="default" w:ascii="Times New Roman" w:hAnsi="Times New Roman" w:cs="Times New Roman"/>
                <w:color w:val="auto"/>
                <w:sz w:val="21"/>
                <w:szCs w:val="21"/>
                <w:u w:val="none" w:color="auto"/>
              </w:rPr>
            </w:pPr>
          </w:p>
        </w:tc>
      </w:tr>
      <w:tr w14:paraId="23DF38BF">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4F39F959">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4346BE5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63F841B2">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A2E861C">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72E21F01">
            <w:pPr>
              <w:pStyle w:val="102"/>
              <w:rPr>
                <w:rFonts w:hint="default" w:ascii="Times New Roman" w:hAnsi="Times New Roman" w:cs="Times New Roman"/>
                <w:color w:val="auto"/>
                <w:sz w:val="21"/>
                <w:szCs w:val="21"/>
                <w:u w:val="none" w:color="auto"/>
              </w:rPr>
            </w:pPr>
          </w:p>
        </w:tc>
      </w:tr>
      <w:tr w14:paraId="5275F4D2">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52BDA4D7">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04F209B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7AE223B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4A330A7A">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615DF136">
            <w:pPr>
              <w:pStyle w:val="102"/>
              <w:rPr>
                <w:rFonts w:hint="default" w:ascii="Times New Roman" w:hAnsi="Times New Roman" w:cs="Times New Roman"/>
                <w:color w:val="auto"/>
                <w:sz w:val="21"/>
                <w:szCs w:val="21"/>
                <w:u w:val="none" w:color="auto"/>
              </w:rPr>
            </w:pPr>
          </w:p>
        </w:tc>
      </w:tr>
      <w:tr w14:paraId="79B3D279">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0D7141E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S3   0-0.5m</w:t>
            </w:r>
          </w:p>
        </w:tc>
        <w:tc>
          <w:tcPr>
            <w:tcW w:w="1126" w:type="pct"/>
            <w:tcBorders>
              <w:top w:val="single" w:color="auto" w:sz="4" w:space="0"/>
              <w:left w:val="single" w:color="auto" w:sz="4" w:space="0"/>
              <w:bottom w:val="single" w:color="auto" w:sz="4" w:space="0"/>
              <w:right w:val="single" w:color="auto" w:sz="4" w:space="0"/>
            </w:tcBorders>
            <w:vAlign w:val="center"/>
          </w:tcPr>
          <w:p w14:paraId="52812DE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5DD19ECF">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1573CA59">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1CDABE91">
            <w:pPr>
              <w:pStyle w:val="102"/>
              <w:rPr>
                <w:rFonts w:hint="default" w:ascii="Times New Roman" w:hAnsi="Times New Roman" w:cs="Times New Roman"/>
                <w:color w:val="auto"/>
                <w:sz w:val="21"/>
                <w:szCs w:val="21"/>
                <w:u w:val="none" w:color="auto"/>
              </w:rPr>
            </w:pPr>
          </w:p>
        </w:tc>
      </w:tr>
      <w:tr w14:paraId="098840E7">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6B5FDB28">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6D8AE50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3319F37C">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CA5D1EF">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0D910D1B">
            <w:pPr>
              <w:pStyle w:val="102"/>
              <w:rPr>
                <w:rFonts w:hint="default" w:ascii="Times New Roman" w:hAnsi="Times New Roman" w:cs="Times New Roman"/>
                <w:color w:val="auto"/>
                <w:sz w:val="21"/>
                <w:szCs w:val="21"/>
                <w:u w:val="none" w:color="auto"/>
              </w:rPr>
            </w:pPr>
          </w:p>
        </w:tc>
      </w:tr>
      <w:tr w14:paraId="41C907DF">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42530B03">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4ECA8C0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7D66AD03">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797BCA3E">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29E41C70">
            <w:pPr>
              <w:pStyle w:val="102"/>
              <w:rPr>
                <w:rFonts w:hint="default" w:ascii="Times New Roman" w:hAnsi="Times New Roman" w:cs="Times New Roman"/>
                <w:color w:val="auto"/>
                <w:sz w:val="21"/>
                <w:szCs w:val="21"/>
                <w:u w:val="none" w:color="auto"/>
              </w:rPr>
            </w:pPr>
          </w:p>
        </w:tc>
      </w:tr>
      <w:tr w14:paraId="5E5D2ED2">
        <w:tc>
          <w:tcPr>
            <w:tcW w:w="983" w:type="pct"/>
            <w:vMerge w:val="restart"/>
            <w:tcBorders>
              <w:top w:val="single" w:color="auto" w:sz="4" w:space="0"/>
              <w:left w:val="single" w:color="auto" w:sz="12" w:space="0"/>
              <w:bottom w:val="single" w:color="auto" w:sz="4" w:space="0"/>
              <w:right w:val="single" w:color="auto" w:sz="4" w:space="0"/>
            </w:tcBorders>
            <w:vAlign w:val="center"/>
          </w:tcPr>
          <w:p w14:paraId="1F15D3A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S3  0.5-1.5m</w:t>
            </w:r>
          </w:p>
        </w:tc>
        <w:tc>
          <w:tcPr>
            <w:tcW w:w="1126" w:type="pct"/>
            <w:tcBorders>
              <w:top w:val="single" w:color="auto" w:sz="4" w:space="0"/>
              <w:left w:val="single" w:color="auto" w:sz="4" w:space="0"/>
              <w:bottom w:val="single" w:color="auto" w:sz="4" w:space="0"/>
              <w:right w:val="single" w:color="auto" w:sz="4" w:space="0"/>
            </w:tcBorders>
            <w:vAlign w:val="center"/>
          </w:tcPr>
          <w:p w14:paraId="69F33E63">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6A97BFEB">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2EAE103">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049AADEF">
            <w:pPr>
              <w:pStyle w:val="102"/>
              <w:rPr>
                <w:rFonts w:hint="default" w:ascii="Times New Roman" w:hAnsi="Times New Roman" w:cs="Times New Roman"/>
                <w:color w:val="auto"/>
                <w:sz w:val="21"/>
                <w:szCs w:val="21"/>
                <w:u w:val="none" w:color="auto"/>
              </w:rPr>
            </w:pPr>
          </w:p>
        </w:tc>
      </w:tr>
      <w:tr w14:paraId="4B175F7F">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4E11F1C2">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67410D6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58D9F353">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15F89394">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5378BF2F">
            <w:pPr>
              <w:pStyle w:val="102"/>
              <w:rPr>
                <w:rFonts w:hint="default" w:ascii="Times New Roman" w:hAnsi="Times New Roman" w:cs="Times New Roman"/>
                <w:color w:val="auto"/>
                <w:sz w:val="21"/>
                <w:szCs w:val="21"/>
                <w:u w:val="none" w:color="auto"/>
              </w:rPr>
            </w:pPr>
          </w:p>
        </w:tc>
      </w:tr>
      <w:tr w14:paraId="1E40146D">
        <w:tc>
          <w:tcPr>
            <w:tcW w:w="983" w:type="pct"/>
            <w:vMerge w:val="continue"/>
            <w:tcBorders>
              <w:top w:val="single" w:color="auto" w:sz="4" w:space="0"/>
              <w:left w:val="single" w:color="auto" w:sz="12" w:space="0"/>
              <w:bottom w:val="single" w:color="auto" w:sz="4" w:space="0"/>
              <w:right w:val="single" w:color="auto" w:sz="4" w:space="0"/>
            </w:tcBorders>
            <w:vAlign w:val="center"/>
          </w:tcPr>
          <w:p w14:paraId="67965994">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42A5352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4DEF4CBC">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3534BDCC">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5968668E">
            <w:pPr>
              <w:pStyle w:val="102"/>
              <w:rPr>
                <w:rFonts w:hint="default" w:ascii="Times New Roman" w:hAnsi="Times New Roman" w:cs="Times New Roman"/>
                <w:color w:val="auto"/>
                <w:sz w:val="21"/>
                <w:szCs w:val="21"/>
                <w:u w:val="none" w:color="auto"/>
              </w:rPr>
            </w:pPr>
          </w:p>
        </w:tc>
      </w:tr>
      <w:tr w14:paraId="6C60DA05">
        <w:tblPrEx>
          <w:tblCellMar>
            <w:top w:w="0" w:type="dxa"/>
            <w:left w:w="108" w:type="dxa"/>
            <w:bottom w:w="0" w:type="dxa"/>
            <w:right w:w="108" w:type="dxa"/>
          </w:tblCellMar>
        </w:tblPrEx>
        <w:tc>
          <w:tcPr>
            <w:tcW w:w="983" w:type="pct"/>
            <w:vMerge w:val="restart"/>
            <w:tcBorders>
              <w:top w:val="single" w:color="auto" w:sz="4" w:space="0"/>
              <w:left w:val="single" w:color="auto" w:sz="12" w:space="0"/>
              <w:bottom w:val="single" w:color="auto" w:sz="4" w:space="0"/>
              <w:right w:val="single" w:color="auto" w:sz="4" w:space="0"/>
            </w:tcBorders>
            <w:vAlign w:val="center"/>
          </w:tcPr>
          <w:p w14:paraId="7928797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S3   1.5-3m</w:t>
            </w:r>
          </w:p>
        </w:tc>
        <w:tc>
          <w:tcPr>
            <w:tcW w:w="1126" w:type="pct"/>
            <w:tcBorders>
              <w:top w:val="single" w:color="auto" w:sz="4" w:space="0"/>
              <w:left w:val="single" w:color="auto" w:sz="4" w:space="0"/>
              <w:bottom w:val="single" w:color="auto" w:sz="4" w:space="0"/>
              <w:right w:val="single" w:color="auto" w:sz="4" w:space="0"/>
            </w:tcBorders>
            <w:vAlign w:val="center"/>
          </w:tcPr>
          <w:p w14:paraId="0CFDABC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vAlign w:val="center"/>
          </w:tcPr>
          <w:p w14:paraId="780E4B3E">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383DE1C4">
            <w:pPr>
              <w:pStyle w:val="102"/>
              <w:rPr>
                <w:rFonts w:hint="default" w:ascii="Times New Roman" w:hAnsi="Times New Roman" w:cs="Times New Roman"/>
                <w:bCs/>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639DE307">
            <w:pPr>
              <w:pStyle w:val="102"/>
              <w:rPr>
                <w:rFonts w:hint="default" w:ascii="Times New Roman" w:hAnsi="Times New Roman" w:cs="Times New Roman"/>
                <w:color w:val="auto"/>
                <w:sz w:val="21"/>
                <w:szCs w:val="21"/>
                <w:u w:val="none" w:color="auto"/>
              </w:rPr>
            </w:pPr>
          </w:p>
        </w:tc>
      </w:tr>
      <w:tr w14:paraId="705FD075">
        <w:tc>
          <w:tcPr>
            <w:tcW w:w="983" w:type="pct"/>
            <w:vMerge w:val="continue"/>
            <w:tcBorders>
              <w:top w:val="single" w:color="auto" w:sz="4" w:space="0"/>
              <w:left w:val="single" w:color="auto" w:sz="12" w:space="0"/>
              <w:bottom w:val="single" w:color="auto" w:sz="4" w:space="0"/>
              <w:right w:val="single" w:color="auto" w:sz="4" w:space="0"/>
            </w:tcBorders>
            <w:vAlign w:val="center"/>
          </w:tcPr>
          <w:p w14:paraId="36E9EADA">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3B90983A">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vAlign w:val="center"/>
          </w:tcPr>
          <w:p w14:paraId="2AE7A318">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036BE016">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54A822B7">
            <w:pPr>
              <w:pStyle w:val="102"/>
              <w:rPr>
                <w:rFonts w:hint="default" w:ascii="Times New Roman" w:hAnsi="Times New Roman" w:cs="Times New Roman"/>
                <w:color w:val="auto"/>
                <w:sz w:val="21"/>
                <w:szCs w:val="21"/>
                <w:u w:val="none" w:color="auto"/>
              </w:rPr>
            </w:pPr>
          </w:p>
        </w:tc>
      </w:tr>
      <w:tr w14:paraId="0FC786B1">
        <w:tblPrEx>
          <w:tblCellMar>
            <w:top w:w="0" w:type="dxa"/>
            <w:left w:w="108" w:type="dxa"/>
            <w:bottom w:w="0" w:type="dxa"/>
            <w:right w:w="108" w:type="dxa"/>
          </w:tblCellMar>
        </w:tblPrEx>
        <w:tc>
          <w:tcPr>
            <w:tcW w:w="983" w:type="pct"/>
            <w:vMerge w:val="continue"/>
            <w:tcBorders>
              <w:top w:val="single" w:color="auto" w:sz="4" w:space="0"/>
              <w:left w:val="single" w:color="auto" w:sz="12" w:space="0"/>
              <w:bottom w:val="single" w:color="auto" w:sz="4" w:space="0"/>
              <w:right w:val="single" w:color="auto" w:sz="4" w:space="0"/>
            </w:tcBorders>
            <w:vAlign w:val="center"/>
          </w:tcPr>
          <w:p w14:paraId="100FA264">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vAlign w:val="center"/>
          </w:tcPr>
          <w:p w14:paraId="1C244B86">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vAlign w:val="center"/>
          </w:tcPr>
          <w:p w14:paraId="251F2CF0">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4" w:space="0"/>
            </w:tcBorders>
            <w:vAlign w:val="center"/>
          </w:tcPr>
          <w:p w14:paraId="24DB2C56">
            <w:pPr>
              <w:pStyle w:val="102"/>
              <w:rPr>
                <w:rFonts w:hint="default" w:ascii="Times New Roman" w:hAnsi="Times New Roman" w:cs="Times New Roman"/>
                <w:color w:val="auto"/>
                <w:sz w:val="21"/>
                <w:szCs w:val="21"/>
                <w:u w:val="none" w:color="auto"/>
              </w:rPr>
            </w:pPr>
          </w:p>
        </w:tc>
        <w:tc>
          <w:tcPr>
            <w:tcW w:w="963" w:type="pct"/>
            <w:tcBorders>
              <w:top w:val="single" w:color="auto" w:sz="4" w:space="0"/>
              <w:left w:val="single" w:color="auto" w:sz="4" w:space="0"/>
              <w:bottom w:val="single" w:color="auto" w:sz="4" w:space="0"/>
              <w:right w:val="single" w:color="auto" w:sz="12" w:space="0"/>
            </w:tcBorders>
          </w:tcPr>
          <w:p w14:paraId="50F3E61E">
            <w:pPr>
              <w:pStyle w:val="102"/>
              <w:rPr>
                <w:rFonts w:hint="default" w:ascii="Times New Roman" w:hAnsi="Times New Roman" w:cs="Times New Roman"/>
                <w:color w:val="auto"/>
                <w:sz w:val="21"/>
                <w:szCs w:val="21"/>
                <w:u w:val="none" w:color="auto"/>
              </w:rPr>
            </w:pPr>
          </w:p>
        </w:tc>
      </w:tr>
      <w:tr w14:paraId="7A0A1360">
        <w:tblPrEx>
          <w:tblCellMar>
            <w:top w:w="0" w:type="dxa"/>
            <w:left w:w="108" w:type="dxa"/>
            <w:bottom w:w="0" w:type="dxa"/>
            <w:right w:w="108" w:type="dxa"/>
          </w:tblCellMar>
        </w:tblPrEx>
        <w:tc>
          <w:tcPr>
            <w:tcW w:w="983" w:type="pct"/>
            <w:vMerge w:val="restart"/>
            <w:tcBorders>
              <w:top w:val="single" w:color="auto" w:sz="4" w:space="0"/>
              <w:left w:val="single" w:color="auto" w:sz="12" w:space="0"/>
              <w:right w:val="single" w:color="auto" w:sz="4" w:space="0"/>
            </w:tcBorders>
            <w:vAlign w:val="center"/>
          </w:tcPr>
          <w:p w14:paraId="7BEC59B7">
            <w:pPr>
              <w:pStyle w:val="102"/>
              <w:rPr>
                <w:rFonts w:hint="default" w:ascii="Times New Roman" w:hAnsi="Times New Roman" w:cs="Times New Roman" w:eastAsiaTheme="minorEastAsia"/>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S5</w:t>
            </w:r>
          </w:p>
        </w:tc>
        <w:tc>
          <w:tcPr>
            <w:tcW w:w="1126" w:type="pct"/>
            <w:tcBorders>
              <w:top w:val="single" w:color="auto" w:sz="4" w:space="0"/>
              <w:left w:val="single" w:color="auto" w:sz="4" w:space="0"/>
              <w:bottom w:val="single" w:color="auto" w:sz="4" w:space="0"/>
              <w:right w:val="single" w:color="auto" w:sz="4" w:space="0"/>
            </w:tcBorders>
            <w:shd w:val="clear" w:color="auto" w:fill="auto"/>
            <w:vAlign w:val="center"/>
          </w:tcPr>
          <w:p w14:paraId="042E8772">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283A9971">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78E3F105">
            <w:pPr>
              <w:pStyle w:val="102"/>
              <w:rPr>
                <w:rFonts w:hint="default" w:ascii="Times New Roman" w:hAnsi="Times New Roman" w:cs="Times New Roman" w:eastAsiaTheme="minorEastAsia"/>
                <w:bCs/>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12" w:space="0"/>
            </w:tcBorders>
            <w:shd w:val="clear" w:color="auto" w:fill="auto"/>
            <w:vAlign w:val="top"/>
          </w:tcPr>
          <w:p w14:paraId="579CFDC2">
            <w:pPr>
              <w:pStyle w:val="102"/>
              <w:rPr>
                <w:rFonts w:hint="default" w:ascii="Times New Roman" w:hAnsi="Times New Roman" w:cs="Times New Roman" w:eastAsiaTheme="minorEastAsia"/>
                <w:color w:val="auto"/>
                <w:kern w:val="2"/>
                <w:sz w:val="21"/>
                <w:szCs w:val="21"/>
                <w:u w:val="none" w:color="auto"/>
                <w:lang w:val="en-US" w:eastAsia="zh-CN" w:bidi="ar-SA"/>
              </w:rPr>
            </w:pPr>
          </w:p>
        </w:tc>
      </w:tr>
      <w:tr w14:paraId="5458674B">
        <w:tblPrEx>
          <w:tblCellMar>
            <w:top w:w="0" w:type="dxa"/>
            <w:left w:w="108" w:type="dxa"/>
            <w:bottom w:w="0" w:type="dxa"/>
            <w:right w:w="108" w:type="dxa"/>
          </w:tblCellMar>
        </w:tblPrEx>
        <w:tc>
          <w:tcPr>
            <w:tcW w:w="983" w:type="pct"/>
            <w:vMerge w:val="continue"/>
            <w:tcBorders>
              <w:left w:val="single" w:color="auto" w:sz="12" w:space="0"/>
              <w:right w:val="single" w:color="auto" w:sz="4" w:space="0"/>
            </w:tcBorders>
            <w:vAlign w:val="center"/>
          </w:tcPr>
          <w:p w14:paraId="74245FE5">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shd w:val="clear" w:color="auto" w:fill="auto"/>
            <w:vAlign w:val="center"/>
          </w:tcPr>
          <w:p w14:paraId="27ABCE25">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06785FE7">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535471F3">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12" w:space="0"/>
            </w:tcBorders>
            <w:shd w:val="clear" w:color="auto" w:fill="auto"/>
            <w:vAlign w:val="top"/>
          </w:tcPr>
          <w:p w14:paraId="66A3F349">
            <w:pPr>
              <w:pStyle w:val="102"/>
              <w:rPr>
                <w:rFonts w:hint="default" w:ascii="Times New Roman" w:hAnsi="Times New Roman" w:cs="Times New Roman" w:eastAsiaTheme="minorEastAsia"/>
                <w:color w:val="auto"/>
                <w:kern w:val="2"/>
                <w:sz w:val="21"/>
                <w:szCs w:val="21"/>
                <w:u w:val="none" w:color="auto"/>
                <w:lang w:val="en-US" w:eastAsia="zh-CN" w:bidi="ar-SA"/>
              </w:rPr>
            </w:pPr>
          </w:p>
        </w:tc>
      </w:tr>
      <w:tr w14:paraId="41E8E856">
        <w:tblPrEx>
          <w:tblCellMar>
            <w:top w:w="0" w:type="dxa"/>
            <w:left w:w="108" w:type="dxa"/>
            <w:bottom w:w="0" w:type="dxa"/>
            <w:right w:w="108" w:type="dxa"/>
          </w:tblCellMar>
        </w:tblPrEx>
        <w:tc>
          <w:tcPr>
            <w:tcW w:w="983" w:type="pct"/>
            <w:vMerge w:val="continue"/>
            <w:tcBorders>
              <w:left w:val="single" w:color="auto" w:sz="12" w:space="0"/>
              <w:bottom w:val="single" w:color="auto" w:sz="4" w:space="0"/>
              <w:right w:val="single" w:color="auto" w:sz="4" w:space="0"/>
            </w:tcBorders>
            <w:vAlign w:val="center"/>
          </w:tcPr>
          <w:p w14:paraId="6C5445BA">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shd w:val="clear" w:color="auto" w:fill="auto"/>
            <w:vAlign w:val="center"/>
          </w:tcPr>
          <w:p w14:paraId="4FDBD3B9">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4D3E2C62">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185F470E">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12" w:space="0"/>
            </w:tcBorders>
            <w:shd w:val="clear" w:color="auto" w:fill="auto"/>
            <w:vAlign w:val="top"/>
          </w:tcPr>
          <w:p w14:paraId="63BED35F">
            <w:pPr>
              <w:pStyle w:val="102"/>
              <w:rPr>
                <w:rFonts w:hint="default" w:ascii="Times New Roman" w:hAnsi="Times New Roman" w:cs="Times New Roman" w:eastAsiaTheme="minorEastAsia"/>
                <w:color w:val="auto"/>
                <w:kern w:val="2"/>
                <w:sz w:val="21"/>
                <w:szCs w:val="21"/>
                <w:u w:val="none" w:color="auto"/>
                <w:lang w:val="en-US" w:eastAsia="zh-CN" w:bidi="ar-SA"/>
              </w:rPr>
            </w:pPr>
          </w:p>
        </w:tc>
      </w:tr>
      <w:tr w14:paraId="112E1484">
        <w:tblPrEx>
          <w:tblCellMar>
            <w:top w:w="0" w:type="dxa"/>
            <w:left w:w="108" w:type="dxa"/>
            <w:bottom w:w="0" w:type="dxa"/>
            <w:right w:w="108" w:type="dxa"/>
          </w:tblCellMar>
        </w:tblPrEx>
        <w:tc>
          <w:tcPr>
            <w:tcW w:w="983" w:type="pct"/>
            <w:vMerge w:val="restart"/>
            <w:tcBorders>
              <w:top w:val="single" w:color="auto" w:sz="4" w:space="0"/>
              <w:left w:val="single" w:color="auto" w:sz="12" w:space="0"/>
              <w:right w:val="single" w:color="auto" w:sz="4" w:space="0"/>
            </w:tcBorders>
            <w:vAlign w:val="center"/>
          </w:tcPr>
          <w:p w14:paraId="0917C5C3">
            <w:pPr>
              <w:pStyle w:val="102"/>
              <w:rPr>
                <w:rFonts w:hint="default" w:ascii="Times New Roman" w:hAnsi="Times New Roman" w:cs="Times New Roman" w:eastAsiaTheme="minorEastAsia"/>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S6</w:t>
            </w:r>
          </w:p>
        </w:tc>
        <w:tc>
          <w:tcPr>
            <w:tcW w:w="1126" w:type="pct"/>
            <w:tcBorders>
              <w:top w:val="single" w:color="auto" w:sz="4" w:space="0"/>
              <w:left w:val="single" w:color="auto" w:sz="4" w:space="0"/>
              <w:bottom w:val="single" w:color="auto" w:sz="4" w:space="0"/>
              <w:right w:val="single" w:color="auto" w:sz="4" w:space="0"/>
            </w:tcBorders>
            <w:shd w:val="clear" w:color="auto" w:fill="auto"/>
            <w:vAlign w:val="center"/>
          </w:tcPr>
          <w:p w14:paraId="34DED982">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测定值</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17062992">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5E8BDAC5">
            <w:pPr>
              <w:pStyle w:val="102"/>
              <w:rPr>
                <w:rFonts w:hint="default" w:ascii="Times New Roman" w:hAnsi="Times New Roman" w:cs="Times New Roman" w:eastAsiaTheme="minorEastAsia"/>
                <w:bCs/>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12" w:space="0"/>
            </w:tcBorders>
            <w:shd w:val="clear" w:color="auto" w:fill="auto"/>
            <w:vAlign w:val="top"/>
          </w:tcPr>
          <w:p w14:paraId="42632C46">
            <w:pPr>
              <w:pStyle w:val="102"/>
              <w:rPr>
                <w:rFonts w:hint="default" w:ascii="Times New Roman" w:hAnsi="Times New Roman" w:cs="Times New Roman" w:eastAsiaTheme="minorEastAsia"/>
                <w:color w:val="auto"/>
                <w:kern w:val="2"/>
                <w:sz w:val="21"/>
                <w:szCs w:val="21"/>
                <w:u w:val="none" w:color="auto"/>
                <w:lang w:val="en-US" w:eastAsia="zh-CN" w:bidi="ar-SA"/>
              </w:rPr>
            </w:pPr>
          </w:p>
        </w:tc>
      </w:tr>
      <w:tr w14:paraId="256D0D68">
        <w:tblPrEx>
          <w:tblCellMar>
            <w:top w:w="0" w:type="dxa"/>
            <w:left w:w="108" w:type="dxa"/>
            <w:bottom w:w="0" w:type="dxa"/>
            <w:right w:w="108" w:type="dxa"/>
          </w:tblCellMar>
        </w:tblPrEx>
        <w:tc>
          <w:tcPr>
            <w:tcW w:w="983" w:type="pct"/>
            <w:vMerge w:val="continue"/>
            <w:tcBorders>
              <w:left w:val="single" w:color="auto" w:sz="12" w:space="0"/>
              <w:right w:val="single" w:color="auto" w:sz="4" w:space="0"/>
            </w:tcBorders>
            <w:vAlign w:val="center"/>
          </w:tcPr>
          <w:p w14:paraId="125AD63E">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4" w:space="0"/>
              <w:right w:val="single" w:color="auto" w:sz="4" w:space="0"/>
            </w:tcBorders>
            <w:shd w:val="clear" w:color="auto" w:fill="auto"/>
            <w:vAlign w:val="center"/>
          </w:tcPr>
          <w:p w14:paraId="64559998">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标准值≤</w:t>
            </w: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359E688D">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4" w:space="0"/>
            </w:tcBorders>
            <w:shd w:val="clear" w:color="auto" w:fill="auto"/>
            <w:vAlign w:val="center"/>
          </w:tcPr>
          <w:p w14:paraId="722AC2CC">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4" w:space="0"/>
              <w:right w:val="single" w:color="auto" w:sz="12" w:space="0"/>
            </w:tcBorders>
            <w:shd w:val="clear" w:color="auto" w:fill="auto"/>
            <w:vAlign w:val="top"/>
          </w:tcPr>
          <w:p w14:paraId="7084D0B2">
            <w:pPr>
              <w:pStyle w:val="102"/>
              <w:rPr>
                <w:rFonts w:hint="default" w:ascii="Times New Roman" w:hAnsi="Times New Roman" w:cs="Times New Roman" w:eastAsiaTheme="minorEastAsia"/>
                <w:color w:val="auto"/>
                <w:kern w:val="2"/>
                <w:sz w:val="21"/>
                <w:szCs w:val="21"/>
                <w:u w:val="none" w:color="auto"/>
                <w:lang w:val="en-US" w:eastAsia="zh-CN" w:bidi="ar-SA"/>
              </w:rPr>
            </w:pPr>
          </w:p>
        </w:tc>
      </w:tr>
      <w:tr w14:paraId="1B5CD0B2">
        <w:tblPrEx>
          <w:tblCellMar>
            <w:top w:w="0" w:type="dxa"/>
            <w:left w:w="108" w:type="dxa"/>
            <w:bottom w:w="0" w:type="dxa"/>
            <w:right w:w="108" w:type="dxa"/>
          </w:tblCellMar>
        </w:tblPrEx>
        <w:tc>
          <w:tcPr>
            <w:tcW w:w="983" w:type="pct"/>
            <w:vMerge w:val="continue"/>
            <w:tcBorders>
              <w:left w:val="single" w:color="auto" w:sz="12" w:space="0"/>
              <w:bottom w:val="single" w:color="auto" w:sz="12" w:space="0"/>
              <w:right w:val="single" w:color="auto" w:sz="4" w:space="0"/>
            </w:tcBorders>
            <w:vAlign w:val="center"/>
          </w:tcPr>
          <w:p w14:paraId="143B1375">
            <w:pPr>
              <w:pStyle w:val="102"/>
              <w:rPr>
                <w:rFonts w:hint="default" w:ascii="Times New Roman" w:hAnsi="Times New Roman" w:cs="Times New Roman"/>
                <w:color w:val="auto"/>
                <w:sz w:val="21"/>
                <w:szCs w:val="21"/>
                <w:u w:val="none" w:color="auto"/>
              </w:rPr>
            </w:pPr>
          </w:p>
        </w:tc>
        <w:tc>
          <w:tcPr>
            <w:tcW w:w="1126" w:type="pct"/>
            <w:tcBorders>
              <w:top w:val="single" w:color="auto" w:sz="4" w:space="0"/>
              <w:left w:val="single" w:color="auto" w:sz="4" w:space="0"/>
              <w:bottom w:val="single" w:color="auto" w:sz="12" w:space="0"/>
              <w:right w:val="single" w:color="auto" w:sz="4" w:space="0"/>
            </w:tcBorders>
            <w:shd w:val="clear" w:color="auto" w:fill="auto"/>
            <w:vAlign w:val="center"/>
          </w:tcPr>
          <w:p w14:paraId="2F0848F1">
            <w:pPr>
              <w:pStyle w:val="102"/>
              <w:rPr>
                <w:rFonts w:hint="default" w:ascii="Times New Roman" w:hAnsi="Times New Roman" w:cs="Times New Roman" w:eastAsiaTheme="minorEastAsia"/>
                <w:color w:val="auto"/>
                <w:kern w:val="2"/>
                <w:sz w:val="21"/>
                <w:szCs w:val="21"/>
                <w:u w:val="none" w:color="auto"/>
                <w:lang w:val="en-US" w:eastAsia="zh-CN" w:bidi="ar-SA"/>
              </w:rPr>
            </w:pPr>
            <w:r>
              <w:rPr>
                <w:rFonts w:hint="default" w:ascii="Times New Roman" w:hAnsi="Times New Roman" w:cs="Times New Roman"/>
                <w:color w:val="auto"/>
                <w:sz w:val="21"/>
                <w:szCs w:val="21"/>
                <w:u w:val="none" w:color="auto"/>
              </w:rPr>
              <w:t>Pi</w:t>
            </w:r>
          </w:p>
        </w:tc>
        <w:tc>
          <w:tcPr>
            <w:tcW w:w="963" w:type="pct"/>
            <w:tcBorders>
              <w:top w:val="single" w:color="auto" w:sz="4" w:space="0"/>
              <w:left w:val="single" w:color="auto" w:sz="4" w:space="0"/>
              <w:bottom w:val="single" w:color="auto" w:sz="12" w:space="0"/>
              <w:right w:val="single" w:color="auto" w:sz="4" w:space="0"/>
            </w:tcBorders>
            <w:shd w:val="clear" w:color="auto" w:fill="auto"/>
            <w:vAlign w:val="center"/>
          </w:tcPr>
          <w:p w14:paraId="09ABA052">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12" w:space="0"/>
              <w:right w:val="single" w:color="auto" w:sz="4" w:space="0"/>
            </w:tcBorders>
            <w:shd w:val="clear" w:color="auto" w:fill="auto"/>
            <w:vAlign w:val="center"/>
          </w:tcPr>
          <w:p w14:paraId="3697A91D">
            <w:pPr>
              <w:pStyle w:val="102"/>
              <w:rPr>
                <w:rFonts w:hint="default" w:ascii="Times New Roman" w:hAnsi="Times New Roman" w:cs="Times New Roman" w:eastAsiaTheme="minorEastAsia"/>
                <w:color w:val="auto"/>
                <w:kern w:val="2"/>
                <w:sz w:val="21"/>
                <w:szCs w:val="21"/>
                <w:u w:val="none" w:color="auto"/>
                <w:lang w:val="en-US" w:eastAsia="zh-CN" w:bidi="ar-SA"/>
              </w:rPr>
            </w:pPr>
          </w:p>
        </w:tc>
        <w:tc>
          <w:tcPr>
            <w:tcW w:w="963" w:type="pct"/>
            <w:tcBorders>
              <w:top w:val="single" w:color="auto" w:sz="4" w:space="0"/>
              <w:left w:val="single" w:color="auto" w:sz="4" w:space="0"/>
              <w:bottom w:val="single" w:color="auto" w:sz="12" w:space="0"/>
              <w:right w:val="single" w:color="auto" w:sz="12" w:space="0"/>
            </w:tcBorders>
            <w:shd w:val="clear" w:color="auto" w:fill="auto"/>
            <w:vAlign w:val="top"/>
          </w:tcPr>
          <w:p w14:paraId="6A5D18EA">
            <w:pPr>
              <w:pStyle w:val="102"/>
              <w:rPr>
                <w:rFonts w:hint="default" w:ascii="Times New Roman" w:hAnsi="Times New Roman" w:cs="Times New Roman" w:eastAsiaTheme="minorEastAsia"/>
                <w:color w:val="auto"/>
                <w:kern w:val="2"/>
                <w:sz w:val="21"/>
                <w:szCs w:val="21"/>
                <w:u w:val="none" w:color="auto"/>
                <w:lang w:val="en-US" w:eastAsia="zh-CN" w:bidi="ar-SA"/>
              </w:rPr>
            </w:pPr>
          </w:p>
        </w:tc>
      </w:tr>
    </w:tbl>
    <w:p w14:paraId="1A6F7730">
      <w:pPr>
        <w:pStyle w:val="102"/>
        <w:rPr>
          <w:b/>
          <w:bCs/>
          <w:color w:val="auto"/>
          <w:kern w:val="2"/>
          <w:u w:val="none" w:color="auto"/>
        </w:rPr>
      </w:pPr>
    </w:p>
    <w:p w14:paraId="396C33A0">
      <w:pPr>
        <w:pStyle w:val="6"/>
        <w:bidi w:val="0"/>
        <w:rPr>
          <w:color w:val="auto"/>
          <w:u w:val="none" w:color="auto"/>
        </w:rPr>
      </w:pPr>
      <w:r>
        <w:rPr>
          <w:color w:val="auto"/>
          <w:u w:val="none" w:color="auto"/>
        </w:rPr>
        <w:t>S</w:t>
      </w:r>
      <w:r>
        <w:rPr>
          <w:rFonts w:hint="eastAsia"/>
          <w:color w:val="auto"/>
          <w:u w:val="none" w:color="auto"/>
        </w:rPr>
        <w:t>4</w:t>
      </w:r>
      <w:r>
        <w:rPr>
          <w:rFonts w:ascii="Times New Roman" w:hAnsi="Times New Roman" w:eastAsia="宋体"/>
          <w:color w:val="auto"/>
          <w:u w:val="none" w:color="auto"/>
        </w:rPr>
        <w:t>监测点</w:t>
      </w:r>
      <w:r>
        <w:rPr>
          <w:color w:val="auto"/>
          <w:u w:val="none" w:color="auto"/>
        </w:rPr>
        <w:t>土壤表层</w:t>
      </w:r>
      <w:r>
        <w:rPr>
          <w:rFonts w:hint="eastAsia"/>
          <w:color w:val="auto"/>
          <w:u w:val="none" w:color="auto"/>
          <w:lang w:eastAsia="zh-CN"/>
        </w:rPr>
        <w:t>重金属检测</w:t>
      </w:r>
      <w:r>
        <w:rPr>
          <w:color w:val="auto"/>
          <w:u w:val="none" w:color="auto"/>
        </w:rPr>
        <w:t>结果单位：mg/kg</w:t>
      </w:r>
    </w:p>
    <w:tbl>
      <w:tblPr>
        <w:tblStyle w:val="37"/>
        <w:tblW w:w="4997" w:type="pct"/>
        <w:tblInd w:w="0" w:type="dxa"/>
        <w:tblLayout w:type="autofit"/>
        <w:tblCellMar>
          <w:top w:w="0" w:type="dxa"/>
          <w:left w:w="108" w:type="dxa"/>
          <w:bottom w:w="0" w:type="dxa"/>
          <w:right w:w="108" w:type="dxa"/>
        </w:tblCellMar>
      </w:tblPr>
      <w:tblGrid>
        <w:gridCol w:w="960"/>
        <w:gridCol w:w="1104"/>
        <w:gridCol w:w="781"/>
        <w:gridCol w:w="944"/>
        <w:gridCol w:w="946"/>
        <w:gridCol w:w="825"/>
        <w:gridCol w:w="1065"/>
        <w:gridCol w:w="946"/>
        <w:gridCol w:w="946"/>
      </w:tblGrid>
      <w:tr w14:paraId="7D04A647">
        <w:tblPrEx>
          <w:tblCellMar>
            <w:top w:w="0" w:type="dxa"/>
            <w:left w:w="108" w:type="dxa"/>
            <w:bottom w:w="0" w:type="dxa"/>
            <w:right w:w="108" w:type="dxa"/>
          </w:tblCellMar>
        </w:tblPrEx>
        <w:trPr>
          <w:tblHeader/>
        </w:trPr>
        <w:tc>
          <w:tcPr>
            <w:tcW w:w="1211" w:type="pct"/>
            <w:gridSpan w:val="2"/>
            <w:tcBorders>
              <w:top w:val="single" w:color="auto" w:sz="12" w:space="0"/>
              <w:left w:val="single" w:color="auto" w:sz="12" w:space="0"/>
              <w:bottom w:val="single" w:color="auto" w:sz="8" w:space="0"/>
              <w:right w:val="single" w:color="000000" w:sz="8" w:space="0"/>
            </w:tcBorders>
            <w:vAlign w:val="center"/>
          </w:tcPr>
          <w:p w14:paraId="6694BE7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监测项目</w:t>
            </w:r>
          </w:p>
        </w:tc>
        <w:tc>
          <w:tcPr>
            <w:tcW w:w="458" w:type="pct"/>
            <w:tcBorders>
              <w:top w:val="single" w:color="auto" w:sz="12" w:space="0"/>
              <w:left w:val="nil"/>
              <w:bottom w:val="single" w:color="auto" w:sz="8" w:space="0"/>
              <w:right w:val="single" w:color="auto" w:sz="8" w:space="0"/>
            </w:tcBorders>
            <w:vAlign w:val="center"/>
          </w:tcPr>
          <w:p w14:paraId="588427F5">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砷</w:t>
            </w:r>
          </w:p>
        </w:tc>
        <w:tc>
          <w:tcPr>
            <w:tcW w:w="554" w:type="pct"/>
            <w:tcBorders>
              <w:top w:val="single" w:color="auto" w:sz="12" w:space="0"/>
              <w:left w:val="nil"/>
              <w:bottom w:val="single" w:color="auto" w:sz="8" w:space="0"/>
              <w:right w:val="single" w:color="auto" w:sz="8" w:space="0"/>
            </w:tcBorders>
            <w:vAlign w:val="center"/>
          </w:tcPr>
          <w:p w14:paraId="0E6AB818">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镉</w:t>
            </w:r>
          </w:p>
        </w:tc>
        <w:tc>
          <w:tcPr>
            <w:tcW w:w="555" w:type="pct"/>
            <w:tcBorders>
              <w:top w:val="single" w:color="auto" w:sz="12" w:space="0"/>
              <w:left w:val="nil"/>
              <w:bottom w:val="single" w:color="auto" w:sz="8" w:space="0"/>
              <w:right w:val="single" w:color="auto" w:sz="8" w:space="0"/>
            </w:tcBorders>
            <w:vAlign w:val="center"/>
          </w:tcPr>
          <w:p w14:paraId="7EC55ABF">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六价铬</w:t>
            </w:r>
          </w:p>
        </w:tc>
        <w:tc>
          <w:tcPr>
            <w:tcW w:w="484" w:type="pct"/>
            <w:tcBorders>
              <w:top w:val="single" w:color="auto" w:sz="12" w:space="0"/>
              <w:left w:val="nil"/>
              <w:bottom w:val="single" w:color="auto" w:sz="8" w:space="0"/>
              <w:right w:val="single" w:color="auto" w:sz="8" w:space="0"/>
            </w:tcBorders>
            <w:vAlign w:val="center"/>
          </w:tcPr>
          <w:p w14:paraId="6C7A594C">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铜</w:t>
            </w:r>
          </w:p>
        </w:tc>
        <w:tc>
          <w:tcPr>
            <w:tcW w:w="625" w:type="pct"/>
            <w:tcBorders>
              <w:top w:val="single" w:color="auto" w:sz="12" w:space="0"/>
              <w:left w:val="nil"/>
              <w:bottom w:val="single" w:color="auto" w:sz="8" w:space="0"/>
              <w:right w:val="single" w:color="auto" w:sz="8" w:space="0"/>
            </w:tcBorders>
            <w:vAlign w:val="center"/>
          </w:tcPr>
          <w:p w14:paraId="3E90611D">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铅</w:t>
            </w:r>
          </w:p>
        </w:tc>
        <w:tc>
          <w:tcPr>
            <w:tcW w:w="555" w:type="pct"/>
            <w:tcBorders>
              <w:top w:val="single" w:color="auto" w:sz="12" w:space="0"/>
              <w:left w:val="nil"/>
              <w:bottom w:val="single" w:color="auto" w:sz="8" w:space="0"/>
              <w:right w:val="single" w:color="auto" w:sz="8" w:space="0"/>
            </w:tcBorders>
            <w:vAlign w:val="center"/>
          </w:tcPr>
          <w:p w14:paraId="41958786">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汞</w:t>
            </w:r>
          </w:p>
        </w:tc>
        <w:tc>
          <w:tcPr>
            <w:tcW w:w="555" w:type="pct"/>
            <w:tcBorders>
              <w:top w:val="single" w:color="auto" w:sz="12" w:space="0"/>
              <w:left w:val="nil"/>
              <w:bottom w:val="single" w:color="auto" w:sz="8" w:space="0"/>
              <w:right w:val="single" w:color="auto" w:sz="12" w:space="0"/>
            </w:tcBorders>
            <w:vAlign w:val="center"/>
          </w:tcPr>
          <w:p w14:paraId="740E2586">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镍</w:t>
            </w:r>
          </w:p>
        </w:tc>
      </w:tr>
      <w:tr w14:paraId="2C468410">
        <w:tblPrEx>
          <w:tblCellMar>
            <w:top w:w="0" w:type="dxa"/>
            <w:left w:w="108" w:type="dxa"/>
            <w:bottom w:w="0" w:type="dxa"/>
            <w:right w:w="108" w:type="dxa"/>
          </w:tblCellMar>
        </w:tblPrEx>
        <w:tc>
          <w:tcPr>
            <w:tcW w:w="563" w:type="pct"/>
            <w:vMerge w:val="restart"/>
            <w:tcBorders>
              <w:top w:val="nil"/>
              <w:left w:val="single" w:color="auto" w:sz="12" w:space="0"/>
              <w:bottom w:val="single" w:color="000000" w:sz="8" w:space="0"/>
              <w:right w:val="single" w:color="auto" w:sz="8" w:space="0"/>
            </w:tcBorders>
            <w:vAlign w:val="center"/>
          </w:tcPr>
          <w:p w14:paraId="18A8DB2E">
            <w:pPr>
              <w:pStyle w:val="102"/>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rPr>
              <w:t>S4</w:t>
            </w:r>
          </w:p>
        </w:tc>
        <w:tc>
          <w:tcPr>
            <w:tcW w:w="648" w:type="pct"/>
            <w:tcBorders>
              <w:top w:val="nil"/>
              <w:left w:val="nil"/>
              <w:bottom w:val="single" w:color="auto" w:sz="8" w:space="0"/>
              <w:right w:val="single" w:color="auto" w:sz="8" w:space="0"/>
            </w:tcBorders>
            <w:vAlign w:val="center"/>
          </w:tcPr>
          <w:p w14:paraId="3C6A0D3C">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测定值</w:t>
            </w:r>
          </w:p>
        </w:tc>
        <w:tc>
          <w:tcPr>
            <w:tcW w:w="458" w:type="pct"/>
            <w:tcBorders>
              <w:top w:val="nil"/>
              <w:left w:val="nil"/>
              <w:bottom w:val="single" w:color="auto" w:sz="8" w:space="0"/>
              <w:right w:val="single" w:color="auto" w:sz="8" w:space="0"/>
            </w:tcBorders>
            <w:vAlign w:val="center"/>
          </w:tcPr>
          <w:p w14:paraId="01CF0970">
            <w:pPr>
              <w:pStyle w:val="102"/>
              <w:rPr>
                <w:rFonts w:hint="default" w:ascii="Times New Roman" w:hAnsi="Times New Roman" w:cs="Times New Roman"/>
                <w:color w:val="auto"/>
                <w:sz w:val="21"/>
                <w:szCs w:val="21"/>
                <w:u w:val="none" w:color="auto"/>
              </w:rPr>
            </w:pPr>
          </w:p>
        </w:tc>
        <w:tc>
          <w:tcPr>
            <w:tcW w:w="554" w:type="pct"/>
            <w:tcBorders>
              <w:top w:val="nil"/>
              <w:left w:val="nil"/>
              <w:bottom w:val="single" w:color="auto" w:sz="8" w:space="0"/>
              <w:right w:val="single" w:color="auto" w:sz="8" w:space="0"/>
            </w:tcBorders>
            <w:vAlign w:val="center"/>
          </w:tcPr>
          <w:p w14:paraId="01909383">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48F84158">
            <w:pPr>
              <w:pStyle w:val="102"/>
              <w:rPr>
                <w:rFonts w:hint="default" w:ascii="Times New Roman" w:hAnsi="Times New Roman" w:cs="Times New Roman"/>
                <w:color w:val="auto"/>
                <w:sz w:val="21"/>
                <w:szCs w:val="21"/>
                <w:u w:val="none" w:color="auto"/>
              </w:rPr>
            </w:pPr>
          </w:p>
        </w:tc>
        <w:tc>
          <w:tcPr>
            <w:tcW w:w="484" w:type="pct"/>
            <w:tcBorders>
              <w:top w:val="nil"/>
              <w:left w:val="nil"/>
              <w:bottom w:val="single" w:color="auto" w:sz="8" w:space="0"/>
              <w:right w:val="single" w:color="auto" w:sz="8" w:space="0"/>
            </w:tcBorders>
            <w:vAlign w:val="center"/>
          </w:tcPr>
          <w:p w14:paraId="077EBB85">
            <w:pPr>
              <w:pStyle w:val="102"/>
              <w:rPr>
                <w:rFonts w:hint="default" w:ascii="Times New Roman" w:hAnsi="Times New Roman" w:cs="Times New Roman"/>
                <w:color w:val="auto"/>
                <w:sz w:val="21"/>
                <w:szCs w:val="21"/>
                <w:u w:val="none" w:color="auto"/>
              </w:rPr>
            </w:pPr>
          </w:p>
        </w:tc>
        <w:tc>
          <w:tcPr>
            <w:tcW w:w="625" w:type="pct"/>
            <w:tcBorders>
              <w:top w:val="nil"/>
              <w:left w:val="nil"/>
              <w:bottom w:val="single" w:color="auto" w:sz="8" w:space="0"/>
              <w:right w:val="single" w:color="auto" w:sz="8" w:space="0"/>
            </w:tcBorders>
            <w:vAlign w:val="center"/>
          </w:tcPr>
          <w:p w14:paraId="2D08E7E1">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3CFAC236">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12" w:space="0"/>
            </w:tcBorders>
            <w:vAlign w:val="center"/>
          </w:tcPr>
          <w:p w14:paraId="6702A4DA">
            <w:pPr>
              <w:pStyle w:val="102"/>
              <w:rPr>
                <w:rFonts w:hint="default" w:ascii="Times New Roman" w:hAnsi="Times New Roman" w:cs="Times New Roman"/>
                <w:color w:val="auto"/>
                <w:sz w:val="21"/>
                <w:szCs w:val="21"/>
                <w:u w:val="none" w:color="auto"/>
              </w:rPr>
            </w:pPr>
          </w:p>
        </w:tc>
      </w:tr>
      <w:tr w14:paraId="608FC5B8">
        <w:tblPrEx>
          <w:tblCellMar>
            <w:top w:w="0" w:type="dxa"/>
            <w:left w:w="108" w:type="dxa"/>
            <w:bottom w:w="0" w:type="dxa"/>
            <w:right w:w="108" w:type="dxa"/>
          </w:tblCellMar>
        </w:tblPrEx>
        <w:tc>
          <w:tcPr>
            <w:tcW w:w="563" w:type="pct"/>
            <w:vMerge w:val="continue"/>
            <w:tcBorders>
              <w:top w:val="nil"/>
              <w:left w:val="single" w:color="auto" w:sz="12" w:space="0"/>
              <w:bottom w:val="single" w:color="000000" w:sz="8" w:space="0"/>
              <w:right w:val="single" w:color="auto" w:sz="8" w:space="0"/>
            </w:tcBorders>
            <w:vAlign w:val="center"/>
          </w:tcPr>
          <w:p w14:paraId="4502250F">
            <w:pPr>
              <w:pStyle w:val="102"/>
              <w:rPr>
                <w:rFonts w:hint="default" w:ascii="Times New Roman" w:hAnsi="Times New Roman" w:cs="Times New Roman"/>
                <w:color w:val="auto"/>
                <w:sz w:val="21"/>
                <w:szCs w:val="21"/>
                <w:u w:val="none" w:color="auto"/>
              </w:rPr>
            </w:pPr>
          </w:p>
        </w:tc>
        <w:tc>
          <w:tcPr>
            <w:tcW w:w="648" w:type="pct"/>
            <w:tcBorders>
              <w:top w:val="nil"/>
              <w:left w:val="nil"/>
              <w:bottom w:val="single" w:color="auto" w:sz="8" w:space="0"/>
              <w:right w:val="single" w:color="auto" w:sz="8" w:space="0"/>
            </w:tcBorders>
            <w:vAlign w:val="center"/>
          </w:tcPr>
          <w:p w14:paraId="189BFF1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458" w:type="pct"/>
            <w:tcBorders>
              <w:top w:val="nil"/>
              <w:left w:val="nil"/>
              <w:bottom w:val="single" w:color="auto" w:sz="8" w:space="0"/>
              <w:right w:val="single" w:color="auto" w:sz="8" w:space="0"/>
            </w:tcBorders>
            <w:vAlign w:val="center"/>
          </w:tcPr>
          <w:p w14:paraId="0AFE1866">
            <w:pPr>
              <w:pStyle w:val="102"/>
              <w:rPr>
                <w:rFonts w:hint="default" w:ascii="Times New Roman" w:hAnsi="Times New Roman" w:cs="Times New Roman"/>
                <w:color w:val="auto"/>
                <w:sz w:val="21"/>
                <w:szCs w:val="21"/>
                <w:u w:val="none" w:color="auto"/>
              </w:rPr>
            </w:pPr>
          </w:p>
        </w:tc>
        <w:tc>
          <w:tcPr>
            <w:tcW w:w="554" w:type="pct"/>
            <w:tcBorders>
              <w:top w:val="nil"/>
              <w:left w:val="nil"/>
              <w:bottom w:val="single" w:color="auto" w:sz="8" w:space="0"/>
              <w:right w:val="single" w:color="auto" w:sz="8" w:space="0"/>
            </w:tcBorders>
            <w:vAlign w:val="center"/>
          </w:tcPr>
          <w:p w14:paraId="0F1A4ADD">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4264489A">
            <w:pPr>
              <w:pStyle w:val="102"/>
              <w:rPr>
                <w:rFonts w:hint="default" w:ascii="Times New Roman" w:hAnsi="Times New Roman" w:cs="Times New Roman"/>
                <w:color w:val="auto"/>
                <w:sz w:val="21"/>
                <w:szCs w:val="21"/>
                <w:u w:val="none" w:color="auto"/>
              </w:rPr>
            </w:pPr>
          </w:p>
        </w:tc>
        <w:tc>
          <w:tcPr>
            <w:tcW w:w="484" w:type="pct"/>
            <w:tcBorders>
              <w:top w:val="nil"/>
              <w:left w:val="nil"/>
              <w:bottom w:val="single" w:color="auto" w:sz="8" w:space="0"/>
              <w:right w:val="single" w:color="auto" w:sz="8" w:space="0"/>
            </w:tcBorders>
            <w:vAlign w:val="center"/>
          </w:tcPr>
          <w:p w14:paraId="70499B76">
            <w:pPr>
              <w:pStyle w:val="102"/>
              <w:rPr>
                <w:rFonts w:hint="default" w:ascii="Times New Roman" w:hAnsi="Times New Roman" w:cs="Times New Roman"/>
                <w:color w:val="auto"/>
                <w:sz w:val="21"/>
                <w:szCs w:val="21"/>
                <w:u w:val="none" w:color="auto"/>
              </w:rPr>
            </w:pPr>
          </w:p>
        </w:tc>
        <w:tc>
          <w:tcPr>
            <w:tcW w:w="625" w:type="pct"/>
            <w:tcBorders>
              <w:top w:val="nil"/>
              <w:left w:val="nil"/>
              <w:bottom w:val="single" w:color="auto" w:sz="8" w:space="0"/>
              <w:right w:val="single" w:color="auto" w:sz="8" w:space="0"/>
            </w:tcBorders>
            <w:vAlign w:val="center"/>
          </w:tcPr>
          <w:p w14:paraId="75312714">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024DC633">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12" w:space="0"/>
            </w:tcBorders>
            <w:vAlign w:val="center"/>
          </w:tcPr>
          <w:p w14:paraId="50D58391">
            <w:pPr>
              <w:pStyle w:val="102"/>
              <w:rPr>
                <w:rFonts w:hint="default" w:ascii="Times New Roman" w:hAnsi="Times New Roman" w:cs="Times New Roman"/>
                <w:color w:val="auto"/>
                <w:sz w:val="21"/>
                <w:szCs w:val="21"/>
                <w:u w:val="none" w:color="auto"/>
              </w:rPr>
            </w:pPr>
          </w:p>
        </w:tc>
      </w:tr>
      <w:tr w14:paraId="65937E86">
        <w:tblPrEx>
          <w:tblCellMar>
            <w:top w:w="0" w:type="dxa"/>
            <w:left w:w="108" w:type="dxa"/>
            <w:bottom w:w="0" w:type="dxa"/>
            <w:right w:w="108" w:type="dxa"/>
          </w:tblCellMar>
        </w:tblPrEx>
        <w:tc>
          <w:tcPr>
            <w:tcW w:w="563" w:type="pct"/>
            <w:vMerge w:val="continue"/>
            <w:tcBorders>
              <w:top w:val="nil"/>
              <w:left w:val="single" w:color="auto" w:sz="12" w:space="0"/>
              <w:bottom w:val="single" w:color="000000" w:sz="8" w:space="0"/>
              <w:right w:val="single" w:color="auto" w:sz="8" w:space="0"/>
            </w:tcBorders>
            <w:vAlign w:val="center"/>
          </w:tcPr>
          <w:p w14:paraId="079401B1">
            <w:pPr>
              <w:pStyle w:val="102"/>
              <w:rPr>
                <w:rFonts w:hint="default" w:ascii="Times New Roman" w:hAnsi="Times New Roman" w:cs="Times New Roman"/>
                <w:color w:val="auto"/>
                <w:sz w:val="21"/>
                <w:szCs w:val="21"/>
                <w:u w:val="none" w:color="auto"/>
              </w:rPr>
            </w:pPr>
          </w:p>
        </w:tc>
        <w:tc>
          <w:tcPr>
            <w:tcW w:w="648" w:type="pct"/>
            <w:tcBorders>
              <w:top w:val="nil"/>
              <w:left w:val="nil"/>
              <w:bottom w:val="single" w:color="auto" w:sz="8" w:space="0"/>
              <w:right w:val="single" w:color="auto" w:sz="8" w:space="0"/>
            </w:tcBorders>
            <w:vAlign w:val="center"/>
          </w:tcPr>
          <w:p w14:paraId="3009AC0C">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458" w:type="pct"/>
            <w:tcBorders>
              <w:top w:val="nil"/>
              <w:left w:val="nil"/>
              <w:bottom w:val="single" w:color="auto" w:sz="8" w:space="0"/>
              <w:right w:val="single" w:color="auto" w:sz="8" w:space="0"/>
            </w:tcBorders>
            <w:vAlign w:val="center"/>
          </w:tcPr>
          <w:p w14:paraId="21C528C6">
            <w:pPr>
              <w:pStyle w:val="102"/>
              <w:rPr>
                <w:rFonts w:hint="default" w:ascii="Times New Roman" w:hAnsi="Times New Roman" w:cs="Times New Roman"/>
                <w:color w:val="auto"/>
                <w:sz w:val="21"/>
                <w:szCs w:val="21"/>
                <w:u w:val="none" w:color="auto"/>
              </w:rPr>
            </w:pPr>
          </w:p>
        </w:tc>
        <w:tc>
          <w:tcPr>
            <w:tcW w:w="554" w:type="pct"/>
            <w:tcBorders>
              <w:top w:val="nil"/>
              <w:left w:val="nil"/>
              <w:bottom w:val="single" w:color="auto" w:sz="8" w:space="0"/>
              <w:right w:val="single" w:color="auto" w:sz="8" w:space="0"/>
            </w:tcBorders>
            <w:vAlign w:val="center"/>
          </w:tcPr>
          <w:p w14:paraId="0EBBFDE6">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3959C68F">
            <w:pPr>
              <w:pStyle w:val="102"/>
              <w:rPr>
                <w:rFonts w:hint="default" w:ascii="Times New Roman" w:hAnsi="Times New Roman" w:cs="Times New Roman"/>
                <w:color w:val="auto"/>
                <w:sz w:val="21"/>
                <w:szCs w:val="21"/>
                <w:u w:val="none" w:color="auto"/>
              </w:rPr>
            </w:pPr>
          </w:p>
        </w:tc>
        <w:tc>
          <w:tcPr>
            <w:tcW w:w="484" w:type="pct"/>
            <w:tcBorders>
              <w:top w:val="nil"/>
              <w:left w:val="nil"/>
              <w:bottom w:val="single" w:color="auto" w:sz="8" w:space="0"/>
              <w:right w:val="single" w:color="auto" w:sz="8" w:space="0"/>
            </w:tcBorders>
            <w:vAlign w:val="center"/>
          </w:tcPr>
          <w:p w14:paraId="4A81F01E">
            <w:pPr>
              <w:pStyle w:val="102"/>
              <w:rPr>
                <w:rFonts w:hint="default" w:ascii="Times New Roman" w:hAnsi="Times New Roman" w:cs="Times New Roman"/>
                <w:color w:val="auto"/>
                <w:sz w:val="21"/>
                <w:szCs w:val="21"/>
                <w:u w:val="none" w:color="auto"/>
              </w:rPr>
            </w:pPr>
          </w:p>
        </w:tc>
        <w:tc>
          <w:tcPr>
            <w:tcW w:w="625" w:type="pct"/>
            <w:tcBorders>
              <w:top w:val="nil"/>
              <w:left w:val="nil"/>
              <w:bottom w:val="single" w:color="auto" w:sz="8" w:space="0"/>
              <w:right w:val="single" w:color="auto" w:sz="8" w:space="0"/>
            </w:tcBorders>
            <w:vAlign w:val="center"/>
          </w:tcPr>
          <w:p w14:paraId="77D2F1EB">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239120FD">
            <w:pPr>
              <w:pStyle w:val="102"/>
              <w:rPr>
                <w:rFonts w:hint="default" w:ascii="Times New Roman" w:hAnsi="Times New Roman" w:cs="Times New Roman"/>
                <w:color w:val="auto"/>
                <w:sz w:val="21"/>
                <w:szCs w:val="21"/>
                <w:u w:val="none" w:color="auto"/>
              </w:rPr>
            </w:pPr>
          </w:p>
        </w:tc>
        <w:tc>
          <w:tcPr>
            <w:tcW w:w="555" w:type="pct"/>
            <w:tcBorders>
              <w:top w:val="nil"/>
              <w:left w:val="nil"/>
              <w:bottom w:val="single" w:color="auto" w:sz="8" w:space="0"/>
              <w:right w:val="single" w:color="auto" w:sz="8" w:space="0"/>
            </w:tcBorders>
            <w:vAlign w:val="center"/>
          </w:tcPr>
          <w:p w14:paraId="2BA065F2">
            <w:pPr>
              <w:pStyle w:val="102"/>
              <w:rPr>
                <w:rFonts w:hint="default" w:ascii="Times New Roman" w:hAnsi="Times New Roman" w:cs="Times New Roman"/>
                <w:color w:val="auto"/>
                <w:sz w:val="21"/>
                <w:szCs w:val="21"/>
                <w:u w:val="none" w:color="auto"/>
              </w:rPr>
            </w:pPr>
          </w:p>
        </w:tc>
      </w:tr>
    </w:tbl>
    <w:p w14:paraId="03D80A8E">
      <w:pPr>
        <w:pStyle w:val="6"/>
        <w:bidi w:val="0"/>
        <w:rPr>
          <w:color w:val="auto"/>
          <w:u w:val="none" w:color="auto"/>
        </w:rPr>
      </w:pPr>
      <w:r>
        <w:rPr>
          <w:color w:val="auto"/>
          <w:u w:val="none" w:color="auto"/>
        </w:rPr>
        <w:t>S</w:t>
      </w:r>
      <w:r>
        <w:rPr>
          <w:rFonts w:hint="eastAsia"/>
          <w:color w:val="auto"/>
          <w:u w:val="none" w:color="auto"/>
        </w:rPr>
        <w:t>4</w:t>
      </w:r>
      <w:r>
        <w:rPr>
          <w:color w:val="auto"/>
          <w:u w:val="none" w:color="auto"/>
        </w:rPr>
        <w:t>监测点土壤表层发性有机物、半挥发性有机物监测结果</w:t>
      </w:r>
      <w:r>
        <w:rPr>
          <w:color w:val="auto"/>
          <w:spacing w:val="-2"/>
          <w:kern w:val="0"/>
          <w:u w:val="none" w:color="auto"/>
        </w:rPr>
        <w:t>单位：mg/kg</w:t>
      </w:r>
      <w:r>
        <w:rPr>
          <w:color w:val="auto"/>
          <w:u w:val="none" w:color="auto"/>
        </w:rPr>
        <w:t xml:space="preserve"> </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1513"/>
        <w:gridCol w:w="791"/>
        <w:gridCol w:w="591"/>
        <w:gridCol w:w="895"/>
        <w:gridCol w:w="1580"/>
        <w:gridCol w:w="737"/>
        <w:gridCol w:w="649"/>
        <w:gridCol w:w="989"/>
      </w:tblGrid>
      <w:tr w14:paraId="2077E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295" w:type="pct"/>
            <w:gridSpan w:val="2"/>
            <w:vAlign w:val="center"/>
          </w:tcPr>
          <w:p w14:paraId="249B290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监测项目</w:t>
            </w:r>
          </w:p>
        </w:tc>
        <w:tc>
          <w:tcPr>
            <w:tcW w:w="471" w:type="pct"/>
            <w:vAlign w:val="center"/>
          </w:tcPr>
          <w:p w14:paraId="7C90A056">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监测值</w:t>
            </w:r>
          </w:p>
        </w:tc>
        <w:tc>
          <w:tcPr>
            <w:tcW w:w="354" w:type="pct"/>
            <w:vAlign w:val="center"/>
          </w:tcPr>
          <w:p w14:paraId="4022FEDF">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532" w:type="pct"/>
            <w:vAlign w:val="center"/>
          </w:tcPr>
          <w:p w14:paraId="2626A8E3">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c>
          <w:tcPr>
            <w:tcW w:w="934" w:type="pct"/>
            <w:vAlign w:val="center"/>
          </w:tcPr>
          <w:p w14:paraId="2B179E6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监测项目</w:t>
            </w:r>
          </w:p>
        </w:tc>
        <w:tc>
          <w:tcPr>
            <w:tcW w:w="439" w:type="pct"/>
            <w:vAlign w:val="center"/>
          </w:tcPr>
          <w:p w14:paraId="2B81BF1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监测值</w:t>
            </w:r>
          </w:p>
        </w:tc>
        <w:tc>
          <w:tcPr>
            <w:tcW w:w="387" w:type="pct"/>
            <w:vAlign w:val="center"/>
          </w:tcPr>
          <w:p w14:paraId="6151D7D6">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标准值</w:t>
            </w:r>
          </w:p>
        </w:tc>
        <w:tc>
          <w:tcPr>
            <w:tcW w:w="587" w:type="pct"/>
            <w:vAlign w:val="center"/>
          </w:tcPr>
          <w:p w14:paraId="0EB6676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Pi</w:t>
            </w:r>
          </w:p>
        </w:tc>
      </w:tr>
      <w:tr w14:paraId="28216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restart"/>
            <w:vAlign w:val="center"/>
          </w:tcPr>
          <w:p w14:paraId="77347B5C">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挥发</w:t>
            </w:r>
          </w:p>
          <w:p w14:paraId="1479FBA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性有</w:t>
            </w:r>
          </w:p>
          <w:p w14:paraId="5910E43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机物</w:t>
            </w:r>
          </w:p>
          <w:p w14:paraId="5C585CFF">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单位：μg/kg</w:t>
            </w:r>
          </w:p>
        </w:tc>
        <w:tc>
          <w:tcPr>
            <w:tcW w:w="895" w:type="pct"/>
            <w:vAlign w:val="center"/>
          </w:tcPr>
          <w:p w14:paraId="1DEB71B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四氯化碳</w:t>
            </w:r>
          </w:p>
        </w:tc>
        <w:tc>
          <w:tcPr>
            <w:tcW w:w="471" w:type="pct"/>
            <w:vAlign w:val="center"/>
          </w:tcPr>
          <w:p w14:paraId="1C14804C">
            <w:pPr>
              <w:pStyle w:val="102"/>
              <w:rPr>
                <w:rFonts w:hint="default" w:ascii="Times New Roman" w:hAnsi="Times New Roman" w:cs="Times New Roman"/>
                <w:color w:val="auto"/>
                <w:sz w:val="21"/>
                <w:szCs w:val="21"/>
                <w:u w:val="none" w:color="auto"/>
              </w:rPr>
            </w:pPr>
          </w:p>
        </w:tc>
        <w:tc>
          <w:tcPr>
            <w:tcW w:w="354" w:type="pct"/>
            <w:vAlign w:val="center"/>
          </w:tcPr>
          <w:p w14:paraId="25B6FD3B">
            <w:pPr>
              <w:pStyle w:val="102"/>
              <w:rPr>
                <w:rFonts w:hint="default" w:ascii="Times New Roman" w:hAnsi="Times New Roman" w:cs="Times New Roman"/>
                <w:color w:val="auto"/>
                <w:sz w:val="21"/>
                <w:szCs w:val="21"/>
                <w:u w:val="none" w:color="auto"/>
              </w:rPr>
            </w:pPr>
          </w:p>
        </w:tc>
        <w:tc>
          <w:tcPr>
            <w:tcW w:w="532" w:type="pct"/>
            <w:vAlign w:val="center"/>
          </w:tcPr>
          <w:p w14:paraId="4D174081">
            <w:pPr>
              <w:pStyle w:val="102"/>
              <w:rPr>
                <w:rFonts w:hint="default" w:ascii="Times New Roman" w:hAnsi="Times New Roman" w:cs="Times New Roman"/>
                <w:color w:val="auto"/>
                <w:sz w:val="21"/>
                <w:szCs w:val="21"/>
                <w:u w:val="none" w:color="auto"/>
              </w:rPr>
            </w:pPr>
          </w:p>
        </w:tc>
        <w:tc>
          <w:tcPr>
            <w:tcW w:w="934" w:type="pct"/>
            <w:vAlign w:val="center"/>
          </w:tcPr>
          <w:p w14:paraId="3D5354F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1,1,2-三氯乙烷</w:t>
            </w:r>
          </w:p>
        </w:tc>
        <w:tc>
          <w:tcPr>
            <w:tcW w:w="439" w:type="pct"/>
            <w:vAlign w:val="center"/>
          </w:tcPr>
          <w:p w14:paraId="5A0D054C">
            <w:pPr>
              <w:pStyle w:val="102"/>
              <w:rPr>
                <w:rFonts w:hint="default" w:ascii="Times New Roman" w:hAnsi="Times New Roman" w:cs="Times New Roman"/>
                <w:color w:val="auto"/>
                <w:sz w:val="21"/>
                <w:szCs w:val="21"/>
                <w:u w:val="none" w:color="auto"/>
              </w:rPr>
            </w:pPr>
          </w:p>
        </w:tc>
        <w:tc>
          <w:tcPr>
            <w:tcW w:w="387" w:type="pct"/>
            <w:vAlign w:val="center"/>
          </w:tcPr>
          <w:p w14:paraId="71BCC78D">
            <w:pPr>
              <w:pStyle w:val="102"/>
              <w:rPr>
                <w:rFonts w:hint="default" w:ascii="Times New Roman" w:hAnsi="Times New Roman" w:cs="Times New Roman"/>
                <w:color w:val="auto"/>
                <w:sz w:val="21"/>
                <w:szCs w:val="21"/>
                <w:u w:val="none" w:color="auto"/>
              </w:rPr>
            </w:pPr>
          </w:p>
        </w:tc>
        <w:tc>
          <w:tcPr>
            <w:tcW w:w="587" w:type="pct"/>
            <w:vAlign w:val="center"/>
          </w:tcPr>
          <w:p w14:paraId="20831B51">
            <w:pPr>
              <w:pStyle w:val="102"/>
              <w:rPr>
                <w:rFonts w:hint="default" w:ascii="Times New Roman" w:hAnsi="Times New Roman" w:cs="Times New Roman"/>
                <w:color w:val="auto"/>
                <w:sz w:val="21"/>
                <w:szCs w:val="21"/>
                <w:u w:val="none" w:color="auto"/>
              </w:rPr>
            </w:pPr>
          </w:p>
        </w:tc>
      </w:tr>
      <w:tr w14:paraId="5D698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689900E5">
            <w:pPr>
              <w:pStyle w:val="102"/>
              <w:rPr>
                <w:rFonts w:hint="default" w:ascii="Times New Roman" w:hAnsi="Times New Roman" w:cs="Times New Roman"/>
                <w:color w:val="auto"/>
                <w:sz w:val="21"/>
                <w:szCs w:val="21"/>
                <w:u w:val="none" w:color="auto"/>
              </w:rPr>
            </w:pPr>
          </w:p>
        </w:tc>
        <w:tc>
          <w:tcPr>
            <w:tcW w:w="895" w:type="pct"/>
            <w:vAlign w:val="center"/>
          </w:tcPr>
          <w:p w14:paraId="25CE369A">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氯仿</w:t>
            </w:r>
          </w:p>
        </w:tc>
        <w:tc>
          <w:tcPr>
            <w:tcW w:w="471" w:type="pct"/>
            <w:vAlign w:val="center"/>
          </w:tcPr>
          <w:p w14:paraId="7DEC9772">
            <w:pPr>
              <w:pStyle w:val="102"/>
              <w:rPr>
                <w:rFonts w:hint="default" w:ascii="Times New Roman" w:hAnsi="Times New Roman" w:cs="Times New Roman"/>
                <w:color w:val="auto"/>
                <w:sz w:val="21"/>
                <w:szCs w:val="21"/>
                <w:u w:val="none" w:color="auto"/>
              </w:rPr>
            </w:pPr>
          </w:p>
        </w:tc>
        <w:tc>
          <w:tcPr>
            <w:tcW w:w="354" w:type="pct"/>
            <w:vAlign w:val="center"/>
          </w:tcPr>
          <w:p w14:paraId="0AAA6A52">
            <w:pPr>
              <w:pStyle w:val="102"/>
              <w:rPr>
                <w:rFonts w:hint="default" w:ascii="Times New Roman" w:hAnsi="Times New Roman" w:cs="Times New Roman"/>
                <w:color w:val="auto"/>
                <w:sz w:val="21"/>
                <w:szCs w:val="21"/>
                <w:u w:val="none" w:color="auto"/>
              </w:rPr>
            </w:pPr>
          </w:p>
        </w:tc>
        <w:tc>
          <w:tcPr>
            <w:tcW w:w="532" w:type="pct"/>
            <w:vAlign w:val="center"/>
          </w:tcPr>
          <w:p w14:paraId="71347A0B">
            <w:pPr>
              <w:pStyle w:val="102"/>
              <w:rPr>
                <w:rFonts w:hint="default" w:ascii="Times New Roman" w:hAnsi="Times New Roman" w:cs="Times New Roman"/>
                <w:color w:val="auto"/>
                <w:sz w:val="21"/>
                <w:szCs w:val="21"/>
                <w:u w:val="none" w:color="auto"/>
              </w:rPr>
            </w:pPr>
          </w:p>
        </w:tc>
        <w:tc>
          <w:tcPr>
            <w:tcW w:w="934" w:type="pct"/>
            <w:vAlign w:val="center"/>
          </w:tcPr>
          <w:p w14:paraId="24A49F6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三氯乙烯</w:t>
            </w:r>
          </w:p>
        </w:tc>
        <w:tc>
          <w:tcPr>
            <w:tcW w:w="439" w:type="pct"/>
            <w:vAlign w:val="center"/>
          </w:tcPr>
          <w:p w14:paraId="4B3C2271">
            <w:pPr>
              <w:pStyle w:val="102"/>
              <w:rPr>
                <w:rFonts w:hint="default" w:ascii="Times New Roman" w:hAnsi="Times New Roman" w:cs="Times New Roman"/>
                <w:color w:val="auto"/>
                <w:sz w:val="21"/>
                <w:szCs w:val="21"/>
                <w:u w:val="none" w:color="auto"/>
              </w:rPr>
            </w:pPr>
          </w:p>
        </w:tc>
        <w:tc>
          <w:tcPr>
            <w:tcW w:w="387" w:type="pct"/>
            <w:vAlign w:val="center"/>
          </w:tcPr>
          <w:p w14:paraId="2F356937">
            <w:pPr>
              <w:pStyle w:val="102"/>
              <w:rPr>
                <w:rFonts w:hint="default" w:ascii="Times New Roman" w:hAnsi="Times New Roman" w:cs="Times New Roman"/>
                <w:color w:val="auto"/>
                <w:sz w:val="21"/>
                <w:szCs w:val="21"/>
                <w:u w:val="none" w:color="auto"/>
              </w:rPr>
            </w:pPr>
          </w:p>
        </w:tc>
        <w:tc>
          <w:tcPr>
            <w:tcW w:w="587" w:type="pct"/>
            <w:vAlign w:val="center"/>
          </w:tcPr>
          <w:p w14:paraId="58756860">
            <w:pPr>
              <w:pStyle w:val="102"/>
              <w:rPr>
                <w:rFonts w:hint="default" w:ascii="Times New Roman" w:hAnsi="Times New Roman" w:cs="Times New Roman"/>
                <w:color w:val="auto"/>
                <w:sz w:val="21"/>
                <w:szCs w:val="21"/>
                <w:u w:val="none" w:color="auto"/>
              </w:rPr>
            </w:pPr>
          </w:p>
        </w:tc>
      </w:tr>
      <w:tr w14:paraId="30731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46E76766">
            <w:pPr>
              <w:pStyle w:val="102"/>
              <w:rPr>
                <w:rFonts w:hint="default" w:ascii="Times New Roman" w:hAnsi="Times New Roman" w:cs="Times New Roman"/>
                <w:color w:val="auto"/>
                <w:sz w:val="21"/>
                <w:szCs w:val="21"/>
                <w:u w:val="none" w:color="auto"/>
              </w:rPr>
            </w:pPr>
          </w:p>
        </w:tc>
        <w:tc>
          <w:tcPr>
            <w:tcW w:w="895" w:type="pct"/>
            <w:vAlign w:val="center"/>
          </w:tcPr>
          <w:p w14:paraId="4A45F34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氯甲烷</w:t>
            </w:r>
          </w:p>
        </w:tc>
        <w:tc>
          <w:tcPr>
            <w:tcW w:w="471" w:type="pct"/>
            <w:vAlign w:val="center"/>
          </w:tcPr>
          <w:p w14:paraId="2527996E">
            <w:pPr>
              <w:pStyle w:val="102"/>
              <w:rPr>
                <w:rFonts w:hint="default" w:ascii="Times New Roman" w:hAnsi="Times New Roman" w:cs="Times New Roman"/>
                <w:color w:val="auto"/>
                <w:sz w:val="21"/>
                <w:szCs w:val="21"/>
                <w:u w:val="none" w:color="auto"/>
              </w:rPr>
            </w:pPr>
          </w:p>
        </w:tc>
        <w:tc>
          <w:tcPr>
            <w:tcW w:w="354" w:type="pct"/>
            <w:vAlign w:val="center"/>
          </w:tcPr>
          <w:p w14:paraId="4746A7AA">
            <w:pPr>
              <w:pStyle w:val="102"/>
              <w:rPr>
                <w:rFonts w:hint="default" w:ascii="Times New Roman" w:hAnsi="Times New Roman" w:cs="Times New Roman"/>
                <w:color w:val="auto"/>
                <w:sz w:val="21"/>
                <w:szCs w:val="21"/>
                <w:u w:val="none" w:color="auto"/>
              </w:rPr>
            </w:pPr>
          </w:p>
        </w:tc>
        <w:tc>
          <w:tcPr>
            <w:tcW w:w="532" w:type="pct"/>
            <w:vAlign w:val="center"/>
          </w:tcPr>
          <w:p w14:paraId="5C4FA8B7">
            <w:pPr>
              <w:pStyle w:val="102"/>
              <w:rPr>
                <w:rFonts w:hint="default" w:ascii="Times New Roman" w:hAnsi="Times New Roman" w:cs="Times New Roman"/>
                <w:color w:val="auto"/>
                <w:sz w:val="21"/>
                <w:szCs w:val="21"/>
                <w:u w:val="none" w:color="auto"/>
              </w:rPr>
            </w:pPr>
          </w:p>
        </w:tc>
        <w:tc>
          <w:tcPr>
            <w:tcW w:w="934" w:type="pct"/>
            <w:vAlign w:val="center"/>
          </w:tcPr>
          <w:p w14:paraId="09F75CCA">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1,2,3-三氯丙烷</w:t>
            </w:r>
          </w:p>
        </w:tc>
        <w:tc>
          <w:tcPr>
            <w:tcW w:w="439" w:type="pct"/>
            <w:vAlign w:val="center"/>
          </w:tcPr>
          <w:p w14:paraId="2033AC51">
            <w:pPr>
              <w:pStyle w:val="102"/>
              <w:rPr>
                <w:rFonts w:hint="default" w:ascii="Times New Roman" w:hAnsi="Times New Roman" w:cs="Times New Roman"/>
                <w:color w:val="auto"/>
                <w:sz w:val="21"/>
                <w:szCs w:val="21"/>
                <w:u w:val="none" w:color="auto"/>
              </w:rPr>
            </w:pPr>
          </w:p>
        </w:tc>
        <w:tc>
          <w:tcPr>
            <w:tcW w:w="387" w:type="pct"/>
            <w:vAlign w:val="center"/>
          </w:tcPr>
          <w:p w14:paraId="1D40F028">
            <w:pPr>
              <w:pStyle w:val="102"/>
              <w:rPr>
                <w:rFonts w:hint="default" w:ascii="Times New Roman" w:hAnsi="Times New Roman" w:cs="Times New Roman"/>
                <w:color w:val="auto"/>
                <w:sz w:val="21"/>
                <w:szCs w:val="21"/>
                <w:u w:val="none" w:color="auto"/>
              </w:rPr>
            </w:pPr>
          </w:p>
        </w:tc>
        <w:tc>
          <w:tcPr>
            <w:tcW w:w="587" w:type="pct"/>
            <w:vAlign w:val="center"/>
          </w:tcPr>
          <w:p w14:paraId="3D4BCF86">
            <w:pPr>
              <w:pStyle w:val="102"/>
              <w:rPr>
                <w:rFonts w:hint="default" w:ascii="Times New Roman" w:hAnsi="Times New Roman" w:cs="Times New Roman"/>
                <w:color w:val="auto"/>
                <w:sz w:val="21"/>
                <w:szCs w:val="21"/>
                <w:u w:val="none" w:color="auto"/>
              </w:rPr>
            </w:pPr>
          </w:p>
        </w:tc>
      </w:tr>
      <w:tr w14:paraId="73EA72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296BE10F">
            <w:pPr>
              <w:pStyle w:val="102"/>
              <w:rPr>
                <w:rFonts w:hint="default" w:ascii="Times New Roman" w:hAnsi="Times New Roman" w:cs="Times New Roman"/>
                <w:color w:val="auto"/>
                <w:sz w:val="21"/>
                <w:szCs w:val="21"/>
                <w:u w:val="none" w:color="auto"/>
              </w:rPr>
            </w:pPr>
          </w:p>
        </w:tc>
        <w:tc>
          <w:tcPr>
            <w:tcW w:w="895" w:type="pct"/>
            <w:vAlign w:val="center"/>
          </w:tcPr>
          <w:p w14:paraId="5918F0E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1,1-二氯乙烷</w:t>
            </w:r>
          </w:p>
        </w:tc>
        <w:tc>
          <w:tcPr>
            <w:tcW w:w="471" w:type="pct"/>
            <w:vAlign w:val="center"/>
          </w:tcPr>
          <w:p w14:paraId="7CBEEE81">
            <w:pPr>
              <w:pStyle w:val="102"/>
              <w:rPr>
                <w:rFonts w:hint="default" w:ascii="Times New Roman" w:hAnsi="Times New Roman" w:cs="Times New Roman"/>
                <w:color w:val="auto"/>
                <w:sz w:val="21"/>
                <w:szCs w:val="21"/>
                <w:u w:val="none" w:color="auto"/>
              </w:rPr>
            </w:pPr>
          </w:p>
        </w:tc>
        <w:tc>
          <w:tcPr>
            <w:tcW w:w="354" w:type="pct"/>
            <w:vAlign w:val="center"/>
          </w:tcPr>
          <w:p w14:paraId="4AFAA8D0">
            <w:pPr>
              <w:pStyle w:val="102"/>
              <w:rPr>
                <w:rFonts w:hint="default" w:ascii="Times New Roman" w:hAnsi="Times New Roman" w:cs="Times New Roman"/>
                <w:color w:val="auto"/>
                <w:sz w:val="21"/>
                <w:szCs w:val="21"/>
                <w:u w:val="none" w:color="auto"/>
              </w:rPr>
            </w:pPr>
          </w:p>
        </w:tc>
        <w:tc>
          <w:tcPr>
            <w:tcW w:w="532" w:type="pct"/>
            <w:vAlign w:val="center"/>
          </w:tcPr>
          <w:p w14:paraId="7BBDF5C2">
            <w:pPr>
              <w:pStyle w:val="102"/>
              <w:rPr>
                <w:rFonts w:hint="default" w:ascii="Times New Roman" w:hAnsi="Times New Roman" w:cs="Times New Roman"/>
                <w:color w:val="auto"/>
                <w:sz w:val="21"/>
                <w:szCs w:val="21"/>
                <w:u w:val="none" w:color="auto"/>
              </w:rPr>
            </w:pPr>
          </w:p>
        </w:tc>
        <w:tc>
          <w:tcPr>
            <w:tcW w:w="934" w:type="pct"/>
            <w:vAlign w:val="center"/>
          </w:tcPr>
          <w:p w14:paraId="6DD7011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氯乙烯</w:t>
            </w:r>
          </w:p>
        </w:tc>
        <w:tc>
          <w:tcPr>
            <w:tcW w:w="439" w:type="pct"/>
            <w:vAlign w:val="center"/>
          </w:tcPr>
          <w:p w14:paraId="3CA5B0DD">
            <w:pPr>
              <w:pStyle w:val="102"/>
              <w:rPr>
                <w:rFonts w:hint="default" w:ascii="Times New Roman" w:hAnsi="Times New Roman" w:cs="Times New Roman"/>
                <w:color w:val="auto"/>
                <w:sz w:val="21"/>
                <w:szCs w:val="21"/>
                <w:u w:val="none" w:color="auto"/>
              </w:rPr>
            </w:pPr>
          </w:p>
        </w:tc>
        <w:tc>
          <w:tcPr>
            <w:tcW w:w="387" w:type="pct"/>
            <w:vAlign w:val="center"/>
          </w:tcPr>
          <w:p w14:paraId="7ED0CD71">
            <w:pPr>
              <w:pStyle w:val="102"/>
              <w:rPr>
                <w:rFonts w:hint="default" w:ascii="Times New Roman" w:hAnsi="Times New Roman" w:cs="Times New Roman"/>
                <w:color w:val="auto"/>
                <w:sz w:val="21"/>
                <w:szCs w:val="21"/>
                <w:u w:val="none" w:color="auto"/>
              </w:rPr>
            </w:pPr>
          </w:p>
        </w:tc>
        <w:tc>
          <w:tcPr>
            <w:tcW w:w="587" w:type="pct"/>
            <w:vAlign w:val="center"/>
          </w:tcPr>
          <w:p w14:paraId="6FF8543B">
            <w:pPr>
              <w:pStyle w:val="102"/>
              <w:rPr>
                <w:rFonts w:hint="default" w:ascii="Times New Roman" w:hAnsi="Times New Roman" w:cs="Times New Roman"/>
                <w:color w:val="auto"/>
                <w:sz w:val="21"/>
                <w:szCs w:val="21"/>
                <w:u w:val="none" w:color="auto"/>
              </w:rPr>
            </w:pPr>
          </w:p>
        </w:tc>
      </w:tr>
      <w:tr w14:paraId="59C452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5F3544BB">
            <w:pPr>
              <w:pStyle w:val="102"/>
              <w:rPr>
                <w:rFonts w:hint="default" w:ascii="Times New Roman" w:hAnsi="Times New Roman" w:cs="Times New Roman"/>
                <w:color w:val="auto"/>
                <w:sz w:val="21"/>
                <w:szCs w:val="21"/>
                <w:u w:val="none" w:color="auto"/>
              </w:rPr>
            </w:pPr>
          </w:p>
        </w:tc>
        <w:tc>
          <w:tcPr>
            <w:tcW w:w="895" w:type="pct"/>
            <w:vAlign w:val="center"/>
          </w:tcPr>
          <w:p w14:paraId="0AE1DC1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1,2-二氯乙烷</w:t>
            </w:r>
          </w:p>
        </w:tc>
        <w:tc>
          <w:tcPr>
            <w:tcW w:w="471" w:type="pct"/>
            <w:vAlign w:val="center"/>
          </w:tcPr>
          <w:p w14:paraId="14FFFFC9">
            <w:pPr>
              <w:pStyle w:val="102"/>
              <w:rPr>
                <w:rFonts w:hint="default" w:ascii="Times New Roman" w:hAnsi="Times New Roman" w:cs="Times New Roman"/>
                <w:color w:val="auto"/>
                <w:sz w:val="21"/>
                <w:szCs w:val="21"/>
                <w:u w:val="none" w:color="auto"/>
              </w:rPr>
            </w:pPr>
          </w:p>
        </w:tc>
        <w:tc>
          <w:tcPr>
            <w:tcW w:w="354" w:type="pct"/>
            <w:vAlign w:val="center"/>
          </w:tcPr>
          <w:p w14:paraId="134985FD">
            <w:pPr>
              <w:pStyle w:val="102"/>
              <w:rPr>
                <w:rFonts w:hint="default" w:ascii="Times New Roman" w:hAnsi="Times New Roman" w:cs="Times New Roman"/>
                <w:color w:val="auto"/>
                <w:sz w:val="21"/>
                <w:szCs w:val="21"/>
                <w:u w:val="none" w:color="auto"/>
              </w:rPr>
            </w:pPr>
          </w:p>
        </w:tc>
        <w:tc>
          <w:tcPr>
            <w:tcW w:w="532" w:type="pct"/>
            <w:vAlign w:val="center"/>
          </w:tcPr>
          <w:p w14:paraId="3706F1F2">
            <w:pPr>
              <w:pStyle w:val="102"/>
              <w:rPr>
                <w:rFonts w:hint="default" w:ascii="Times New Roman" w:hAnsi="Times New Roman" w:cs="Times New Roman"/>
                <w:color w:val="auto"/>
                <w:sz w:val="21"/>
                <w:szCs w:val="21"/>
                <w:u w:val="none" w:color="auto"/>
              </w:rPr>
            </w:pPr>
          </w:p>
        </w:tc>
        <w:tc>
          <w:tcPr>
            <w:tcW w:w="934" w:type="pct"/>
            <w:vAlign w:val="center"/>
          </w:tcPr>
          <w:p w14:paraId="4BEC412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w:t>
            </w:r>
          </w:p>
        </w:tc>
        <w:tc>
          <w:tcPr>
            <w:tcW w:w="439" w:type="pct"/>
            <w:vAlign w:val="center"/>
          </w:tcPr>
          <w:p w14:paraId="01985949">
            <w:pPr>
              <w:pStyle w:val="102"/>
              <w:rPr>
                <w:rFonts w:hint="default" w:ascii="Times New Roman" w:hAnsi="Times New Roman" w:cs="Times New Roman"/>
                <w:color w:val="auto"/>
                <w:sz w:val="21"/>
                <w:szCs w:val="21"/>
                <w:u w:val="none" w:color="auto"/>
              </w:rPr>
            </w:pPr>
          </w:p>
        </w:tc>
        <w:tc>
          <w:tcPr>
            <w:tcW w:w="387" w:type="pct"/>
            <w:vAlign w:val="center"/>
          </w:tcPr>
          <w:p w14:paraId="1668F27F">
            <w:pPr>
              <w:pStyle w:val="102"/>
              <w:rPr>
                <w:rFonts w:hint="default" w:ascii="Times New Roman" w:hAnsi="Times New Roman" w:cs="Times New Roman"/>
                <w:color w:val="auto"/>
                <w:sz w:val="21"/>
                <w:szCs w:val="21"/>
                <w:u w:val="none" w:color="auto"/>
              </w:rPr>
            </w:pPr>
          </w:p>
        </w:tc>
        <w:tc>
          <w:tcPr>
            <w:tcW w:w="587" w:type="pct"/>
            <w:vAlign w:val="center"/>
          </w:tcPr>
          <w:p w14:paraId="0177802C">
            <w:pPr>
              <w:pStyle w:val="102"/>
              <w:rPr>
                <w:rFonts w:hint="default" w:ascii="Times New Roman" w:hAnsi="Times New Roman" w:cs="Times New Roman"/>
                <w:color w:val="auto"/>
                <w:sz w:val="21"/>
                <w:szCs w:val="21"/>
                <w:u w:val="none" w:color="auto"/>
              </w:rPr>
            </w:pPr>
          </w:p>
        </w:tc>
      </w:tr>
      <w:tr w14:paraId="1AF560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3F9DEA7E">
            <w:pPr>
              <w:pStyle w:val="102"/>
              <w:rPr>
                <w:rFonts w:hint="default" w:ascii="Times New Roman" w:hAnsi="Times New Roman" w:cs="Times New Roman"/>
                <w:color w:val="auto"/>
                <w:sz w:val="21"/>
                <w:szCs w:val="21"/>
                <w:u w:val="none" w:color="auto"/>
              </w:rPr>
            </w:pPr>
          </w:p>
        </w:tc>
        <w:tc>
          <w:tcPr>
            <w:tcW w:w="895" w:type="pct"/>
            <w:vAlign w:val="center"/>
          </w:tcPr>
          <w:p w14:paraId="256352C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1,1-二氯乙烯</w:t>
            </w:r>
          </w:p>
        </w:tc>
        <w:tc>
          <w:tcPr>
            <w:tcW w:w="471" w:type="pct"/>
            <w:vAlign w:val="center"/>
          </w:tcPr>
          <w:p w14:paraId="48C5DCA3">
            <w:pPr>
              <w:pStyle w:val="102"/>
              <w:rPr>
                <w:rFonts w:hint="default" w:ascii="Times New Roman" w:hAnsi="Times New Roman" w:cs="Times New Roman"/>
                <w:color w:val="auto"/>
                <w:sz w:val="21"/>
                <w:szCs w:val="21"/>
                <w:u w:val="none" w:color="auto"/>
              </w:rPr>
            </w:pPr>
          </w:p>
        </w:tc>
        <w:tc>
          <w:tcPr>
            <w:tcW w:w="354" w:type="pct"/>
            <w:vAlign w:val="center"/>
          </w:tcPr>
          <w:p w14:paraId="637E6CA8">
            <w:pPr>
              <w:pStyle w:val="102"/>
              <w:rPr>
                <w:rFonts w:hint="default" w:ascii="Times New Roman" w:hAnsi="Times New Roman" w:cs="Times New Roman"/>
                <w:color w:val="auto"/>
                <w:sz w:val="21"/>
                <w:szCs w:val="21"/>
                <w:u w:val="none" w:color="auto"/>
              </w:rPr>
            </w:pPr>
          </w:p>
        </w:tc>
        <w:tc>
          <w:tcPr>
            <w:tcW w:w="532" w:type="pct"/>
            <w:vAlign w:val="center"/>
          </w:tcPr>
          <w:p w14:paraId="25DA7666">
            <w:pPr>
              <w:pStyle w:val="102"/>
              <w:rPr>
                <w:rFonts w:hint="default" w:ascii="Times New Roman" w:hAnsi="Times New Roman" w:cs="Times New Roman"/>
                <w:color w:val="auto"/>
                <w:sz w:val="21"/>
                <w:szCs w:val="21"/>
                <w:u w:val="none" w:color="auto"/>
              </w:rPr>
            </w:pPr>
          </w:p>
        </w:tc>
        <w:tc>
          <w:tcPr>
            <w:tcW w:w="934" w:type="pct"/>
            <w:vAlign w:val="center"/>
          </w:tcPr>
          <w:p w14:paraId="4381E47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氯苯</w:t>
            </w:r>
          </w:p>
        </w:tc>
        <w:tc>
          <w:tcPr>
            <w:tcW w:w="439" w:type="pct"/>
            <w:vAlign w:val="center"/>
          </w:tcPr>
          <w:p w14:paraId="2525659D">
            <w:pPr>
              <w:pStyle w:val="102"/>
              <w:rPr>
                <w:rFonts w:hint="default" w:ascii="Times New Roman" w:hAnsi="Times New Roman" w:cs="Times New Roman"/>
                <w:color w:val="auto"/>
                <w:sz w:val="21"/>
                <w:szCs w:val="21"/>
                <w:u w:val="none" w:color="auto"/>
              </w:rPr>
            </w:pPr>
          </w:p>
        </w:tc>
        <w:tc>
          <w:tcPr>
            <w:tcW w:w="387" w:type="pct"/>
            <w:vAlign w:val="center"/>
          </w:tcPr>
          <w:p w14:paraId="67E76517">
            <w:pPr>
              <w:pStyle w:val="102"/>
              <w:rPr>
                <w:rFonts w:hint="default" w:ascii="Times New Roman" w:hAnsi="Times New Roman" w:cs="Times New Roman"/>
                <w:color w:val="auto"/>
                <w:sz w:val="21"/>
                <w:szCs w:val="21"/>
                <w:u w:val="none" w:color="auto"/>
              </w:rPr>
            </w:pPr>
          </w:p>
        </w:tc>
        <w:tc>
          <w:tcPr>
            <w:tcW w:w="587" w:type="pct"/>
            <w:vAlign w:val="center"/>
          </w:tcPr>
          <w:p w14:paraId="1BC1340F">
            <w:pPr>
              <w:pStyle w:val="102"/>
              <w:rPr>
                <w:rFonts w:hint="default" w:ascii="Times New Roman" w:hAnsi="Times New Roman" w:cs="Times New Roman"/>
                <w:color w:val="auto"/>
                <w:sz w:val="21"/>
                <w:szCs w:val="21"/>
                <w:u w:val="none" w:color="auto"/>
              </w:rPr>
            </w:pPr>
          </w:p>
        </w:tc>
      </w:tr>
      <w:tr w14:paraId="57DF8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610CF3F6">
            <w:pPr>
              <w:pStyle w:val="102"/>
              <w:rPr>
                <w:rFonts w:hint="default" w:ascii="Times New Roman" w:hAnsi="Times New Roman" w:cs="Times New Roman"/>
                <w:color w:val="auto"/>
                <w:sz w:val="21"/>
                <w:szCs w:val="21"/>
                <w:u w:val="none" w:color="auto"/>
              </w:rPr>
            </w:pPr>
          </w:p>
        </w:tc>
        <w:tc>
          <w:tcPr>
            <w:tcW w:w="895" w:type="pct"/>
            <w:vAlign w:val="center"/>
          </w:tcPr>
          <w:p w14:paraId="6250623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顺-1,2-二氯乙烯</w:t>
            </w:r>
          </w:p>
        </w:tc>
        <w:tc>
          <w:tcPr>
            <w:tcW w:w="471" w:type="pct"/>
            <w:vAlign w:val="center"/>
          </w:tcPr>
          <w:p w14:paraId="651DAC7A">
            <w:pPr>
              <w:pStyle w:val="102"/>
              <w:rPr>
                <w:rFonts w:hint="default" w:ascii="Times New Roman" w:hAnsi="Times New Roman" w:cs="Times New Roman"/>
                <w:color w:val="auto"/>
                <w:sz w:val="21"/>
                <w:szCs w:val="21"/>
                <w:u w:val="none" w:color="auto"/>
              </w:rPr>
            </w:pPr>
          </w:p>
        </w:tc>
        <w:tc>
          <w:tcPr>
            <w:tcW w:w="354" w:type="pct"/>
            <w:vAlign w:val="center"/>
          </w:tcPr>
          <w:p w14:paraId="3F2EC8EB">
            <w:pPr>
              <w:pStyle w:val="102"/>
              <w:rPr>
                <w:rFonts w:hint="default" w:ascii="Times New Roman" w:hAnsi="Times New Roman" w:cs="Times New Roman"/>
                <w:color w:val="auto"/>
                <w:sz w:val="21"/>
                <w:szCs w:val="21"/>
                <w:u w:val="none" w:color="auto"/>
              </w:rPr>
            </w:pPr>
          </w:p>
        </w:tc>
        <w:tc>
          <w:tcPr>
            <w:tcW w:w="532" w:type="pct"/>
            <w:vAlign w:val="center"/>
          </w:tcPr>
          <w:p w14:paraId="7607D416">
            <w:pPr>
              <w:pStyle w:val="102"/>
              <w:rPr>
                <w:rFonts w:hint="default" w:ascii="Times New Roman" w:hAnsi="Times New Roman" w:cs="Times New Roman"/>
                <w:color w:val="auto"/>
                <w:sz w:val="21"/>
                <w:szCs w:val="21"/>
                <w:u w:val="none" w:color="auto"/>
              </w:rPr>
            </w:pPr>
          </w:p>
        </w:tc>
        <w:tc>
          <w:tcPr>
            <w:tcW w:w="934" w:type="pct"/>
            <w:vAlign w:val="center"/>
          </w:tcPr>
          <w:p w14:paraId="6AA2F5D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1,2-二氯苯</w:t>
            </w:r>
          </w:p>
        </w:tc>
        <w:tc>
          <w:tcPr>
            <w:tcW w:w="439" w:type="pct"/>
            <w:vAlign w:val="center"/>
          </w:tcPr>
          <w:p w14:paraId="3C12277B">
            <w:pPr>
              <w:pStyle w:val="102"/>
              <w:rPr>
                <w:rFonts w:hint="default" w:ascii="Times New Roman" w:hAnsi="Times New Roman" w:cs="Times New Roman"/>
                <w:color w:val="auto"/>
                <w:sz w:val="21"/>
                <w:szCs w:val="21"/>
                <w:u w:val="none" w:color="auto"/>
              </w:rPr>
            </w:pPr>
          </w:p>
        </w:tc>
        <w:tc>
          <w:tcPr>
            <w:tcW w:w="387" w:type="pct"/>
            <w:vAlign w:val="center"/>
          </w:tcPr>
          <w:p w14:paraId="3A288DA6">
            <w:pPr>
              <w:pStyle w:val="102"/>
              <w:rPr>
                <w:rFonts w:hint="default" w:ascii="Times New Roman" w:hAnsi="Times New Roman" w:cs="Times New Roman"/>
                <w:color w:val="auto"/>
                <w:sz w:val="21"/>
                <w:szCs w:val="21"/>
                <w:u w:val="none" w:color="auto"/>
              </w:rPr>
            </w:pPr>
          </w:p>
        </w:tc>
        <w:tc>
          <w:tcPr>
            <w:tcW w:w="587" w:type="pct"/>
            <w:vAlign w:val="center"/>
          </w:tcPr>
          <w:p w14:paraId="792F9F0E">
            <w:pPr>
              <w:pStyle w:val="102"/>
              <w:rPr>
                <w:rFonts w:hint="default" w:ascii="Times New Roman" w:hAnsi="Times New Roman" w:cs="Times New Roman"/>
                <w:color w:val="auto"/>
                <w:sz w:val="21"/>
                <w:szCs w:val="21"/>
                <w:u w:val="none" w:color="auto"/>
              </w:rPr>
            </w:pPr>
          </w:p>
        </w:tc>
      </w:tr>
      <w:tr w14:paraId="24B4C6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17FF5D19">
            <w:pPr>
              <w:pStyle w:val="102"/>
              <w:rPr>
                <w:rFonts w:hint="default" w:ascii="Times New Roman" w:hAnsi="Times New Roman" w:cs="Times New Roman"/>
                <w:color w:val="auto"/>
                <w:sz w:val="21"/>
                <w:szCs w:val="21"/>
                <w:u w:val="none" w:color="auto"/>
              </w:rPr>
            </w:pPr>
          </w:p>
        </w:tc>
        <w:tc>
          <w:tcPr>
            <w:tcW w:w="895" w:type="pct"/>
            <w:vAlign w:val="center"/>
          </w:tcPr>
          <w:p w14:paraId="6046344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反-1,2-二氯乙烯</w:t>
            </w:r>
          </w:p>
        </w:tc>
        <w:tc>
          <w:tcPr>
            <w:tcW w:w="471" w:type="pct"/>
            <w:vAlign w:val="center"/>
          </w:tcPr>
          <w:p w14:paraId="4132A2D4">
            <w:pPr>
              <w:pStyle w:val="102"/>
              <w:rPr>
                <w:rFonts w:hint="default" w:ascii="Times New Roman" w:hAnsi="Times New Roman" w:cs="Times New Roman"/>
                <w:color w:val="auto"/>
                <w:sz w:val="21"/>
                <w:szCs w:val="21"/>
                <w:u w:val="none" w:color="auto"/>
              </w:rPr>
            </w:pPr>
          </w:p>
        </w:tc>
        <w:tc>
          <w:tcPr>
            <w:tcW w:w="354" w:type="pct"/>
            <w:vAlign w:val="center"/>
          </w:tcPr>
          <w:p w14:paraId="160A8C08">
            <w:pPr>
              <w:pStyle w:val="102"/>
              <w:rPr>
                <w:rFonts w:hint="default" w:ascii="Times New Roman" w:hAnsi="Times New Roman" w:cs="Times New Roman"/>
                <w:color w:val="auto"/>
                <w:sz w:val="21"/>
                <w:szCs w:val="21"/>
                <w:u w:val="none" w:color="auto"/>
              </w:rPr>
            </w:pPr>
          </w:p>
        </w:tc>
        <w:tc>
          <w:tcPr>
            <w:tcW w:w="532" w:type="pct"/>
            <w:vAlign w:val="center"/>
          </w:tcPr>
          <w:p w14:paraId="52447731">
            <w:pPr>
              <w:pStyle w:val="102"/>
              <w:rPr>
                <w:rFonts w:hint="default" w:ascii="Times New Roman" w:hAnsi="Times New Roman" w:cs="Times New Roman"/>
                <w:color w:val="auto"/>
                <w:sz w:val="21"/>
                <w:szCs w:val="21"/>
                <w:u w:val="none" w:color="auto"/>
              </w:rPr>
            </w:pPr>
          </w:p>
        </w:tc>
        <w:tc>
          <w:tcPr>
            <w:tcW w:w="934" w:type="pct"/>
            <w:vAlign w:val="center"/>
          </w:tcPr>
          <w:p w14:paraId="646ECD1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1,4-二氯苯</w:t>
            </w:r>
          </w:p>
        </w:tc>
        <w:tc>
          <w:tcPr>
            <w:tcW w:w="439" w:type="pct"/>
            <w:vAlign w:val="center"/>
          </w:tcPr>
          <w:p w14:paraId="02600D35">
            <w:pPr>
              <w:pStyle w:val="102"/>
              <w:rPr>
                <w:rFonts w:hint="default" w:ascii="Times New Roman" w:hAnsi="Times New Roman" w:cs="Times New Roman"/>
                <w:color w:val="auto"/>
                <w:sz w:val="21"/>
                <w:szCs w:val="21"/>
                <w:u w:val="none" w:color="auto"/>
              </w:rPr>
            </w:pPr>
          </w:p>
        </w:tc>
        <w:tc>
          <w:tcPr>
            <w:tcW w:w="387" w:type="pct"/>
            <w:vAlign w:val="center"/>
          </w:tcPr>
          <w:p w14:paraId="54BF325D">
            <w:pPr>
              <w:pStyle w:val="102"/>
              <w:rPr>
                <w:rFonts w:hint="default" w:ascii="Times New Roman" w:hAnsi="Times New Roman" w:cs="Times New Roman"/>
                <w:color w:val="auto"/>
                <w:sz w:val="21"/>
                <w:szCs w:val="21"/>
                <w:u w:val="none" w:color="auto"/>
              </w:rPr>
            </w:pPr>
          </w:p>
        </w:tc>
        <w:tc>
          <w:tcPr>
            <w:tcW w:w="587" w:type="pct"/>
            <w:vAlign w:val="center"/>
          </w:tcPr>
          <w:p w14:paraId="1C6314BF">
            <w:pPr>
              <w:pStyle w:val="102"/>
              <w:rPr>
                <w:rFonts w:hint="default" w:ascii="Times New Roman" w:hAnsi="Times New Roman" w:cs="Times New Roman"/>
                <w:color w:val="auto"/>
                <w:sz w:val="21"/>
                <w:szCs w:val="21"/>
                <w:u w:val="none" w:color="auto"/>
              </w:rPr>
            </w:pPr>
          </w:p>
        </w:tc>
      </w:tr>
      <w:tr w14:paraId="771927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6D63C9F7">
            <w:pPr>
              <w:pStyle w:val="102"/>
              <w:rPr>
                <w:rFonts w:hint="default" w:ascii="Times New Roman" w:hAnsi="Times New Roman" w:cs="Times New Roman"/>
                <w:color w:val="auto"/>
                <w:sz w:val="21"/>
                <w:szCs w:val="21"/>
                <w:u w:val="none" w:color="auto"/>
              </w:rPr>
            </w:pPr>
          </w:p>
        </w:tc>
        <w:tc>
          <w:tcPr>
            <w:tcW w:w="895" w:type="pct"/>
            <w:vAlign w:val="center"/>
          </w:tcPr>
          <w:p w14:paraId="4D5DECB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二氯甲烷</w:t>
            </w:r>
          </w:p>
        </w:tc>
        <w:tc>
          <w:tcPr>
            <w:tcW w:w="471" w:type="pct"/>
            <w:vAlign w:val="center"/>
          </w:tcPr>
          <w:p w14:paraId="07E5B54D">
            <w:pPr>
              <w:pStyle w:val="102"/>
              <w:rPr>
                <w:rFonts w:hint="default" w:ascii="Times New Roman" w:hAnsi="Times New Roman" w:cs="Times New Roman"/>
                <w:color w:val="auto"/>
                <w:sz w:val="21"/>
                <w:szCs w:val="21"/>
                <w:u w:val="none" w:color="auto"/>
              </w:rPr>
            </w:pPr>
          </w:p>
        </w:tc>
        <w:tc>
          <w:tcPr>
            <w:tcW w:w="354" w:type="pct"/>
            <w:vAlign w:val="center"/>
          </w:tcPr>
          <w:p w14:paraId="44317787">
            <w:pPr>
              <w:pStyle w:val="102"/>
              <w:rPr>
                <w:rFonts w:hint="default" w:ascii="Times New Roman" w:hAnsi="Times New Roman" w:cs="Times New Roman"/>
                <w:color w:val="auto"/>
                <w:sz w:val="21"/>
                <w:szCs w:val="21"/>
                <w:u w:val="none" w:color="auto"/>
              </w:rPr>
            </w:pPr>
          </w:p>
        </w:tc>
        <w:tc>
          <w:tcPr>
            <w:tcW w:w="532" w:type="pct"/>
            <w:vAlign w:val="center"/>
          </w:tcPr>
          <w:p w14:paraId="54D4FD80">
            <w:pPr>
              <w:pStyle w:val="102"/>
              <w:rPr>
                <w:rFonts w:hint="default" w:ascii="Times New Roman" w:hAnsi="Times New Roman" w:cs="Times New Roman"/>
                <w:color w:val="auto"/>
                <w:sz w:val="21"/>
                <w:szCs w:val="21"/>
                <w:u w:val="none" w:color="auto"/>
              </w:rPr>
            </w:pPr>
          </w:p>
        </w:tc>
        <w:tc>
          <w:tcPr>
            <w:tcW w:w="934" w:type="pct"/>
            <w:vAlign w:val="center"/>
          </w:tcPr>
          <w:p w14:paraId="68CC4333">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乙苯</w:t>
            </w:r>
          </w:p>
        </w:tc>
        <w:tc>
          <w:tcPr>
            <w:tcW w:w="439" w:type="pct"/>
            <w:vAlign w:val="center"/>
          </w:tcPr>
          <w:p w14:paraId="042A21BF">
            <w:pPr>
              <w:pStyle w:val="102"/>
              <w:rPr>
                <w:rFonts w:hint="default" w:ascii="Times New Roman" w:hAnsi="Times New Roman" w:cs="Times New Roman"/>
                <w:color w:val="auto"/>
                <w:sz w:val="21"/>
                <w:szCs w:val="21"/>
                <w:u w:val="none" w:color="auto"/>
              </w:rPr>
            </w:pPr>
          </w:p>
        </w:tc>
        <w:tc>
          <w:tcPr>
            <w:tcW w:w="387" w:type="pct"/>
            <w:vAlign w:val="center"/>
          </w:tcPr>
          <w:p w14:paraId="59F6D818">
            <w:pPr>
              <w:pStyle w:val="102"/>
              <w:rPr>
                <w:rFonts w:hint="default" w:ascii="Times New Roman" w:hAnsi="Times New Roman" w:cs="Times New Roman"/>
                <w:color w:val="auto"/>
                <w:sz w:val="21"/>
                <w:szCs w:val="21"/>
                <w:u w:val="none" w:color="auto"/>
              </w:rPr>
            </w:pPr>
          </w:p>
        </w:tc>
        <w:tc>
          <w:tcPr>
            <w:tcW w:w="587" w:type="pct"/>
            <w:vAlign w:val="center"/>
          </w:tcPr>
          <w:p w14:paraId="3B6AC662">
            <w:pPr>
              <w:pStyle w:val="102"/>
              <w:rPr>
                <w:rFonts w:hint="default" w:ascii="Times New Roman" w:hAnsi="Times New Roman" w:cs="Times New Roman"/>
                <w:color w:val="auto"/>
                <w:sz w:val="21"/>
                <w:szCs w:val="21"/>
                <w:u w:val="none" w:color="auto"/>
              </w:rPr>
            </w:pPr>
          </w:p>
        </w:tc>
      </w:tr>
      <w:tr w14:paraId="17E08A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2023BDD0">
            <w:pPr>
              <w:pStyle w:val="102"/>
              <w:rPr>
                <w:rFonts w:hint="default" w:ascii="Times New Roman" w:hAnsi="Times New Roman" w:cs="Times New Roman"/>
                <w:color w:val="auto"/>
                <w:sz w:val="21"/>
                <w:szCs w:val="21"/>
                <w:u w:val="none" w:color="auto"/>
              </w:rPr>
            </w:pPr>
          </w:p>
        </w:tc>
        <w:tc>
          <w:tcPr>
            <w:tcW w:w="895" w:type="pct"/>
            <w:vAlign w:val="center"/>
          </w:tcPr>
          <w:p w14:paraId="3BB347A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1,2-二氯丙烷</w:t>
            </w:r>
          </w:p>
        </w:tc>
        <w:tc>
          <w:tcPr>
            <w:tcW w:w="471" w:type="pct"/>
            <w:vAlign w:val="center"/>
          </w:tcPr>
          <w:p w14:paraId="55BB4A11">
            <w:pPr>
              <w:pStyle w:val="102"/>
              <w:rPr>
                <w:rFonts w:hint="default" w:ascii="Times New Roman" w:hAnsi="Times New Roman" w:cs="Times New Roman"/>
                <w:color w:val="auto"/>
                <w:sz w:val="21"/>
                <w:szCs w:val="21"/>
                <w:u w:val="none" w:color="auto"/>
              </w:rPr>
            </w:pPr>
          </w:p>
        </w:tc>
        <w:tc>
          <w:tcPr>
            <w:tcW w:w="354" w:type="pct"/>
            <w:vAlign w:val="center"/>
          </w:tcPr>
          <w:p w14:paraId="06857275">
            <w:pPr>
              <w:pStyle w:val="102"/>
              <w:rPr>
                <w:rFonts w:hint="default" w:ascii="Times New Roman" w:hAnsi="Times New Roman" w:cs="Times New Roman"/>
                <w:color w:val="auto"/>
                <w:sz w:val="21"/>
                <w:szCs w:val="21"/>
                <w:u w:val="none" w:color="auto"/>
              </w:rPr>
            </w:pPr>
          </w:p>
        </w:tc>
        <w:tc>
          <w:tcPr>
            <w:tcW w:w="532" w:type="pct"/>
            <w:vAlign w:val="center"/>
          </w:tcPr>
          <w:p w14:paraId="0E95129D">
            <w:pPr>
              <w:pStyle w:val="102"/>
              <w:rPr>
                <w:rFonts w:hint="default" w:ascii="Times New Roman" w:hAnsi="Times New Roman" w:cs="Times New Roman"/>
                <w:color w:val="auto"/>
                <w:sz w:val="21"/>
                <w:szCs w:val="21"/>
                <w:u w:val="none" w:color="auto"/>
              </w:rPr>
            </w:pPr>
          </w:p>
        </w:tc>
        <w:tc>
          <w:tcPr>
            <w:tcW w:w="934" w:type="pct"/>
            <w:vAlign w:val="center"/>
          </w:tcPr>
          <w:p w14:paraId="48E173E9">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苯乙烯</w:t>
            </w:r>
          </w:p>
        </w:tc>
        <w:tc>
          <w:tcPr>
            <w:tcW w:w="439" w:type="pct"/>
            <w:vAlign w:val="center"/>
          </w:tcPr>
          <w:p w14:paraId="3E19BCAB">
            <w:pPr>
              <w:pStyle w:val="102"/>
              <w:rPr>
                <w:rFonts w:hint="default" w:ascii="Times New Roman" w:hAnsi="Times New Roman" w:cs="Times New Roman"/>
                <w:color w:val="auto"/>
                <w:sz w:val="21"/>
                <w:szCs w:val="21"/>
                <w:u w:val="none" w:color="auto"/>
              </w:rPr>
            </w:pPr>
          </w:p>
        </w:tc>
        <w:tc>
          <w:tcPr>
            <w:tcW w:w="387" w:type="pct"/>
            <w:vAlign w:val="center"/>
          </w:tcPr>
          <w:p w14:paraId="73AE9899">
            <w:pPr>
              <w:pStyle w:val="102"/>
              <w:rPr>
                <w:rFonts w:hint="default" w:ascii="Times New Roman" w:hAnsi="Times New Roman" w:cs="Times New Roman"/>
                <w:color w:val="auto"/>
                <w:sz w:val="21"/>
                <w:szCs w:val="21"/>
                <w:u w:val="none" w:color="auto"/>
              </w:rPr>
            </w:pPr>
          </w:p>
        </w:tc>
        <w:tc>
          <w:tcPr>
            <w:tcW w:w="587" w:type="pct"/>
            <w:vAlign w:val="center"/>
          </w:tcPr>
          <w:p w14:paraId="126B703B">
            <w:pPr>
              <w:pStyle w:val="102"/>
              <w:rPr>
                <w:rFonts w:hint="default" w:ascii="Times New Roman" w:hAnsi="Times New Roman" w:cs="Times New Roman"/>
                <w:color w:val="auto"/>
                <w:sz w:val="21"/>
                <w:szCs w:val="21"/>
                <w:u w:val="none" w:color="auto"/>
              </w:rPr>
            </w:pPr>
          </w:p>
        </w:tc>
      </w:tr>
      <w:tr w14:paraId="460BB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0D34AD7C">
            <w:pPr>
              <w:pStyle w:val="102"/>
              <w:rPr>
                <w:rFonts w:hint="default" w:ascii="Times New Roman" w:hAnsi="Times New Roman" w:cs="Times New Roman"/>
                <w:color w:val="auto"/>
                <w:sz w:val="21"/>
                <w:szCs w:val="21"/>
                <w:u w:val="none" w:color="auto"/>
              </w:rPr>
            </w:pPr>
          </w:p>
        </w:tc>
        <w:tc>
          <w:tcPr>
            <w:tcW w:w="895" w:type="pct"/>
            <w:vAlign w:val="center"/>
          </w:tcPr>
          <w:p w14:paraId="10E331A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1,1,1,2-四氯乙烷</w:t>
            </w:r>
          </w:p>
        </w:tc>
        <w:tc>
          <w:tcPr>
            <w:tcW w:w="471" w:type="pct"/>
            <w:vAlign w:val="center"/>
          </w:tcPr>
          <w:p w14:paraId="3522C7DD">
            <w:pPr>
              <w:pStyle w:val="102"/>
              <w:rPr>
                <w:rFonts w:hint="default" w:ascii="Times New Roman" w:hAnsi="Times New Roman" w:cs="Times New Roman"/>
                <w:color w:val="auto"/>
                <w:sz w:val="21"/>
                <w:szCs w:val="21"/>
                <w:u w:val="none" w:color="auto"/>
              </w:rPr>
            </w:pPr>
          </w:p>
        </w:tc>
        <w:tc>
          <w:tcPr>
            <w:tcW w:w="354" w:type="pct"/>
            <w:vAlign w:val="center"/>
          </w:tcPr>
          <w:p w14:paraId="62E4C69A">
            <w:pPr>
              <w:pStyle w:val="102"/>
              <w:rPr>
                <w:rFonts w:hint="default" w:ascii="Times New Roman" w:hAnsi="Times New Roman" w:cs="Times New Roman"/>
                <w:color w:val="auto"/>
                <w:sz w:val="21"/>
                <w:szCs w:val="21"/>
                <w:u w:val="none" w:color="auto"/>
              </w:rPr>
            </w:pPr>
          </w:p>
        </w:tc>
        <w:tc>
          <w:tcPr>
            <w:tcW w:w="532" w:type="pct"/>
            <w:vAlign w:val="center"/>
          </w:tcPr>
          <w:p w14:paraId="41A4CD09">
            <w:pPr>
              <w:pStyle w:val="102"/>
              <w:rPr>
                <w:rFonts w:hint="default" w:ascii="Times New Roman" w:hAnsi="Times New Roman" w:cs="Times New Roman"/>
                <w:color w:val="auto"/>
                <w:sz w:val="21"/>
                <w:szCs w:val="21"/>
                <w:u w:val="none" w:color="auto"/>
              </w:rPr>
            </w:pPr>
          </w:p>
        </w:tc>
        <w:tc>
          <w:tcPr>
            <w:tcW w:w="934" w:type="pct"/>
            <w:vAlign w:val="center"/>
          </w:tcPr>
          <w:p w14:paraId="7445635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甲苯</w:t>
            </w:r>
          </w:p>
        </w:tc>
        <w:tc>
          <w:tcPr>
            <w:tcW w:w="439" w:type="pct"/>
            <w:vAlign w:val="center"/>
          </w:tcPr>
          <w:p w14:paraId="22BDF50E">
            <w:pPr>
              <w:pStyle w:val="102"/>
              <w:rPr>
                <w:rFonts w:hint="default" w:ascii="Times New Roman" w:hAnsi="Times New Roman" w:cs="Times New Roman"/>
                <w:color w:val="auto"/>
                <w:sz w:val="21"/>
                <w:szCs w:val="21"/>
                <w:u w:val="none" w:color="auto"/>
              </w:rPr>
            </w:pPr>
          </w:p>
        </w:tc>
        <w:tc>
          <w:tcPr>
            <w:tcW w:w="387" w:type="pct"/>
            <w:vAlign w:val="center"/>
          </w:tcPr>
          <w:p w14:paraId="60D6E1B5">
            <w:pPr>
              <w:pStyle w:val="102"/>
              <w:rPr>
                <w:rFonts w:hint="default" w:ascii="Times New Roman" w:hAnsi="Times New Roman" w:cs="Times New Roman"/>
                <w:color w:val="auto"/>
                <w:sz w:val="21"/>
                <w:szCs w:val="21"/>
                <w:u w:val="none" w:color="auto"/>
              </w:rPr>
            </w:pPr>
          </w:p>
        </w:tc>
        <w:tc>
          <w:tcPr>
            <w:tcW w:w="587" w:type="pct"/>
            <w:vAlign w:val="center"/>
          </w:tcPr>
          <w:p w14:paraId="1CF9C949">
            <w:pPr>
              <w:pStyle w:val="102"/>
              <w:rPr>
                <w:rFonts w:hint="default" w:ascii="Times New Roman" w:hAnsi="Times New Roman" w:cs="Times New Roman"/>
                <w:color w:val="auto"/>
                <w:sz w:val="21"/>
                <w:szCs w:val="21"/>
                <w:u w:val="none" w:color="auto"/>
              </w:rPr>
            </w:pPr>
          </w:p>
        </w:tc>
      </w:tr>
      <w:tr w14:paraId="736504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08063937">
            <w:pPr>
              <w:pStyle w:val="102"/>
              <w:rPr>
                <w:rFonts w:hint="default" w:ascii="Times New Roman" w:hAnsi="Times New Roman" w:cs="Times New Roman"/>
                <w:color w:val="auto"/>
                <w:sz w:val="21"/>
                <w:szCs w:val="21"/>
                <w:u w:val="none" w:color="auto"/>
              </w:rPr>
            </w:pPr>
          </w:p>
        </w:tc>
        <w:tc>
          <w:tcPr>
            <w:tcW w:w="895" w:type="pct"/>
            <w:vAlign w:val="center"/>
          </w:tcPr>
          <w:p w14:paraId="3DC60D4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1,1,2,2-四氯乙烷</w:t>
            </w:r>
          </w:p>
        </w:tc>
        <w:tc>
          <w:tcPr>
            <w:tcW w:w="471" w:type="pct"/>
            <w:vAlign w:val="center"/>
          </w:tcPr>
          <w:p w14:paraId="52D09470">
            <w:pPr>
              <w:pStyle w:val="102"/>
              <w:rPr>
                <w:rFonts w:hint="default" w:ascii="Times New Roman" w:hAnsi="Times New Roman" w:cs="Times New Roman"/>
                <w:color w:val="auto"/>
                <w:sz w:val="21"/>
                <w:szCs w:val="21"/>
                <w:u w:val="none" w:color="auto"/>
              </w:rPr>
            </w:pPr>
          </w:p>
        </w:tc>
        <w:tc>
          <w:tcPr>
            <w:tcW w:w="354" w:type="pct"/>
            <w:vAlign w:val="center"/>
          </w:tcPr>
          <w:p w14:paraId="010E633C">
            <w:pPr>
              <w:pStyle w:val="102"/>
              <w:rPr>
                <w:rFonts w:hint="default" w:ascii="Times New Roman" w:hAnsi="Times New Roman" w:cs="Times New Roman"/>
                <w:color w:val="auto"/>
                <w:sz w:val="21"/>
                <w:szCs w:val="21"/>
                <w:u w:val="none" w:color="auto"/>
              </w:rPr>
            </w:pPr>
          </w:p>
        </w:tc>
        <w:tc>
          <w:tcPr>
            <w:tcW w:w="532" w:type="pct"/>
            <w:vAlign w:val="center"/>
          </w:tcPr>
          <w:p w14:paraId="7FBD3375">
            <w:pPr>
              <w:pStyle w:val="102"/>
              <w:rPr>
                <w:rFonts w:hint="default" w:ascii="Times New Roman" w:hAnsi="Times New Roman" w:cs="Times New Roman"/>
                <w:color w:val="auto"/>
                <w:sz w:val="21"/>
                <w:szCs w:val="21"/>
                <w:u w:val="none" w:color="auto"/>
              </w:rPr>
            </w:pPr>
          </w:p>
        </w:tc>
        <w:tc>
          <w:tcPr>
            <w:tcW w:w="934" w:type="pct"/>
            <w:vAlign w:val="center"/>
          </w:tcPr>
          <w:p w14:paraId="3F1A867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间二甲苯+对二甲苯</w:t>
            </w:r>
          </w:p>
        </w:tc>
        <w:tc>
          <w:tcPr>
            <w:tcW w:w="439" w:type="pct"/>
            <w:vAlign w:val="center"/>
          </w:tcPr>
          <w:p w14:paraId="5F61C1CD">
            <w:pPr>
              <w:pStyle w:val="102"/>
              <w:rPr>
                <w:rFonts w:hint="default" w:ascii="Times New Roman" w:hAnsi="Times New Roman" w:cs="Times New Roman"/>
                <w:color w:val="auto"/>
                <w:sz w:val="21"/>
                <w:szCs w:val="21"/>
                <w:u w:val="none" w:color="auto"/>
              </w:rPr>
            </w:pPr>
          </w:p>
        </w:tc>
        <w:tc>
          <w:tcPr>
            <w:tcW w:w="387" w:type="pct"/>
            <w:vAlign w:val="center"/>
          </w:tcPr>
          <w:p w14:paraId="172710F6">
            <w:pPr>
              <w:pStyle w:val="102"/>
              <w:rPr>
                <w:rFonts w:hint="default" w:ascii="Times New Roman" w:hAnsi="Times New Roman" w:cs="Times New Roman"/>
                <w:color w:val="auto"/>
                <w:sz w:val="21"/>
                <w:szCs w:val="21"/>
                <w:u w:val="none" w:color="auto"/>
              </w:rPr>
            </w:pPr>
          </w:p>
        </w:tc>
        <w:tc>
          <w:tcPr>
            <w:tcW w:w="587" w:type="pct"/>
            <w:vAlign w:val="center"/>
          </w:tcPr>
          <w:p w14:paraId="641435C3">
            <w:pPr>
              <w:pStyle w:val="102"/>
              <w:rPr>
                <w:rFonts w:hint="default" w:ascii="Times New Roman" w:hAnsi="Times New Roman" w:cs="Times New Roman"/>
                <w:color w:val="auto"/>
                <w:sz w:val="21"/>
                <w:szCs w:val="21"/>
                <w:u w:val="none" w:color="auto"/>
              </w:rPr>
            </w:pPr>
          </w:p>
        </w:tc>
      </w:tr>
      <w:tr w14:paraId="09BB4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7CCF0F24">
            <w:pPr>
              <w:pStyle w:val="102"/>
              <w:rPr>
                <w:rFonts w:hint="default" w:ascii="Times New Roman" w:hAnsi="Times New Roman" w:cs="Times New Roman"/>
                <w:color w:val="auto"/>
                <w:sz w:val="21"/>
                <w:szCs w:val="21"/>
                <w:u w:val="none" w:color="auto"/>
              </w:rPr>
            </w:pPr>
          </w:p>
        </w:tc>
        <w:tc>
          <w:tcPr>
            <w:tcW w:w="895" w:type="pct"/>
            <w:vAlign w:val="center"/>
          </w:tcPr>
          <w:p w14:paraId="5870979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四氯乙烯</w:t>
            </w:r>
          </w:p>
        </w:tc>
        <w:tc>
          <w:tcPr>
            <w:tcW w:w="471" w:type="pct"/>
            <w:vAlign w:val="center"/>
          </w:tcPr>
          <w:p w14:paraId="08E00913">
            <w:pPr>
              <w:pStyle w:val="102"/>
              <w:rPr>
                <w:rFonts w:hint="default" w:ascii="Times New Roman" w:hAnsi="Times New Roman" w:cs="Times New Roman"/>
                <w:color w:val="auto"/>
                <w:sz w:val="21"/>
                <w:szCs w:val="21"/>
                <w:u w:val="none" w:color="auto"/>
              </w:rPr>
            </w:pPr>
          </w:p>
        </w:tc>
        <w:tc>
          <w:tcPr>
            <w:tcW w:w="354" w:type="pct"/>
            <w:vAlign w:val="center"/>
          </w:tcPr>
          <w:p w14:paraId="786AB81A">
            <w:pPr>
              <w:pStyle w:val="102"/>
              <w:rPr>
                <w:rFonts w:hint="default" w:ascii="Times New Roman" w:hAnsi="Times New Roman" w:cs="Times New Roman"/>
                <w:color w:val="auto"/>
                <w:sz w:val="21"/>
                <w:szCs w:val="21"/>
                <w:u w:val="none" w:color="auto"/>
              </w:rPr>
            </w:pPr>
          </w:p>
        </w:tc>
        <w:tc>
          <w:tcPr>
            <w:tcW w:w="532" w:type="pct"/>
            <w:vAlign w:val="center"/>
          </w:tcPr>
          <w:p w14:paraId="24A0B3D2">
            <w:pPr>
              <w:pStyle w:val="102"/>
              <w:rPr>
                <w:rFonts w:hint="default" w:ascii="Times New Roman" w:hAnsi="Times New Roman" w:cs="Times New Roman"/>
                <w:color w:val="auto"/>
                <w:sz w:val="21"/>
                <w:szCs w:val="21"/>
                <w:u w:val="none" w:color="auto"/>
              </w:rPr>
            </w:pPr>
          </w:p>
        </w:tc>
        <w:tc>
          <w:tcPr>
            <w:tcW w:w="934" w:type="pct"/>
            <w:vAlign w:val="center"/>
          </w:tcPr>
          <w:p w14:paraId="7FB9659A">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邻二甲苯</w:t>
            </w:r>
          </w:p>
        </w:tc>
        <w:tc>
          <w:tcPr>
            <w:tcW w:w="439" w:type="pct"/>
            <w:vAlign w:val="center"/>
          </w:tcPr>
          <w:p w14:paraId="352550B0">
            <w:pPr>
              <w:pStyle w:val="102"/>
              <w:rPr>
                <w:rFonts w:hint="default" w:ascii="Times New Roman" w:hAnsi="Times New Roman" w:cs="Times New Roman"/>
                <w:color w:val="auto"/>
                <w:sz w:val="21"/>
                <w:szCs w:val="21"/>
                <w:u w:val="none" w:color="auto"/>
              </w:rPr>
            </w:pPr>
          </w:p>
        </w:tc>
        <w:tc>
          <w:tcPr>
            <w:tcW w:w="387" w:type="pct"/>
            <w:vAlign w:val="center"/>
          </w:tcPr>
          <w:p w14:paraId="44DCD468">
            <w:pPr>
              <w:pStyle w:val="102"/>
              <w:rPr>
                <w:rFonts w:hint="default" w:ascii="Times New Roman" w:hAnsi="Times New Roman" w:cs="Times New Roman"/>
                <w:color w:val="auto"/>
                <w:sz w:val="21"/>
                <w:szCs w:val="21"/>
                <w:u w:val="none" w:color="auto"/>
              </w:rPr>
            </w:pPr>
          </w:p>
        </w:tc>
        <w:tc>
          <w:tcPr>
            <w:tcW w:w="587" w:type="pct"/>
            <w:vAlign w:val="center"/>
          </w:tcPr>
          <w:p w14:paraId="607427AB">
            <w:pPr>
              <w:pStyle w:val="102"/>
              <w:rPr>
                <w:rFonts w:hint="default" w:ascii="Times New Roman" w:hAnsi="Times New Roman" w:cs="Times New Roman"/>
                <w:color w:val="auto"/>
                <w:sz w:val="21"/>
                <w:szCs w:val="21"/>
                <w:u w:val="none" w:color="auto"/>
              </w:rPr>
            </w:pPr>
          </w:p>
        </w:tc>
      </w:tr>
      <w:tr w14:paraId="30658B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3CF22032">
            <w:pPr>
              <w:pStyle w:val="102"/>
              <w:rPr>
                <w:rFonts w:hint="default" w:ascii="Times New Roman" w:hAnsi="Times New Roman" w:cs="Times New Roman"/>
                <w:color w:val="auto"/>
                <w:sz w:val="21"/>
                <w:szCs w:val="21"/>
                <w:u w:val="none" w:color="auto"/>
              </w:rPr>
            </w:pPr>
          </w:p>
        </w:tc>
        <w:tc>
          <w:tcPr>
            <w:tcW w:w="895" w:type="pct"/>
            <w:vAlign w:val="center"/>
          </w:tcPr>
          <w:p w14:paraId="2B4A938B">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1,1,1-三氯乙烷</w:t>
            </w:r>
          </w:p>
        </w:tc>
        <w:tc>
          <w:tcPr>
            <w:tcW w:w="471" w:type="pct"/>
            <w:vAlign w:val="center"/>
          </w:tcPr>
          <w:p w14:paraId="62139743">
            <w:pPr>
              <w:pStyle w:val="102"/>
              <w:rPr>
                <w:rFonts w:hint="default" w:ascii="Times New Roman" w:hAnsi="Times New Roman" w:cs="Times New Roman"/>
                <w:color w:val="auto"/>
                <w:sz w:val="21"/>
                <w:szCs w:val="21"/>
                <w:u w:val="none" w:color="auto"/>
              </w:rPr>
            </w:pPr>
          </w:p>
        </w:tc>
        <w:tc>
          <w:tcPr>
            <w:tcW w:w="354" w:type="pct"/>
            <w:vAlign w:val="center"/>
          </w:tcPr>
          <w:p w14:paraId="4D4F85E8">
            <w:pPr>
              <w:pStyle w:val="102"/>
              <w:rPr>
                <w:rFonts w:hint="default" w:ascii="Times New Roman" w:hAnsi="Times New Roman" w:cs="Times New Roman"/>
                <w:color w:val="auto"/>
                <w:sz w:val="21"/>
                <w:szCs w:val="21"/>
                <w:u w:val="none" w:color="auto"/>
              </w:rPr>
            </w:pPr>
          </w:p>
        </w:tc>
        <w:tc>
          <w:tcPr>
            <w:tcW w:w="532" w:type="pct"/>
            <w:vAlign w:val="center"/>
          </w:tcPr>
          <w:p w14:paraId="5073FED7">
            <w:pPr>
              <w:pStyle w:val="102"/>
              <w:rPr>
                <w:rFonts w:hint="default" w:ascii="Times New Roman" w:hAnsi="Times New Roman" w:cs="Times New Roman"/>
                <w:color w:val="auto"/>
                <w:sz w:val="21"/>
                <w:szCs w:val="21"/>
                <w:u w:val="none" w:color="auto"/>
              </w:rPr>
            </w:pPr>
          </w:p>
        </w:tc>
        <w:tc>
          <w:tcPr>
            <w:tcW w:w="934" w:type="pct"/>
            <w:vAlign w:val="center"/>
          </w:tcPr>
          <w:p w14:paraId="220B51D2">
            <w:pPr>
              <w:pStyle w:val="102"/>
              <w:rPr>
                <w:rFonts w:hint="default" w:ascii="Times New Roman" w:hAnsi="Times New Roman" w:cs="Times New Roman"/>
                <w:color w:val="auto"/>
                <w:sz w:val="21"/>
                <w:szCs w:val="21"/>
                <w:u w:val="none" w:color="auto"/>
              </w:rPr>
            </w:pPr>
          </w:p>
        </w:tc>
        <w:tc>
          <w:tcPr>
            <w:tcW w:w="439" w:type="pct"/>
            <w:vAlign w:val="center"/>
          </w:tcPr>
          <w:p w14:paraId="57EEB6B4">
            <w:pPr>
              <w:pStyle w:val="102"/>
              <w:rPr>
                <w:rFonts w:hint="default" w:ascii="Times New Roman" w:hAnsi="Times New Roman" w:cs="Times New Roman"/>
                <w:color w:val="auto"/>
                <w:sz w:val="21"/>
                <w:szCs w:val="21"/>
                <w:u w:val="none" w:color="auto"/>
              </w:rPr>
            </w:pPr>
          </w:p>
        </w:tc>
        <w:tc>
          <w:tcPr>
            <w:tcW w:w="387" w:type="pct"/>
            <w:vAlign w:val="center"/>
          </w:tcPr>
          <w:p w14:paraId="4236F8A7">
            <w:pPr>
              <w:pStyle w:val="102"/>
              <w:rPr>
                <w:rFonts w:hint="default" w:ascii="Times New Roman" w:hAnsi="Times New Roman" w:cs="Times New Roman"/>
                <w:color w:val="auto"/>
                <w:sz w:val="21"/>
                <w:szCs w:val="21"/>
                <w:u w:val="none" w:color="auto"/>
              </w:rPr>
            </w:pPr>
          </w:p>
        </w:tc>
        <w:tc>
          <w:tcPr>
            <w:tcW w:w="587" w:type="pct"/>
            <w:vAlign w:val="center"/>
          </w:tcPr>
          <w:p w14:paraId="12ED4282">
            <w:pPr>
              <w:pStyle w:val="102"/>
              <w:rPr>
                <w:rFonts w:hint="default" w:ascii="Times New Roman" w:hAnsi="Times New Roman" w:cs="Times New Roman"/>
                <w:color w:val="auto"/>
                <w:sz w:val="21"/>
                <w:szCs w:val="21"/>
                <w:u w:val="none" w:color="auto"/>
              </w:rPr>
            </w:pPr>
          </w:p>
        </w:tc>
      </w:tr>
      <w:tr w14:paraId="2FB7C1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restart"/>
            <w:vAlign w:val="center"/>
          </w:tcPr>
          <w:p w14:paraId="5926554E">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半挥</w:t>
            </w:r>
          </w:p>
          <w:p w14:paraId="30D7E3E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发性</w:t>
            </w:r>
          </w:p>
          <w:p w14:paraId="38BA91D4">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有机</w:t>
            </w:r>
          </w:p>
          <w:p w14:paraId="5051C52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物单位：mg/kg</w:t>
            </w:r>
          </w:p>
        </w:tc>
        <w:tc>
          <w:tcPr>
            <w:tcW w:w="895" w:type="pct"/>
            <w:vAlign w:val="center"/>
          </w:tcPr>
          <w:p w14:paraId="79B9D647">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硝基苯</w:t>
            </w:r>
          </w:p>
        </w:tc>
        <w:tc>
          <w:tcPr>
            <w:tcW w:w="471" w:type="pct"/>
            <w:vAlign w:val="center"/>
          </w:tcPr>
          <w:p w14:paraId="5F980712">
            <w:pPr>
              <w:pStyle w:val="102"/>
              <w:rPr>
                <w:rFonts w:hint="default" w:ascii="Times New Roman" w:hAnsi="Times New Roman" w:cs="Times New Roman"/>
                <w:color w:val="auto"/>
                <w:sz w:val="21"/>
                <w:szCs w:val="21"/>
                <w:u w:val="none" w:color="auto"/>
              </w:rPr>
            </w:pPr>
          </w:p>
        </w:tc>
        <w:tc>
          <w:tcPr>
            <w:tcW w:w="354" w:type="pct"/>
            <w:vAlign w:val="center"/>
          </w:tcPr>
          <w:p w14:paraId="42D1FFA6">
            <w:pPr>
              <w:pStyle w:val="102"/>
              <w:rPr>
                <w:rFonts w:hint="default" w:ascii="Times New Roman" w:hAnsi="Times New Roman" w:cs="Times New Roman"/>
                <w:color w:val="auto"/>
                <w:sz w:val="21"/>
                <w:szCs w:val="21"/>
                <w:u w:val="none" w:color="auto"/>
              </w:rPr>
            </w:pPr>
          </w:p>
        </w:tc>
        <w:tc>
          <w:tcPr>
            <w:tcW w:w="532" w:type="pct"/>
            <w:vAlign w:val="center"/>
          </w:tcPr>
          <w:p w14:paraId="0B93581F">
            <w:pPr>
              <w:pStyle w:val="102"/>
              <w:rPr>
                <w:rFonts w:hint="default" w:ascii="Times New Roman" w:hAnsi="Times New Roman" w:cs="Times New Roman"/>
                <w:color w:val="auto"/>
                <w:sz w:val="21"/>
                <w:szCs w:val="21"/>
                <w:u w:val="none" w:color="auto"/>
              </w:rPr>
            </w:pPr>
          </w:p>
        </w:tc>
        <w:tc>
          <w:tcPr>
            <w:tcW w:w="934" w:type="pct"/>
            <w:vAlign w:val="center"/>
          </w:tcPr>
          <w:p w14:paraId="28F174C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苯并[k]荧蒽</w:t>
            </w:r>
          </w:p>
        </w:tc>
        <w:tc>
          <w:tcPr>
            <w:tcW w:w="439" w:type="pct"/>
            <w:vAlign w:val="center"/>
          </w:tcPr>
          <w:p w14:paraId="4472B58A">
            <w:pPr>
              <w:pStyle w:val="102"/>
              <w:rPr>
                <w:rFonts w:hint="default" w:ascii="Times New Roman" w:hAnsi="Times New Roman" w:cs="Times New Roman"/>
                <w:color w:val="auto"/>
                <w:sz w:val="21"/>
                <w:szCs w:val="21"/>
                <w:u w:val="none" w:color="auto"/>
              </w:rPr>
            </w:pPr>
          </w:p>
        </w:tc>
        <w:tc>
          <w:tcPr>
            <w:tcW w:w="387" w:type="pct"/>
            <w:vAlign w:val="center"/>
          </w:tcPr>
          <w:p w14:paraId="20AA9793">
            <w:pPr>
              <w:pStyle w:val="102"/>
              <w:rPr>
                <w:rFonts w:hint="default" w:ascii="Times New Roman" w:hAnsi="Times New Roman" w:cs="Times New Roman"/>
                <w:color w:val="auto"/>
                <w:sz w:val="21"/>
                <w:szCs w:val="21"/>
                <w:u w:val="none" w:color="auto"/>
              </w:rPr>
            </w:pPr>
          </w:p>
        </w:tc>
        <w:tc>
          <w:tcPr>
            <w:tcW w:w="587" w:type="pct"/>
            <w:vAlign w:val="center"/>
          </w:tcPr>
          <w:p w14:paraId="3DCBE3D8">
            <w:pPr>
              <w:pStyle w:val="102"/>
              <w:rPr>
                <w:rFonts w:hint="default" w:ascii="Times New Roman" w:hAnsi="Times New Roman" w:cs="Times New Roman"/>
                <w:color w:val="auto"/>
                <w:sz w:val="21"/>
                <w:szCs w:val="21"/>
                <w:u w:val="none" w:color="auto"/>
              </w:rPr>
            </w:pPr>
          </w:p>
        </w:tc>
      </w:tr>
      <w:tr w14:paraId="16E56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72BB0807">
            <w:pPr>
              <w:pStyle w:val="102"/>
              <w:rPr>
                <w:rFonts w:hint="default" w:ascii="Times New Roman" w:hAnsi="Times New Roman" w:cs="Times New Roman"/>
                <w:color w:val="auto"/>
                <w:sz w:val="21"/>
                <w:szCs w:val="21"/>
                <w:u w:val="none" w:color="auto"/>
              </w:rPr>
            </w:pPr>
          </w:p>
        </w:tc>
        <w:tc>
          <w:tcPr>
            <w:tcW w:w="895" w:type="pct"/>
            <w:vAlign w:val="center"/>
          </w:tcPr>
          <w:p w14:paraId="72513CA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苯胺</w:t>
            </w:r>
          </w:p>
        </w:tc>
        <w:tc>
          <w:tcPr>
            <w:tcW w:w="471" w:type="pct"/>
            <w:vAlign w:val="center"/>
          </w:tcPr>
          <w:p w14:paraId="331A8DE2">
            <w:pPr>
              <w:pStyle w:val="102"/>
              <w:rPr>
                <w:rFonts w:hint="default" w:ascii="Times New Roman" w:hAnsi="Times New Roman" w:cs="Times New Roman"/>
                <w:color w:val="auto"/>
                <w:sz w:val="21"/>
                <w:szCs w:val="21"/>
                <w:u w:val="none" w:color="auto"/>
              </w:rPr>
            </w:pPr>
          </w:p>
        </w:tc>
        <w:tc>
          <w:tcPr>
            <w:tcW w:w="354" w:type="pct"/>
            <w:vAlign w:val="center"/>
          </w:tcPr>
          <w:p w14:paraId="14F86858">
            <w:pPr>
              <w:pStyle w:val="102"/>
              <w:rPr>
                <w:rFonts w:hint="default" w:ascii="Times New Roman" w:hAnsi="Times New Roman" w:cs="Times New Roman"/>
                <w:color w:val="auto"/>
                <w:sz w:val="21"/>
                <w:szCs w:val="21"/>
                <w:u w:val="none" w:color="auto"/>
              </w:rPr>
            </w:pPr>
          </w:p>
        </w:tc>
        <w:tc>
          <w:tcPr>
            <w:tcW w:w="532" w:type="pct"/>
            <w:vAlign w:val="center"/>
          </w:tcPr>
          <w:p w14:paraId="5A0DE35F">
            <w:pPr>
              <w:pStyle w:val="102"/>
              <w:rPr>
                <w:rFonts w:hint="default" w:ascii="Times New Roman" w:hAnsi="Times New Roman" w:cs="Times New Roman"/>
                <w:color w:val="auto"/>
                <w:sz w:val="21"/>
                <w:szCs w:val="21"/>
                <w:u w:val="none" w:color="auto"/>
              </w:rPr>
            </w:pPr>
          </w:p>
        </w:tc>
        <w:tc>
          <w:tcPr>
            <w:tcW w:w="934" w:type="pct"/>
            <w:vAlign w:val="center"/>
          </w:tcPr>
          <w:p w14:paraId="45D8D792">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䓛</w:t>
            </w:r>
          </w:p>
        </w:tc>
        <w:tc>
          <w:tcPr>
            <w:tcW w:w="439" w:type="pct"/>
            <w:vAlign w:val="center"/>
          </w:tcPr>
          <w:p w14:paraId="175547F7">
            <w:pPr>
              <w:pStyle w:val="102"/>
              <w:rPr>
                <w:rFonts w:hint="default" w:ascii="Times New Roman" w:hAnsi="Times New Roman" w:cs="Times New Roman"/>
                <w:color w:val="auto"/>
                <w:sz w:val="21"/>
                <w:szCs w:val="21"/>
                <w:u w:val="none" w:color="auto"/>
              </w:rPr>
            </w:pPr>
          </w:p>
        </w:tc>
        <w:tc>
          <w:tcPr>
            <w:tcW w:w="387" w:type="pct"/>
            <w:vAlign w:val="center"/>
          </w:tcPr>
          <w:p w14:paraId="5DD81FC6">
            <w:pPr>
              <w:pStyle w:val="102"/>
              <w:rPr>
                <w:rFonts w:hint="default" w:ascii="Times New Roman" w:hAnsi="Times New Roman" w:cs="Times New Roman"/>
                <w:color w:val="auto"/>
                <w:sz w:val="21"/>
                <w:szCs w:val="21"/>
                <w:u w:val="none" w:color="auto"/>
              </w:rPr>
            </w:pPr>
          </w:p>
        </w:tc>
        <w:tc>
          <w:tcPr>
            <w:tcW w:w="587" w:type="pct"/>
            <w:vAlign w:val="center"/>
          </w:tcPr>
          <w:p w14:paraId="623F06A2">
            <w:pPr>
              <w:pStyle w:val="102"/>
              <w:rPr>
                <w:rFonts w:hint="default" w:ascii="Times New Roman" w:hAnsi="Times New Roman" w:cs="Times New Roman"/>
                <w:color w:val="auto"/>
                <w:sz w:val="21"/>
                <w:szCs w:val="21"/>
                <w:u w:val="none" w:color="auto"/>
              </w:rPr>
            </w:pPr>
          </w:p>
        </w:tc>
      </w:tr>
      <w:tr w14:paraId="2A5B1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7809D63C">
            <w:pPr>
              <w:pStyle w:val="102"/>
              <w:rPr>
                <w:rFonts w:hint="default" w:ascii="Times New Roman" w:hAnsi="Times New Roman" w:cs="Times New Roman"/>
                <w:color w:val="auto"/>
                <w:sz w:val="21"/>
                <w:szCs w:val="21"/>
                <w:u w:val="none" w:color="auto"/>
              </w:rPr>
            </w:pPr>
          </w:p>
        </w:tc>
        <w:tc>
          <w:tcPr>
            <w:tcW w:w="895" w:type="pct"/>
            <w:vAlign w:val="center"/>
          </w:tcPr>
          <w:p w14:paraId="4C782354">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2-氯酚</w:t>
            </w:r>
          </w:p>
        </w:tc>
        <w:tc>
          <w:tcPr>
            <w:tcW w:w="471" w:type="pct"/>
            <w:vAlign w:val="center"/>
          </w:tcPr>
          <w:p w14:paraId="1F464492">
            <w:pPr>
              <w:pStyle w:val="102"/>
              <w:rPr>
                <w:rFonts w:hint="default" w:ascii="Times New Roman" w:hAnsi="Times New Roman" w:cs="Times New Roman"/>
                <w:color w:val="auto"/>
                <w:sz w:val="21"/>
                <w:szCs w:val="21"/>
                <w:u w:val="none" w:color="auto"/>
              </w:rPr>
            </w:pPr>
          </w:p>
        </w:tc>
        <w:tc>
          <w:tcPr>
            <w:tcW w:w="354" w:type="pct"/>
            <w:vAlign w:val="center"/>
          </w:tcPr>
          <w:p w14:paraId="732427D7">
            <w:pPr>
              <w:pStyle w:val="102"/>
              <w:rPr>
                <w:rFonts w:hint="default" w:ascii="Times New Roman" w:hAnsi="Times New Roman" w:cs="Times New Roman"/>
                <w:color w:val="auto"/>
                <w:sz w:val="21"/>
                <w:szCs w:val="21"/>
                <w:u w:val="none" w:color="auto"/>
              </w:rPr>
            </w:pPr>
          </w:p>
        </w:tc>
        <w:tc>
          <w:tcPr>
            <w:tcW w:w="532" w:type="pct"/>
            <w:vAlign w:val="center"/>
          </w:tcPr>
          <w:p w14:paraId="58668D6D">
            <w:pPr>
              <w:pStyle w:val="102"/>
              <w:rPr>
                <w:rFonts w:hint="default" w:ascii="Times New Roman" w:hAnsi="Times New Roman" w:cs="Times New Roman"/>
                <w:color w:val="auto"/>
                <w:sz w:val="21"/>
                <w:szCs w:val="21"/>
                <w:u w:val="none" w:color="auto"/>
              </w:rPr>
            </w:pPr>
          </w:p>
        </w:tc>
        <w:tc>
          <w:tcPr>
            <w:tcW w:w="934" w:type="pct"/>
            <w:vAlign w:val="center"/>
          </w:tcPr>
          <w:p w14:paraId="5C806B1F">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二苯并[a，k]蒽</w:t>
            </w:r>
          </w:p>
        </w:tc>
        <w:tc>
          <w:tcPr>
            <w:tcW w:w="439" w:type="pct"/>
            <w:vAlign w:val="center"/>
          </w:tcPr>
          <w:p w14:paraId="2A79E575">
            <w:pPr>
              <w:pStyle w:val="102"/>
              <w:rPr>
                <w:rFonts w:hint="default" w:ascii="Times New Roman" w:hAnsi="Times New Roman" w:cs="Times New Roman"/>
                <w:color w:val="auto"/>
                <w:sz w:val="21"/>
                <w:szCs w:val="21"/>
                <w:u w:val="none" w:color="auto"/>
              </w:rPr>
            </w:pPr>
          </w:p>
        </w:tc>
        <w:tc>
          <w:tcPr>
            <w:tcW w:w="387" w:type="pct"/>
            <w:vAlign w:val="center"/>
          </w:tcPr>
          <w:p w14:paraId="34D0CE54">
            <w:pPr>
              <w:pStyle w:val="102"/>
              <w:rPr>
                <w:rFonts w:hint="default" w:ascii="Times New Roman" w:hAnsi="Times New Roman" w:cs="Times New Roman"/>
                <w:color w:val="auto"/>
                <w:sz w:val="21"/>
                <w:szCs w:val="21"/>
                <w:u w:val="none" w:color="auto"/>
              </w:rPr>
            </w:pPr>
          </w:p>
        </w:tc>
        <w:tc>
          <w:tcPr>
            <w:tcW w:w="587" w:type="pct"/>
            <w:vAlign w:val="center"/>
          </w:tcPr>
          <w:p w14:paraId="6263FE04">
            <w:pPr>
              <w:pStyle w:val="102"/>
              <w:rPr>
                <w:rFonts w:hint="default" w:ascii="Times New Roman" w:hAnsi="Times New Roman" w:cs="Times New Roman"/>
                <w:color w:val="auto"/>
                <w:sz w:val="21"/>
                <w:szCs w:val="21"/>
                <w:u w:val="none" w:color="auto"/>
              </w:rPr>
            </w:pPr>
          </w:p>
        </w:tc>
      </w:tr>
      <w:tr w14:paraId="11BF05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71D63AE5">
            <w:pPr>
              <w:pStyle w:val="102"/>
              <w:rPr>
                <w:rFonts w:hint="default" w:ascii="Times New Roman" w:hAnsi="Times New Roman" w:cs="Times New Roman"/>
                <w:color w:val="auto"/>
                <w:sz w:val="21"/>
                <w:szCs w:val="21"/>
                <w:u w:val="none" w:color="auto"/>
              </w:rPr>
            </w:pPr>
          </w:p>
        </w:tc>
        <w:tc>
          <w:tcPr>
            <w:tcW w:w="895" w:type="pct"/>
            <w:vAlign w:val="center"/>
          </w:tcPr>
          <w:p w14:paraId="2F2C4711">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苯并[a]蒽</w:t>
            </w:r>
          </w:p>
        </w:tc>
        <w:tc>
          <w:tcPr>
            <w:tcW w:w="471" w:type="pct"/>
            <w:vAlign w:val="center"/>
          </w:tcPr>
          <w:p w14:paraId="7C7FB350">
            <w:pPr>
              <w:pStyle w:val="102"/>
              <w:rPr>
                <w:rFonts w:hint="default" w:ascii="Times New Roman" w:hAnsi="Times New Roman" w:cs="Times New Roman"/>
                <w:color w:val="auto"/>
                <w:sz w:val="21"/>
                <w:szCs w:val="21"/>
                <w:u w:val="none" w:color="auto"/>
              </w:rPr>
            </w:pPr>
          </w:p>
        </w:tc>
        <w:tc>
          <w:tcPr>
            <w:tcW w:w="354" w:type="pct"/>
            <w:vAlign w:val="center"/>
          </w:tcPr>
          <w:p w14:paraId="7FE78EB7">
            <w:pPr>
              <w:pStyle w:val="102"/>
              <w:rPr>
                <w:rFonts w:hint="default" w:ascii="Times New Roman" w:hAnsi="Times New Roman" w:cs="Times New Roman"/>
                <w:color w:val="auto"/>
                <w:sz w:val="21"/>
                <w:szCs w:val="21"/>
                <w:u w:val="none" w:color="auto"/>
              </w:rPr>
            </w:pPr>
          </w:p>
        </w:tc>
        <w:tc>
          <w:tcPr>
            <w:tcW w:w="532" w:type="pct"/>
            <w:vAlign w:val="center"/>
          </w:tcPr>
          <w:p w14:paraId="13F2A28B">
            <w:pPr>
              <w:pStyle w:val="102"/>
              <w:rPr>
                <w:rFonts w:hint="default" w:ascii="Times New Roman" w:hAnsi="Times New Roman" w:cs="Times New Roman"/>
                <w:color w:val="auto"/>
                <w:sz w:val="21"/>
                <w:szCs w:val="21"/>
                <w:u w:val="none" w:color="auto"/>
              </w:rPr>
            </w:pPr>
          </w:p>
        </w:tc>
        <w:tc>
          <w:tcPr>
            <w:tcW w:w="934" w:type="pct"/>
            <w:vAlign w:val="center"/>
          </w:tcPr>
          <w:p w14:paraId="5A884E1D">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茚并[1,2,3-cd]芘</w:t>
            </w:r>
          </w:p>
        </w:tc>
        <w:tc>
          <w:tcPr>
            <w:tcW w:w="439" w:type="pct"/>
            <w:vAlign w:val="center"/>
          </w:tcPr>
          <w:p w14:paraId="45BE9C7D">
            <w:pPr>
              <w:pStyle w:val="102"/>
              <w:rPr>
                <w:rFonts w:hint="default" w:ascii="Times New Roman" w:hAnsi="Times New Roman" w:cs="Times New Roman"/>
                <w:color w:val="auto"/>
                <w:sz w:val="21"/>
                <w:szCs w:val="21"/>
                <w:u w:val="none" w:color="auto"/>
              </w:rPr>
            </w:pPr>
          </w:p>
        </w:tc>
        <w:tc>
          <w:tcPr>
            <w:tcW w:w="387" w:type="pct"/>
            <w:vAlign w:val="center"/>
          </w:tcPr>
          <w:p w14:paraId="0483D6B2">
            <w:pPr>
              <w:pStyle w:val="102"/>
              <w:rPr>
                <w:rFonts w:hint="default" w:ascii="Times New Roman" w:hAnsi="Times New Roman" w:cs="Times New Roman"/>
                <w:color w:val="auto"/>
                <w:sz w:val="21"/>
                <w:szCs w:val="21"/>
                <w:u w:val="none" w:color="auto"/>
              </w:rPr>
            </w:pPr>
          </w:p>
        </w:tc>
        <w:tc>
          <w:tcPr>
            <w:tcW w:w="587" w:type="pct"/>
            <w:vAlign w:val="center"/>
          </w:tcPr>
          <w:p w14:paraId="53CC6196">
            <w:pPr>
              <w:pStyle w:val="102"/>
              <w:rPr>
                <w:rFonts w:hint="default" w:ascii="Times New Roman" w:hAnsi="Times New Roman" w:cs="Times New Roman"/>
                <w:color w:val="auto"/>
                <w:sz w:val="21"/>
                <w:szCs w:val="21"/>
                <w:u w:val="none" w:color="auto"/>
              </w:rPr>
            </w:pPr>
          </w:p>
        </w:tc>
      </w:tr>
      <w:tr w14:paraId="47711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340D0CDB">
            <w:pPr>
              <w:pStyle w:val="102"/>
              <w:rPr>
                <w:rFonts w:hint="default" w:ascii="Times New Roman" w:hAnsi="Times New Roman" w:cs="Times New Roman"/>
                <w:color w:val="auto"/>
                <w:sz w:val="21"/>
                <w:szCs w:val="21"/>
                <w:u w:val="none" w:color="auto"/>
              </w:rPr>
            </w:pPr>
          </w:p>
        </w:tc>
        <w:tc>
          <w:tcPr>
            <w:tcW w:w="895" w:type="pct"/>
            <w:vAlign w:val="center"/>
          </w:tcPr>
          <w:p w14:paraId="18487FB5">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苯并[a]芘</w:t>
            </w:r>
          </w:p>
        </w:tc>
        <w:tc>
          <w:tcPr>
            <w:tcW w:w="471" w:type="pct"/>
            <w:vAlign w:val="center"/>
          </w:tcPr>
          <w:p w14:paraId="71293C0B">
            <w:pPr>
              <w:pStyle w:val="102"/>
              <w:rPr>
                <w:rFonts w:hint="default" w:ascii="Times New Roman" w:hAnsi="Times New Roman" w:cs="Times New Roman"/>
                <w:color w:val="auto"/>
                <w:sz w:val="21"/>
                <w:szCs w:val="21"/>
                <w:u w:val="none" w:color="auto"/>
              </w:rPr>
            </w:pPr>
          </w:p>
        </w:tc>
        <w:tc>
          <w:tcPr>
            <w:tcW w:w="354" w:type="pct"/>
            <w:vAlign w:val="center"/>
          </w:tcPr>
          <w:p w14:paraId="563A87F9">
            <w:pPr>
              <w:pStyle w:val="102"/>
              <w:rPr>
                <w:rFonts w:hint="default" w:ascii="Times New Roman" w:hAnsi="Times New Roman" w:cs="Times New Roman"/>
                <w:color w:val="auto"/>
                <w:sz w:val="21"/>
                <w:szCs w:val="21"/>
                <w:u w:val="none" w:color="auto"/>
              </w:rPr>
            </w:pPr>
          </w:p>
        </w:tc>
        <w:tc>
          <w:tcPr>
            <w:tcW w:w="532" w:type="pct"/>
            <w:vAlign w:val="center"/>
          </w:tcPr>
          <w:p w14:paraId="5322A647">
            <w:pPr>
              <w:pStyle w:val="102"/>
              <w:rPr>
                <w:rFonts w:hint="default" w:ascii="Times New Roman" w:hAnsi="Times New Roman" w:cs="Times New Roman"/>
                <w:color w:val="auto"/>
                <w:sz w:val="21"/>
                <w:szCs w:val="21"/>
                <w:u w:val="none" w:color="auto"/>
              </w:rPr>
            </w:pPr>
          </w:p>
        </w:tc>
        <w:tc>
          <w:tcPr>
            <w:tcW w:w="934" w:type="pct"/>
            <w:vAlign w:val="center"/>
          </w:tcPr>
          <w:p w14:paraId="469C27C8">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萘</w:t>
            </w:r>
          </w:p>
        </w:tc>
        <w:tc>
          <w:tcPr>
            <w:tcW w:w="439" w:type="pct"/>
            <w:vAlign w:val="center"/>
          </w:tcPr>
          <w:p w14:paraId="377ED27F">
            <w:pPr>
              <w:pStyle w:val="102"/>
              <w:rPr>
                <w:rFonts w:hint="default" w:ascii="Times New Roman" w:hAnsi="Times New Roman" w:cs="Times New Roman"/>
                <w:color w:val="auto"/>
                <w:sz w:val="21"/>
                <w:szCs w:val="21"/>
                <w:u w:val="none" w:color="auto"/>
              </w:rPr>
            </w:pPr>
          </w:p>
        </w:tc>
        <w:tc>
          <w:tcPr>
            <w:tcW w:w="387" w:type="pct"/>
            <w:vAlign w:val="center"/>
          </w:tcPr>
          <w:p w14:paraId="4B21BD04">
            <w:pPr>
              <w:pStyle w:val="102"/>
              <w:rPr>
                <w:rFonts w:hint="default" w:ascii="Times New Roman" w:hAnsi="Times New Roman" w:cs="Times New Roman"/>
                <w:color w:val="auto"/>
                <w:sz w:val="21"/>
                <w:szCs w:val="21"/>
                <w:u w:val="none" w:color="auto"/>
              </w:rPr>
            </w:pPr>
          </w:p>
        </w:tc>
        <w:tc>
          <w:tcPr>
            <w:tcW w:w="587" w:type="pct"/>
            <w:vAlign w:val="center"/>
          </w:tcPr>
          <w:p w14:paraId="7D20AEA7">
            <w:pPr>
              <w:pStyle w:val="102"/>
              <w:rPr>
                <w:rFonts w:hint="default" w:ascii="Times New Roman" w:hAnsi="Times New Roman" w:cs="Times New Roman"/>
                <w:color w:val="auto"/>
                <w:sz w:val="21"/>
                <w:szCs w:val="21"/>
                <w:u w:val="none" w:color="auto"/>
              </w:rPr>
            </w:pPr>
          </w:p>
        </w:tc>
      </w:tr>
      <w:tr w14:paraId="7297EB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401" w:type="pct"/>
            <w:vMerge w:val="continue"/>
            <w:vAlign w:val="center"/>
          </w:tcPr>
          <w:p w14:paraId="2C2FF47E">
            <w:pPr>
              <w:pStyle w:val="102"/>
              <w:rPr>
                <w:rFonts w:hint="default" w:ascii="Times New Roman" w:hAnsi="Times New Roman" w:cs="Times New Roman"/>
                <w:color w:val="auto"/>
                <w:sz w:val="21"/>
                <w:szCs w:val="21"/>
                <w:u w:val="none" w:color="auto"/>
              </w:rPr>
            </w:pPr>
          </w:p>
        </w:tc>
        <w:tc>
          <w:tcPr>
            <w:tcW w:w="895" w:type="pct"/>
            <w:vAlign w:val="center"/>
          </w:tcPr>
          <w:p w14:paraId="0BAAFBF0">
            <w:pPr>
              <w:pStyle w:val="102"/>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苯并[b]荧蒽</w:t>
            </w:r>
          </w:p>
        </w:tc>
        <w:tc>
          <w:tcPr>
            <w:tcW w:w="471" w:type="pct"/>
            <w:vAlign w:val="center"/>
          </w:tcPr>
          <w:p w14:paraId="749B2EBE">
            <w:pPr>
              <w:pStyle w:val="102"/>
              <w:rPr>
                <w:rFonts w:hint="default" w:ascii="Times New Roman" w:hAnsi="Times New Roman" w:cs="Times New Roman"/>
                <w:color w:val="auto"/>
                <w:sz w:val="21"/>
                <w:szCs w:val="21"/>
                <w:u w:val="none" w:color="auto"/>
              </w:rPr>
            </w:pPr>
          </w:p>
        </w:tc>
        <w:tc>
          <w:tcPr>
            <w:tcW w:w="354" w:type="pct"/>
            <w:vAlign w:val="center"/>
          </w:tcPr>
          <w:p w14:paraId="4F9965B1">
            <w:pPr>
              <w:pStyle w:val="102"/>
              <w:rPr>
                <w:rFonts w:hint="default" w:ascii="Times New Roman" w:hAnsi="Times New Roman" w:cs="Times New Roman"/>
                <w:color w:val="auto"/>
                <w:sz w:val="21"/>
                <w:szCs w:val="21"/>
                <w:u w:val="none" w:color="auto"/>
              </w:rPr>
            </w:pPr>
          </w:p>
        </w:tc>
        <w:tc>
          <w:tcPr>
            <w:tcW w:w="532" w:type="pct"/>
            <w:vAlign w:val="center"/>
          </w:tcPr>
          <w:p w14:paraId="4F80B25F">
            <w:pPr>
              <w:pStyle w:val="102"/>
              <w:rPr>
                <w:rFonts w:hint="default" w:ascii="Times New Roman" w:hAnsi="Times New Roman" w:cs="Times New Roman"/>
                <w:color w:val="auto"/>
                <w:sz w:val="21"/>
                <w:szCs w:val="21"/>
                <w:u w:val="none" w:color="auto"/>
              </w:rPr>
            </w:pPr>
          </w:p>
        </w:tc>
        <w:tc>
          <w:tcPr>
            <w:tcW w:w="934" w:type="pct"/>
            <w:vAlign w:val="center"/>
          </w:tcPr>
          <w:p w14:paraId="7BB472AE">
            <w:pPr>
              <w:pStyle w:val="102"/>
              <w:rPr>
                <w:rFonts w:hint="default" w:ascii="Times New Roman" w:hAnsi="Times New Roman" w:cs="Times New Roman"/>
                <w:color w:val="auto"/>
                <w:sz w:val="21"/>
                <w:szCs w:val="21"/>
                <w:u w:val="none" w:color="auto"/>
              </w:rPr>
            </w:pPr>
          </w:p>
        </w:tc>
        <w:tc>
          <w:tcPr>
            <w:tcW w:w="439" w:type="pct"/>
            <w:vAlign w:val="center"/>
          </w:tcPr>
          <w:p w14:paraId="50B6A974">
            <w:pPr>
              <w:pStyle w:val="102"/>
              <w:rPr>
                <w:rFonts w:hint="default" w:ascii="Times New Roman" w:hAnsi="Times New Roman" w:cs="Times New Roman"/>
                <w:color w:val="auto"/>
                <w:sz w:val="21"/>
                <w:szCs w:val="21"/>
                <w:u w:val="none" w:color="auto"/>
              </w:rPr>
            </w:pPr>
          </w:p>
        </w:tc>
        <w:tc>
          <w:tcPr>
            <w:tcW w:w="387" w:type="pct"/>
            <w:vAlign w:val="center"/>
          </w:tcPr>
          <w:p w14:paraId="1046AA79">
            <w:pPr>
              <w:pStyle w:val="102"/>
              <w:rPr>
                <w:rFonts w:hint="default" w:ascii="Times New Roman" w:hAnsi="Times New Roman" w:cs="Times New Roman"/>
                <w:color w:val="auto"/>
                <w:sz w:val="21"/>
                <w:szCs w:val="21"/>
                <w:u w:val="none" w:color="auto"/>
              </w:rPr>
            </w:pPr>
          </w:p>
        </w:tc>
        <w:tc>
          <w:tcPr>
            <w:tcW w:w="587" w:type="pct"/>
            <w:vAlign w:val="center"/>
          </w:tcPr>
          <w:p w14:paraId="123395BC">
            <w:pPr>
              <w:pStyle w:val="102"/>
              <w:rPr>
                <w:rFonts w:hint="default" w:ascii="Times New Roman" w:hAnsi="Times New Roman" w:cs="Times New Roman"/>
                <w:color w:val="auto"/>
                <w:sz w:val="21"/>
                <w:szCs w:val="21"/>
                <w:u w:val="none" w:color="auto"/>
              </w:rPr>
            </w:pPr>
          </w:p>
        </w:tc>
      </w:tr>
    </w:tbl>
    <w:p w14:paraId="13D47AFB">
      <w:pPr>
        <w:pStyle w:val="6"/>
        <w:bidi w:val="0"/>
        <w:rPr>
          <w:color w:val="auto"/>
          <w:u w:val="single" w:color="auto"/>
        </w:rPr>
      </w:pPr>
      <w:r>
        <w:rPr>
          <w:rFonts w:ascii="Times New Roman" w:hAnsi="Times New Roman" w:eastAsia="宋体"/>
          <w:color w:val="auto"/>
          <w:u w:val="single" w:color="auto"/>
        </w:rPr>
        <w:t>监测点</w:t>
      </w:r>
      <w:r>
        <w:rPr>
          <w:color w:val="auto"/>
          <w:u w:val="single" w:color="auto"/>
        </w:rPr>
        <w:t>土壤</w:t>
      </w:r>
      <w:r>
        <w:rPr>
          <w:rFonts w:hint="eastAsia"/>
          <w:color w:val="auto"/>
          <w:u w:val="single" w:color="auto"/>
          <w:lang w:val="en-US" w:eastAsia="zh-CN"/>
        </w:rPr>
        <w:t>石油烃</w:t>
      </w:r>
      <w:r>
        <w:rPr>
          <w:color w:val="auto"/>
          <w:u w:val="single" w:color="auto"/>
        </w:rPr>
        <w:t>监测结果</w:t>
      </w:r>
      <w:r>
        <w:rPr>
          <w:rFonts w:hint="eastAsia"/>
          <w:color w:val="auto"/>
          <w:u w:val="single" w:color="auto"/>
          <w:lang w:eastAsia="zh-CN"/>
        </w:rPr>
        <w:t>（</w:t>
      </w:r>
      <w:r>
        <w:rPr>
          <w:rFonts w:hint="eastAsia"/>
          <w:color w:val="auto"/>
          <w:u w:val="single" w:color="auto"/>
          <w:lang w:val="en-US" w:eastAsia="zh-CN"/>
        </w:rPr>
        <w:t>引用</w:t>
      </w:r>
      <w:r>
        <w:rPr>
          <w:rFonts w:hint="eastAsia"/>
          <w:color w:val="auto"/>
          <w:u w:val="single" w:color="auto"/>
          <w:lang w:eastAsia="zh-CN"/>
        </w:rPr>
        <w:t>）</w:t>
      </w:r>
      <w:r>
        <w:rPr>
          <w:rFonts w:hint="eastAsia"/>
          <w:color w:val="auto"/>
          <w:u w:val="single" w:color="auto"/>
          <w:lang w:val="en-US" w:eastAsia="zh-CN"/>
        </w:rPr>
        <w:t xml:space="preserve">  </w:t>
      </w:r>
      <w:r>
        <w:rPr>
          <w:color w:val="auto"/>
          <w:u w:val="single" w:color="auto"/>
        </w:rPr>
        <w:t>单位：mg/kg</w:t>
      </w:r>
    </w:p>
    <w:tbl>
      <w:tblPr>
        <w:tblStyle w:val="37"/>
        <w:tblW w:w="4998" w:type="pct"/>
        <w:tblInd w:w="0" w:type="dxa"/>
        <w:tblLayout w:type="autofit"/>
        <w:tblCellMar>
          <w:top w:w="0" w:type="dxa"/>
          <w:left w:w="108" w:type="dxa"/>
          <w:bottom w:w="0" w:type="dxa"/>
          <w:right w:w="108" w:type="dxa"/>
        </w:tblCellMar>
      </w:tblPr>
      <w:tblGrid>
        <w:gridCol w:w="1725"/>
        <w:gridCol w:w="1989"/>
        <w:gridCol w:w="1404"/>
        <w:gridCol w:w="1699"/>
        <w:gridCol w:w="1702"/>
      </w:tblGrid>
      <w:tr w14:paraId="5F4BC6B7">
        <w:tblPrEx>
          <w:tblCellMar>
            <w:top w:w="0" w:type="dxa"/>
            <w:left w:w="108" w:type="dxa"/>
            <w:bottom w:w="0" w:type="dxa"/>
            <w:right w:w="108" w:type="dxa"/>
          </w:tblCellMar>
        </w:tblPrEx>
        <w:trPr>
          <w:tblHeader/>
        </w:trPr>
        <w:tc>
          <w:tcPr>
            <w:tcW w:w="2179" w:type="pct"/>
            <w:gridSpan w:val="2"/>
            <w:tcBorders>
              <w:top w:val="single" w:color="auto" w:sz="12" w:space="0"/>
              <w:left w:val="single" w:color="auto" w:sz="12" w:space="0"/>
              <w:bottom w:val="single" w:color="auto" w:sz="8" w:space="0"/>
              <w:right w:val="single" w:color="000000" w:sz="8" w:space="0"/>
            </w:tcBorders>
            <w:vAlign w:val="center"/>
          </w:tcPr>
          <w:p w14:paraId="30E3BD2D">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rPr>
              <w:t>监测项目</w:t>
            </w:r>
          </w:p>
        </w:tc>
        <w:tc>
          <w:tcPr>
            <w:tcW w:w="2820" w:type="pct"/>
            <w:gridSpan w:val="3"/>
            <w:tcBorders>
              <w:top w:val="single" w:color="auto" w:sz="12" w:space="0"/>
              <w:left w:val="nil"/>
              <w:bottom w:val="single" w:color="auto" w:sz="8" w:space="0"/>
              <w:right w:val="single" w:color="auto" w:sz="8" w:space="0"/>
            </w:tcBorders>
            <w:vAlign w:val="center"/>
          </w:tcPr>
          <w:p w14:paraId="25F2584E">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lang w:val="en-US" w:eastAsia="zh-CN"/>
              </w:rPr>
              <w:t>石油烃</w:t>
            </w:r>
          </w:p>
        </w:tc>
      </w:tr>
      <w:tr w14:paraId="0DFBD8A8">
        <w:tblPrEx>
          <w:tblCellMar>
            <w:top w:w="0" w:type="dxa"/>
            <w:left w:w="108" w:type="dxa"/>
            <w:bottom w:w="0" w:type="dxa"/>
            <w:right w:w="108" w:type="dxa"/>
          </w:tblCellMar>
        </w:tblPrEx>
        <w:tc>
          <w:tcPr>
            <w:tcW w:w="1012" w:type="pct"/>
            <w:vMerge w:val="restart"/>
            <w:tcBorders>
              <w:top w:val="nil"/>
              <w:left w:val="single" w:color="auto" w:sz="12" w:space="0"/>
              <w:right w:val="single" w:color="auto" w:sz="8" w:space="0"/>
            </w:tcBorders>
            <w:vAlign w:val="center"/>
          </w:tcPr>
          <w:p w14:paraId="5A952166">
            <w:pPr>
              <w:pStyle w:val="102"/>
              <w:jc w:val="center"/>
              <w:rPr>
                <w:rFonts w:hint="default" w:ascii="Times New Roman" w:hAnsi="Times New Roman" w:cs="Times New Roman" w:eastAsiaTheme="minorEastAsia"/>
                <w:b/>
                <w:bCs w:val="0"/>
                <w:color w:val="auto"/>
                <w:sz w:val="21"/>
                <w:szCs w:val="21"/>
                <w:u w:val="single" w:color="auto"/>
                <w:lang w:val="en-US" w:eastAsia="zh-CN"/>
              </w:rPr>
            </w:pPr>
            <w:r>
              <w:rPr>
                <w:rFonts w:hint="default" w:ascii="Times New Roman" w:hAnsi="Times New Roman" w:cs="Times New Roman"/>
                <w:b/>
                <w:bCs w:val="0"/>
                <w:color w:val="auto"/>
                <w:sz w:val="21"/>
                <w:szCs w:val="21"/>
                <w:u w:val="single" w:color="auto"/>
                <w:lang w:val="en-US" w:eastAsia="zh-CN"/>
              </w:rPr>
              <w:t>T1堆场1</w:t>
            </w:r>
          </w:p>
        </w:tc>
        <w:tc>
          <w:tcPr>
            <w:tcW w:w="1167" w:type="pct"/>
            <w:tcBorders>
              <w:top w:val="nil"/>
              <w:left w:val="nil"/>
              <w:bottom w:val="single" w:color="auto" w:sz="8" w:space="0"/>
              <w:right w:val="single" w:color="auto" w:sz="8" w:space="0"/>
            </w:tcBorders>
            <w:vAlign w:val="center"/>
          </w:tcPr>
          <w:p w14:paraId="3B5E542E">
            <w:pPr>
              <w:pStyle w:val="102"/>
              <w:jc w:val="center"/>
              <w:rPr>
                <w:rFonts w:hint="default" w:ascii="Times New Roman" w:hAnsi="Times New Roman" w:cs="Times New Roman" w:eastAsiaTheme="minorEastAsia"/>
                <w:b/>
                <w:bCs w:val="0"/>
                <w:color w:val="auto"/>
                <w:sz w:val="21"/>
                <w:szCs w:val="21"/>
                <w:u w:val="single" w:color="auto"/>
                <w:lang w:val="en-US" w:eastAsia="zh-CN"/>
              </w:rPr>
            </w:pPr>
            <w:r>
              <w:rPr>
                <w:rFonts w:hint="default" w:ascii="Times New Roman" w:hAnsi="Times New Roman" w:cs="Times New Roman"/>
                <w:b/>
                <w:bCs w:val="0"/>
                <w:color w:val="auto"/>
                <w:sz w:val="21"/>
                <w:szCs w:val="21"/>
                <w:u w:val="single" w:color="auto"/>
                <w:lang w:val="en-US" w:eastAsia="zh-CN"/>
              </w:rPr>
              <w:t>采样深度</w:t>
            </w:r>
          </w:p>
        </w:tc>
        <w:tc>
          <w:tcPr>
            <w:tcW w:w="824" w:type="pct"/>
            <w:tcBorders>
              <w:top w:val="nil"/>
              <w:left w:val="nil"/>
              <w:bottom w:val="single" w:color="auto" w:sz="8" w:space="0"/>
              <w:right w:val="single" w:color="auto" w:sz="8" w:space="0"/>
            </w:tcBorders>
            <w:vAlign w:val="center"/>
          </w:tcPr>
          <w:p w14:paraId="72B3839B">
            <w:pPr>
              <w:pStyle w:val="102"/>
              <w:jc w:val="center"/>
              <w:rPr>
                <w:rFonts w:hint="default" w:ascii="Times New Roman" w:hAnsi="Times New Roman" w:cs="Times New Roman" w:eastAsiaTheme="minorEastAsia"/>
                <w:b/>
                <w:bCs w:val="0"/>
                <w:color w:val="auto"/>
                <w:sz w:val="21"/>
                <w:szCs w:val="21"/>
                <w:u w:val="single" w:color="auto"/>
                <w:lang w:val="en-US" w:eastAsia="zh-CN"/>
              </w:rPr>
            </w:pPr>
            <w:r>
              <w:rPr>
                <w:rFonts w:hint="default" w:ascii="Times New Roman" w:hAnsi="Times New Roman" w:cs="Times New Roman"/>
                <w:b/>
                <w:bCs w:val="0"/>
                <w:color w:val="auto"/>
                <w:sz w:val="21"/>
                <w:szCs w:val="21"/>
                <w:u w:val="single" w:color="auto"/>
                <w:lang w:val="en-US" w:eastAsia="zh-CN"/>
              </w:rPr>
              <w:t>0-0.5m</w:t>
            </w:r>
          </w:p>
        </w:tc>
        <w:tc>
          <w:tcPr>
            <w:tcW w:w="997" w:type="pct"/>
            <w:tcBorders>
              <w:top w:val="nil"/>
              <w:left w:val="nil"/>
              <w:bottom w:val="single" w:color="auto" w:sz="8" w:space="0"/>
              <w:right w:val="single" w:color="auto" w:sz="8" w:space="0"/>
            </w:tcBorders>
            <w:vAlign w:val="center"/>
          </w:tcPr>
          <w:p w14:paraId="34DFFC0E">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lang w:val="en-US" w:eastAsia="zh-CN"/>
              </w:rPr>
              <w:t>0.5-1.5m</w:t>
            </w:r>
          </w:p>
        </w:tc>
        <w:tc>
          <w:tcPr>
            <w:tcW w:w="998" w:type="pct"/>
            <w:tcBorders>
              <w:top w:val="nil"/>
              <w:left w:val="nil"/>
              <w:bottom w:val="single" w:color="auto" w:sz="8" w:space="0"/>
              <w:right w:val="single" w:color="auto" w:sz="8" w:space="0"/>
            </w:tcBorders>
            <w:vAlign w:val="center"/>
          </w:tcPr>
          <w:p w14:paraId="2CD81C00">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lang w:val="en-US" w:eastAsia="zh-CN"/>
              </w:rPr>
              <w:t>1.5-3m</w:t>
            </w:r>
          </w:p>
        </w:tc>
      </w:tr>
      <w:tr w14:paraId="6EE3587D">
        <w:tblPrEx>
          <w:tblCellMar>
            <w:top w:w="0" w:type="dxa"/>
            <w:left w:w="108" w:type="dxa"/>
            <w:bottom w:w="0" w:type="dxa"/>
            <w:right w:w="108" w:type="dxa"/>
          </w:tblCellMar>
        </w:tblPrEx>
        <w:tc>
          <w:tcPr>
            <w:tcW w:w="1012" w:type="pct"/>
            <w:vMerge w:val="continue"/>
            <w:tcBorders>
              <w:left w:val="single" w:color="auto" w:sz="12" w:space="0"/>
              <w:right w:val="single" w:color="auto" w:sz="8" w:space="0"/>
            </w:tcBorders>
            <w:vAlign w:val="center"/>
          </w:tcPr>
          <w:p w14:paraId="4BCB71DF">
            <w:pPr>
              <w:pStyle w:val="102"/>
              <w:jc w:val="center"/>
              <w:rPr>
                <w:rFonts w:hint="default" w:ascii="Times New Roman" w:hAnsi="Times New Roman" w:cs="Times New Roman" w:eastAsiaTheme="minorEastAsia"/>
                <w:b/>
                <w:bCs w:val="0"/>
                <w:color w:val="auto"/>
                <w:sz w:val="21"/>
                <w:szCs w:val="21"/>
                <w:u w:val="single" w:color="auto"/>
                <w:lang w:val="en-US" w:eastAsia="zh-CN"/>
              </w:rPr>
            </w:pPr>
          </w:p>
        </w:tc>
        <w:tc>
          <w:tcPr>
            <w:tcW w:w="1167" w:type="pct"/>
            <w:tcBorders>
              <w:top w:val="nil"/>
              <w:left w:val="nil"/>
              <w:bottom w:val="single" w:color="auto" w:sz="8" w:space="0"/>
              <w:right w:val="single" w:color="auto" w:sz="8" w:space="0"/>
            </w:tcBorders>
            <w:vAlign w:val="center"/>
          </w:tcPr>
          <w:p w14:paraId="234A5414">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rPr>
              <w:t>测定值</w:t>
            </w:r>
          </w:p>
        </w:tc>
        <w:tc>
          <w:tcPr>
            <w:tcW w:w="1404" w:type="dxa"/>
            <w:tcBorders>
              <w:top w:val="nil"/>
              <w:left w:val="nil"/>
              <w:bottom w:val="single" w:color="auto" w:sz="8" w:space="0"/>
              <w:right w:val="single" w:color="auto" w:sz="8" w:space="0"/>
            </w:tcBorders>
            <w:vAlign w:val="center"/>
          </w:tcPr>
          <w:p w14:paraId="5089B802">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c>
          <w:tcPr>
            <w:tcW w:w="1699" w:type="dxa"/>
            <w:tcBorders>
              <w:top w:val="nil"/>
              <w:left w:val="nil"/>
              <w:bottom w:val="single" w:color="auto" w:sz="8" w:space="0"/>
              <w:right w:val="single" w:color="auto" w:sz="8" w:space="0"/>
            </w:tcBorders>
            <w:vAlign w:val="center"/>
          </w:tcPr>
          <w:p w14:paraId="40D9E6ED">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c>
          <w:tcPr>
            <w:tcW w:w="1702" w:type="dxa"/>
            <w:tcBorders>
              <w:top w:val="nil"/>
              <w:left w:val="nil"/>
              <w:bottom w:val="single" w:color="auto" w:sz="8" w:space="0"/>
              <w:right w:val="single" w:color="auto" w:sz="8" w:space="0"/>
            </w:tcBorders>
            <w:vAlign w:val="center"/>
          </w:tcPr>
          <w:p w14:paraId="5900936C">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r>
      <w:tr w14:paraId="6ACB42DE">
        <w:tblPrEx>
          <w:tblCellMar>
            <w:top w:w="0" w:type="dxa"/>
            <w:left w:w="108" w:type="dxa"/>
            <w:bottom w:w="0" w:type="dxa"/>
            <w:right w:w="108" w:type="dxa"/>
          </w:tblCellMar>
        </w:tblPrEx>
        <w:tc>
          <w:tcPr>
            <w:tcW w:w="1012" w:type="pct"/>
            <w:vMerge w:val="continue"/>
            <w:tcBorders>
              <w:left w:val="single" w:color="auto" w:sz="12" w:space="0"/>
              <w:right w:val="single" w:color="auto" w:sz="8" w:space="0"/>
            </w:tcBorders>
            <w:vAlign w:val="center"/>
          </w:tcPr>
          <w:p w14:paraId="37701389">
            <w:pPr>
              <w:pStyle w:val="102"/>
              <w:jc w:val="center"/>
              <w:rPr>
                <w:rFonts w:hint="default" w:ascii="Times New Roman" w:hAnsi="Times New Roman" w:cs="Times New Roman"/>
                <w:b/>
                <w:bCs w:val="0"/>
                <w:color w:val="auto"/>
                <w:sz w:val="21"/>
                <w:szCs w:val="21"/>
                <w:u w:val="single" w:color="auto"/>
              </w:rPr>
            </w:pPr>
          </w:p>
        </w:tc>
        <w:tc>
          <w:tcPr>
            <w:tcW w:w="1167" w:type="pct"/>
            <w:tcBorders>
              <w:top w:val="nil"/>
              <w:left w:val="nil"/>
              <w:bottom w:val="single" w:color="auto" w:sz="8" w:space="0"/>
              <w:right w:val="single" w:color="auto" w:sz="8" w:space="0"/>
            </w:tcBorders>
            <w:vAlign w:val="center"/>
          </w:tcPr>
          <w:p w14:paraId="0CD54FCA">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rPr>
              <w:t>标准值≤</w:t>
            </w:r>
          </w:p>
        </w:tc>
        <w:tc>
          <w:tcPr>
            <w:tcW w:w="824" w:type="pct"/>
            <w:tcBorders>
              <w:top w:val="nil"/>
              <w:left w:val="nil"/>
              <w:bottom w:val="single" w:color="auto" w:sz="8" w:space="0"/>
              <w:right w:val="single" w:color="auto" w:sz="8" w:space="0"/>
            </w:tcBorders>
            <w:vAlign w:val="center"/>
          </w:tcPr>
          <w:p w14:paraId="65C66344">
            <w:pPr>
              <w:pStyle w:val="102"/>
              <w:jc w:val="center"/>
              <w:rPr>
                <w:rFonts w:hint="default" w:ascii="Times New Roman" w:hAnsi="Times New Roman" w:cs="Times New Roman" w:eastAsiaTheme="minorEastAsia"/>
                <w:b/>
                <w:bCs w:val="0"/>
                <w:color w:val="auto"/>
                <w:sz w:val="21"/>
                <w:szCs w:val="21"/>
                <w:u w:val="single" w:color="auto"/>
                <w:lang w:val="en-US" w:eastAsia="zh-CN"/>
              </w:rPr>
            </w:pPr>
          </w:p>
        </w:tc>
        <w:tc>
          <w:tcPr>
            <w:tcW w:w="997" w:type="pct"/>
            <w:tcBorders>
              <w:top w:val="nil"/>
              <w:left w:val="nil"/>
              <w:bottom w:val="single" w:color="auto" w:sz="8" w:space="0"/>
              <w:right w:val="single" w:color="auto" w:sz="8" w:space="0"/>
            </w:tcBorders>
            <w:vAlign w:val="center"/>
          </w:tcPr>
          <w:p w14:paraId="76233787">
            <w:pPr>
              <w:jc w:val="center"/>
              <w:rPr>
                <w:rFonts w:hint="default" w:ascii="Times New Roman" w:hAnsi="Times New Roman" w:cs="Times New Roman"/>
                <w:b/>
                <w:bCs w:val="0"/>
                <w:color w:val="auto"/>
                <w:sz w:val="21"/>
                <w:szCs w:val="21"/>
                <w:u w:val="single" w:color="auto"/>
              </w:rPr>
            </w:pPr>
          </w:p>
        </w:tc>
        <w:tc>
          <w:tcPr>
            <w:tcW w:w="998" w:type="pct"/>
            <w:tcBorders>
              <w:top w:val="nil"/>
              <w:left w:val="nil"/>
              <w:bottom w:val="single" w:color="auto" w:sz="8" w:space="0"/>
              <w:right w:val="single" w:color="auto" w:sz="8" w:space="0"/>
            </w:tcBorders>
            <w:vAlign w:val="center"/>
          </w:tcPr>
          <w:p w14:paraId="26388790">
            <w:pPr>
              <w:jc w:val="center"/>
              <w:rPr>
                <w:rFonts w:hint="default" w:ascii="Times New Roman" w:hAnsi="Times New Roman" w:cs="Times New Roman"/>
                <w:b/>
                <w:bCs w:val="0"/>
                <w:color w:val="auto"/>
                <w:sz w:val="21"/>
                <w:szCs w:val="21"/>
                <w:u w:val="single" w:color="auto"/>
              </w:rPr>
            </w:pPr>
          </w:p>
        </w:tc>
      </w:tr>
      <w:tr w14:paraId="7C368308">
        <w:tblPrEx>
          <w:tblCellMar>
            <w:top w:w="0" w:type="dxa"/>
            <w:left w:w="108" w:type="dxa"/>
            <w:bottom w:w="0" w:type="dxa"/>
            <w:right w:w="108" w:type="dxa"/>
          </w:tblCellMar>
        </w:tblPrEx>
        <w:tc>
          <w:tcPr>
            <w:tcW w:w="1012" w:type="pct"/>
            <w:vMerge w:val="continue"/>
            <w:tcBorders>
              <w:left w:val="single" w:color="auto" w:sz="12" w:space="0"/>
              <w:bottom w:val="single" w:color="000000" w:sz="8" w:space="0"/>
              <w:right w:val="single" w:color="auto" w:sz="8" w:space="0"/>
            </w:tcBorders>
            <w:vAlign w:val="center"/>
          </w:tcPr>
          <w:p w14:paraId="612F6885">
            <w:pPr>
              <w:pStyle w:val="102"/>
              <w:jc w:val="center"/>
              <w:rPr>
                <w:rFonts w:hint="default" w:ascii="Times New Roman" w:hAnsi="Times New Roman" w:cs="Times New Roman"/>
                <w:b/>
                <w:bCs w:val="0"/>
                <w:color w:val="auto"/>
                <w:sz w:val="21"/>
                <w:szCs w:val="21"/>
                <w:u w:val="single" w:color="auto"/>
              </w:rPr>
            </w:pPr>
          </w:p>
        </w:tc>
        <w:tc>
          <w:tcPr>
            <w:tcW w:w="1167" w:type="pct"/>
            <w:tcBorders>
              <w:top w:val="nil"/>
              <w:left w:val="nil"/>
              <w:bottom w:val="single" w:color="auto" w:sz="8" w:space="0"/>
              <w:right w:val="single" w:color="auto" w:sz="8" w:space="0"/>
            </w:tcBorders>
            <w:vAlign w:val="center"/>
          </w:tcPr>
          <w:p w14:paraId="71CCA416">
            <w:pPr>
              <w:pStyle w:val="102"/>
              <w:jc w:val="center"/>
              <w:rPr>
                <w:rFonts w:hint="default" w:ascii="Times New Roman" w:hAnsi="Times New Roman" w:cs="Times New Roman"/>
                <w:b/>
                <w:bCs w:val="0"/>
                <w:color w:val="auto"/>
                <w:sz w:val="21"/>
                <w:szCs w:val="21"/>
                <w:u w:val="single" w:color="auto"/>
              </w:rPr>
            </w:pPr>
            <w:r>
              <w:rPr>
                <w:rFonts w:hint="default" w:ascii="Times New Roman" w:hAnsi="Times New Roman" w:cs="Times New Roman"/>
                <w:b/>
                <w:bCs w:val="0"/>
                <w:color w:val="auto"/>
                <w:sz w:val="21"/>
                <w:szCs w:val="21"/>
                <w:u w:val="single" w:color="auto"/>
              </w:rPr>
              <w:t>Pi</w:t>
            </w:r>
          </w:p>
        </w:tc>
        <w:tc>
          <w:tcPr>
            <w:tcW w:w="1404" w:type="dxa"/>
            <w:tcBorders>
              <w:top w:val="nil"/>
              <w:left w:val="nil"/>
              <w:bottom w:val="single" w:color="auto" w:sz="8" w:space="0"/>
              <w:right w:val="single" w:color="auto" w:sz="8" w:space="0"/>
            </w:tcBorders>
            <w:vAlign w:val="center"/>
          </w:tcPr>
          <w:p w14:paraId="2E97EE69">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c>
          <w:tcPr>
            <w:tcW w:w="1699" w:type="dxa"/>
            <w:tcBorders>
              <w:top w:val="nil"/>
              <w:left w:val="nil"/>
              <w:bottom w:val="single" w:color="auto" w:sz="8" w:space="0"/>
              <w:right w:val="single" w:color="auto" w:sz="8" w:space="0"/>
            </w:tcBorders>
            <w:vAlign w:val="center"/>
          </w:tcPr>
          <w:p w14:paraId="6B5E50D7">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c>
          <w:tcPr>
            <w:tcW w:w="1702" w:type="dxa"/>
            <w:tcBorders>
              <w:top w:val="nil"/>
              <w:left w:val="nil"/>
              <w:bottom w:val="single" w:color="auto" w:sz="8" w:space="0"/>
              <w:right w:val="single" w:color="auto" w:sz="8" w:space="0"/>
            </w:tcBorders>
            <w:vAlign w:val="center"/>
          </w:tcPr>
          <w:p w14:paraId="693D7B56">
            <w:pPr>
              <w:widowControl/>
              <w:spacing w:line="240" w:lineRule="auto"/>
              <w:ind w:firstLine="0" w:firstLineChars="0"/>
              <w:jc w:val="center"/>
              <w:textAlignment w:val="center"/>
              <w:rPr>
                <w:rFonts w:hint="default" w:ascii="Times New Roman" w:hAnsi="Times New Roman" w:cs="Times New Roman"/>
                <w:b/>
                <w:bCs w:val="0"/>
                <w:color w:val="auto"/>
                <w:sz w:val="21"/>
                <w:szCs w:val="21"/>
                <w:u w:val="single" w:color="auto"/>
              </w:rPr>
            </w:pPr>
          </w:p>
        </w:tc>
      </w:tr>
    </w:tbl>
    <w:p w14:paraId="54C55F5F">
      <w:pPr>
        <w:pStyle w:val="3"/>
        <w:bidi w:val="0"/>
        <w:rPr>
          <w:color w:val="auto"/>
          <w:u w:val="none" w:color="auto"/>
        </w:rPr>
      </w:pPr>
      <w:bookmarkStart w:id="208" w:name="_Toc20297"/>
      <w:r>
        <w:rPr>
          <w:color w:val="auto"/>
          <w:u w:val="none" w:color="auto"/>
        </w:rPr>
        <w:t>生态环境质量现状调查与评价</w:t>
      </w:r>
      <w:bookmarkEnd w:id="207"/>
      <w:bookmarkEnd w:id="208"/>
    </w:p>
    <w:p w14:paraId="20BA93E6">
      <w:pPr>
        <w:autoSpaceDE w:val="0"/>
        <w:autoSpaceDN w:val="0"/>
        <w:snapToGrid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钦州港大榄坪作业区</w:t>
      </w:r>
      <w:r>
        <w:rPr>
          <w:rFonts w:ascii="Times New Roman" w:hAnsi="Times New Roman" w:eastAsia="宋体" w:cs="Times New Roman"/>
          <w:color w:val="auto"/>
          <w:sz w:val="24"/>
          <w:szCs w:val="24"/>
          <w:u w:val="none" w:color="auto"/>
        </w:rPr>
        <w:t>全部为</w:t>
      </w:r>
      <w:r>
        <w:rPr>
          <w:rFonts w:hint="eastAsia" w:ascii="Times New Roman" w:hAnsi="Times New Roman" w:eastAsia="宋体" w:cs="Times New Roman"/>
          <w:color w:val="auto"/>
          <w:sz w:val="24"/>
          <w:szCs w:val="24"/>
          <w:u w:val="none" w:color="auto"/>
        </w:rPr>
        <w:t>填海区</w:t>
      </w:r>
      <w:r>
        <w:rPr>
          <w:rFonts w:ascii="Times New Roman" w:hAnsi="Times New Roman" w:eastAsia="宋体" w:cs="Times New Roman"/>
          <w:color w:val="auto"/>
          <w:sz w:val="24"/>
          <w:szCs w:val="24"/>
          <w:u w:val="none" w:color="auto"/>
        </w:rPr>
        <w:t>，目前大部分区域</w:t>
      </w:r>
      <w:r>
        <w:rPr>
          <w:rFonts w:hint="eastAsia" w:ascii="Times New Roman" w:hAnsi="Times New Roman" w:eastAsia="宋体" w:cs="Times New Roman"/>
          <w:color w:val="auto"/>
          <w:sz w:val="24"/>
          <w:szCs w:val="24"/>
          <w:u w:val="none" w:color="auto"/>
        </w:rPr>
        <w:t>已填海完毕</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由于周边人类活动繁多，没有大型的野生兽类出没，主要动物有蛇、鼠类、蟾蜍、麻雀、与昆虫类等，无国家保护的野生动物。受人类活动的干扰影响，项目场地周边无原生植被，主要以人工林和灌木草丛为主，物种多样性差，资源数量不多，质量不高，生态环境质量一般。</w:t>
      </w:r>
    </w:p>
    <w:p w14:paraId="0011C97C">
      <w:pPr>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jc w:val="left"/>
        <w:textAlignment w:val="auto"/>
        <w:outlineLvl w:val="9"/>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项目所在地区域附近有广西茅尾海红树林自治区级自然保护区七十二泾片区（5.1km）、麻蓝岛（6.5km）、钦州三娘湾省级旅游区（15.2km）等三处风景旅游区，以及金窝水库饮用水源（5.0km）生态敏感区。</w:t>
      </w:r>
    </w:p>
    <w:p w14:paraId="60060C5C">
      <w:pPr>
        <w:pStyle w:val="3"/>
        <w:bidi w:val="0"/>
        <w:rPr>
          <w:color w:val="auto"/>
          <w:u w:val="none" w:color="auto"/>
        </w:rPr>
      </w:pPr>
      <w:bookmarkStart w:id="209" w:name="_Toc5642"/>
      <w:r>
        <w:rPr>
          <w:color w:val="auto"/>
          <w:u w:val="none" w:color="auto"/>
        </w:rPr>
        <w:t>声环境质量现状监测</w:t>
      </w:r>
      <w:bookmarkEnd w:id="209"/>
    </w:p>
    <w:p w14:paraId="7361937D">
      <w:pPr>
        <w:pStyle w:val="4"/>
        <w:bidi w:val="0"/>
        <w:rPr>
          <w:color w:val="auto"/>
          <w:u w:val="none" w:color="auto"/>
        </w:rPr>
      </w:pPr>
      <w:bookmarkStart w:id="210" w:name="_Toc535329703"/>
      <w:bookmarkStart w:id="211" w:name="_Toc3728207"/>
      <w:bookmarkStart w:id="212" w:name="_Toc346109522"/>
      <w:r>
        <w:rPr>
          <w:color w:val="auto"/>
          <w:u w:val="none" w:color="auto"/>
        </w:rPr>
        <w:t>监测布点</w:t>
      </w:r>
      <w:bookmarkEnd w:id="210"/>
      <w:bookmarkEnd w:id="211"/>
    </w:p>
    <w:p w14:paraId="154A04E8">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为了解项目所在地厂界的声环境状况，本项目分别在厂界四周外1米处各设一个噪声监测点。见表</w:t>
      </w:r>
      <w:r>
        <w:rPr>
          <w:rFonts w:hint="eastAsia" w:ascii="Times New Roman" w:hAnsi="Times New Roman" w:eastAsia="宋体" w:cs="Times New Roman"/>
          <w:color w:val="auto"/>
          <w:kern w:val="0"/>
          <w:sz w:val="24"/>
          <w:szCs w:val="24"/>
          <w:u w:val="none" w:color="auto"/>
        </w:rPr>
        <w:t>3.</w:t>
      </w:r>
      <w:r>
        <w:rPr>
          <w:rFonts w:hint="eastAsia" w:ascii="Times New Roman" w:hAnsi="Times New Roman" w:eastAsia="宋体" w:cs="Times New Roman"/>
          <w:color w:val="auto"/>
          <w:kern w:val="0"/>
          <w:sz w:val="24"/>
          <w:szCs w:val="24"/>
          <w:u w:val="none" w:color="auto"/>
          <w:lang w:val="en-US" w:eastAsia="zh-CN"/>
        </w:rPr>
        <w:t>7</w:t>
      </w:r>
      <w:r>
        <w:rPr>
          <w:rFonts w:ascii="Times New Roman" w:hAnsi="Times New Roman" w:eastAsia="宋体" w:cs="Times New Roman"/>
          <w:color w:val="auto"/>
          <w:kern w:val="0"/>
          <w:sz w:val="24"/>
          <w:szCs w:val="24"/>
          <w:u w:val="none" w:color="auto"/>
        </w:rPr>
        <w:t>-1。</w:t>
      </w:r>
    </w:p>
    <w:p w14:paraId="3EEBA2AE">
      <w:pPr>
        <w:pStyle w:val="6"/>
        <w:bidi w:val="0"/>
        <w:rPr>
          <w:color w:val="auto"/>
          <w:u w:val="none" w:color="auto"/>
        </w:rPr>
      </w:pPr>
      <w:r>
        <w:rPr>
          <w:color w:val="auto"/>
          <w:u w:val="none" w:color="auto"/>
        </w:rPr>
        <w:t>声环境监测布点说明</w:t>
      </w:r>
    </w:p>
    <w:tbl>
      <w:tblPr>
        <w:tblStyle w:val="93"/>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1"/>
        <w:gridCol w:w="6149"/>
      </w:tblGrid>
      <w:tr w14:paraId="4E9D1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insideH w:val="single" w:sz="6" w:space="0"/>
              <w:insideV w:val="nil"/>
              <w:tl2br w:val="nil"/>
              <w:tr2bl w:val="nil"/>
            </w:tcBorders>
            <w:shd w:val="clear" w:color="auto" w:fill="FFFFFF"/>
            <w:vAlign w:val="center"/>
          </w:tcPr>
          <w:p w14:paraId="1E33F007">
            <w:pPr>
              <w:autoSpaceDE w:val="0"/>
              <w:autoSpaceDN w:val="0"/>
              <w:adjustRightInd w:val="0"/>
              <w:jc w:val="center"/>
              <w:textAlignment w:val="baseline"/>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序号</w:t>
            </w:r>
          </w:p>
        </w:tc>
        <w:tc>
          <w:tcPr>
            <w:tcW w:w="6149" w:type="dxa"/>
            <w:tcBorders>
              <w:insideH w:val="single" w:sz="6" w:space="0"/>
              <w:insideV w:val="nil"/>
              <w:tl2br w:val="nil"/>
              <w:tr2bl w:val="nil"/>
            </w:tcBorders>
            <w:shd w:val="clear" w:color="auto" w:fill="FFFFFF"/>
            <w:vAlign w:val="center"/>
          </w:tcPr>
          <w:p w14:paraId="67C3FF87">
            <w:pPr>
              <w:autoSpaceDE w:val="0"/>
              <w:autoSpaceDN w:val="0"/>
              <w:snapToGrid w:val="0"/>
              <w:jc w:val="center"/>
              <w:rPr>
                <w:rFonts w:ascii="Times New Roman" w:hAnsi="Times New Roman" w:eastAsia="宋体" w:cs="Times New Roman"/>
                <w:b/>
                <w:color w:val="auto"/>
                <w:kern w:val="0"/>
                <w:szCs w:val="20"/>
                <w:u w:val="single" w:color="auto"/>
              </w:rPr>
            </w:pPr>
            <w:r>
              <w:rPr>
                <w:rFonts w:ascii="Times New Roman" w:hAnsi="Times New Roman" w:eastAsia="宋体" w:cs="Times New Roman"/>
                <w:b/>
                <w:color w:val="auto"/>
                <w:kern w:val="0"/>
                <w:szCs w:val="20"/>
                <w:u w:val="single" w:color="auto"/>
              </w:rPr>
              <w:t>说明</w:t>
            </w:r>
          </w:p>
        </w:tc>
      </w:tr>
      <w:tr w14:paraId="0AA65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004A5D8D">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N1</w:t>
            </w:r>
          </w:p>
        </w:tc>
        <w:tc>
          <w:tcPr>
            <w:tcW w:w="6149" w:type="dxa"/>
            <w:tcBorders>
              <w:tl2br w:val="nil"/>
              <w:tr2bl w:val="nil"/>
            </w:tcBorders>
            <w:shd w:val="clear" w:color="auto" w:fill="FFFFFF"/>
            <w:vAlign w:val="center"/>
          </w:tcPr>
          <w:p w14:paraId="5652DC0C">
            <w:pPr>
              <w:jc w:val="center"/>
              <w:rPr>
                <w:rFonts w:hint="default" w:ascii="Times New Roman" w:hAnsi="Times New Roman" w:eastAsia="宋体" w:cs="Times New Roman"/>
                <w:color w:val="auto"/>
                <w:kern w:val="0"/>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地块1</w:t>
            </w:r>
            <w:r>
              <w:rPr>
                <w:rFonts w:hint="default" w:ascii="Times New Roman" w:hAnsi="Times New Roman" w:eastAsia="宋体" w:cs="Times New Roman"/>
                <w:color w:val="auto"/>
                <w:sz w:val="21"/>
                <w:szCs w:val="21"/>
                <w:u w:val="single" w:color="auto"/>
              </w:rPr>
              <w:t>东侧</w:t>
            </w:r>
            <w:r>
              <w:rPr>
                <w:rFonts w:hint="eastAsia" w:ascii="Times New Roman" w:hAnsi="Times New Roman" w:eastAsia="宋体" w:cs="Times New Roman"/>
                <w:color w:val="auto"/>
                <w:sz w:val="21"/>
                <w:szCs w:val="21"/>
                <w:u w:val="single" w:color="auto"/>
                <w:lang w:val="en-US" w:eastAsia="zh-CN"/>
              </w:rPr>
              <w:t>厂界外1m</w:t>
            </w:r>
          </w:p>
        </w:tc>
      </w:tr>
      <w:tr w14:paraId="6A3CB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1FF18CDE">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N2</w:t>
            </w:r>
          </w:p>
        </w:tc>
        <w:tc>
          <w:tcPr>
            <w:tcW w:w="6149" w:type="dxa"/>
            <w:tcBorders>
              <w:tl2br w:val="nil"/>
              <w:tr2bl w:val="nil"/>
            </w:tcBorders>
            <w:shd w:val="clear" w:color="auto" w:fill="FFFFFF"/>
            <w:vAlign w:val="center"/>
          </w:tcPr>
          <w:p w14:paraId="3B016AC5">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地块1</w:t>
            </w:r>
            <w:r>
              <w:rPr>
                <w:rFonts w:hint="default" w:ascii="Times New Roman" w:hAnsi="Times New Roman" w:eastAsia="宋体" w:cs="Times New Roman"/>
                <w:color w:val="auto"/>
                <w:sz w:val="21"/>
                <w:szCs w:val="21"/>
                <w:u w:val="single" w:color="auto"/>
              </w:rPr>
              <w:t>南侧</w:t>
            </w:r>
            <w:r>
              <w:rPr>
                <w:rFonts w:hint="eastAsia" w:ascii="Times New Roman" w:hAnsi="Times New Roman" w:eastAsia="宋体" w:cs="Times New Roman"/>
                <w:color w:val="auto"/>
                <w:sz w:val="21"/>
                <w:szCs w:val="21"/>
                <w:u w:val="single" w:color="auto"/>
                <w:lang w:val="en-US" w:eastAsia="zh-CN"/>
              </w:rPr>
              <w:t>厂界外1m</w:t>
            </w:r>
          </w:p>
        </w:tc>
      </w:tr>
      <w:tr w14:paraId="3002D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25EF34D7">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N3</w:t>
            </w:r>
          </w:p>
        </w:tc>
        <w:tc>
          <w:tcPr>
            <w:tcW w:w="6149" w:type="dxa"/>
            <w:tcBorders>
              <w:tl2br w:val="nil"/>
              <w:tr2bl w:val="nil"/>
            </w:tcBorders>
            <w:shd w:val="clear" w:color="auto" w:fill="FFFFFF"/>
            <w:vAlign w:val="center"/>
          </w:tcPr>
          <w:p w14:paraId="0A4122A7">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地块1</w:t>
            </w:r>
            <w:r>
              <w:rPr>
                <w:rFonts w:hint="default" w:ascii="Times New Roman" w:hAnsi="Times New Roman" w:eastAsia="宋体" w:cs="Times New Roman"/>
                <w:color w:val="auto"/>
                <w:sz w:val="21"/>
                <w:szCs w:val="21"/>
                <w:u w:val="single" w:color="auto"/>
              </w:rPr>
              <w:t>西侧</w:t>
            </w:r>
            <w:r>
              <w:rPr>
                <w:rFonts w:hint="eastAsia" w:ascii="Times New Roman" w:hAnsi="Times New Roman" w:eastAsia="宋体" w:cs="Times New Roman"/>
                <w:color w:val="auto"/>
                <w:sz w:val="21"/>
                <w:szCs w:val="21"/>
                <w:u w:val="single" w:color="auto"/>
                <w:lang w:val="en-US" w:eastAsia="zh-CN"/>
              </w:rPr>
              <w:t>厂界外1m</w:t>
            </w:r>
          </w:p>
        </w:tc>
      </w:tr>
      <w:tr w14:paraId="056B8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19C2BDE7">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N4</w:t>
            </w:r>
          </w:p>
        </w:tc>
        <w:tc>
          <w:tcPr>
            <w:tcW w:w="6149" w:type="dxa"/>
            <w:tcBorders>
              <w:tl2br w:val="nil"/>
              <w:tr2bl w:val="nil"/>
            </w:tcBorders>
            <w:shd w:val="clear" w:color="auto" w:fill="FFFFFF"/>
            <w:vAlign w:val="center"/>
          </w:tcPr>
          <w:p w14:paraId="2C1753B7">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地块1</w:t>
            </w:r>
            <w:r>
              <w:rPr>
                <w:rFonts w:hint="default" w:ascii="Times New Roman" w:hAnsi="Times New Roman" w:eastAsia="宋体" w:cs="Times New Roman"/>
                <w:color w:val="auto"/>
                <w:sz w:val="21"/>
                <w:szCs w:val="21"/>
                <w:u w:val="single" w:color="auto"/>
              </w:rPr>
              <w:t>北侧</w:t>
            </w:r>
            <w:r>
              <w:rPr>
                <w:rFonts w:hint="eastAsia" w:ascii="Times New Roman" w:hAnsi="Times New Roman" w:eastAsia="宋体" w:cs="Times New Roman"/>
                <w:color w:val="auto"/>
                <w:sz w:val="21"/>
                <w:szCs w:val="21"/>
                <w:u w:val="single" w:color="auto"/>
                <w:lang w:val="en-US" w:eastAsia="zh-CN"/>
              </w:rPr>
              <w:t>厂界外1m</w:t>
            </w:r>
          </w:p>
        </w:tc>
      </w:tr>
      <w:tr w14:paraId="6FB85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7F662744">
            <w:pPr>
              <w:autoSpaceDE w:val="0"/>
              <w:autoSpaceDN w:val="0"/>
              <w:adjustRightInd w:val="0"/>
              <w:snapToGrid w:val="0"/>
              <w:jc w:val="center"/>
              <w:rPr>
                <w:rFonts w:ascii="Times New Roman" w:hAnsi="Times New Roman" w:eastAsia="宋体" w:cs="Times New Roman"/>
                <w:color w:val="auto"/>
                <w:kern w:val="0"/>
                <w:szCs w:val="21"/>
                <w:u w:val="single" w:color="auto"/>
              </w:rPr>
            </w:pPr>
            <w:bookmarkStart w:id="213" w:name="_Toc3728208"/>
            <w:bookmarkStart w:id="214" w:name="_Toc535329704"/>
            <w:r>
              <w:rPr>
                <w:rFonts w:hint="default" w:ascii="Times New Roman" w:hAnsi="Times New Roman" w:eastAsia="宋体" w:cs="Times New Roman"/>
                <w:color w:val="auto"/>
                <w:sz w:val="21"/>
                <w:szCs w:val="21"/>
                <w:u w:val="single" w:color="auto"/>
                <w:lang w:val="en-US" w:eastAsia="zh-CN"/>
              </w:rPr>
              <w:t>N5</w:t>
            </w:r>
          </w:p>
        </w:tc>
        <w:tc>
          <w:tcPr>
            <w:tcW w:w="6149" w:type="dxa"/>
            <w:tcBorders>
              <w:tl2br w:val="nil"/>
              <w:tr2bl w:val="nil"/>
            </w:tcBorders>
            <w:shd w:val="clear" w:color="auto" w:fill="FFFFFF"/>
            <w:vAlign w:val="center"/>
          </w:tcPr>
          <w:p w14:paraId="2E66E8D0">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地块2</w:t>
            </w:r>
            <w:r>
              <w:rPr>
                <w:rFonts w:hint="default" w:ascii="Times New Roman" w:hAnsi="Times New Roman" w:eastAsia="宋体" w:cs="Times New Roman"/>
                <w:color w:val="auto"/>
                <w:sz w:val="21"/>
                <w:szCs w:val="21"/>
                <w:u w:val="single" w:color="auto"/>
              </w:rPr>
              <w:t>东侧</w:t>
            </w:r>
            <w:r>
              <w:rPr>
                <w:rFonts w:hint="eastAsia" w:ascii="Times New Roman" w:hAnsi="Times New Roman" w:eastAsia="宋体" w:cs="Times New Roman"/>
                <w:color w:val="auto"/>
                <w:sz w:val="21"/>
                <w:szCs w:val="21"/>
                <w:u w:val="single" w:color="auto"/>
                <w:lang w:val="en-US" w:eastAsia="zh-CN"/>
              </w:rPr>
              <w:t>厂界外1m</w:t>
            </w:r>
          </w:p>
        </w:tc>
      </w:tr>
      <w:tr w14:paraId="4444C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71CAF51A">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N6</w:t>
            </w:r>
          </w:p>
        </w:tc>
        <w:tc>
          <w:tcPr>
            <w:tcW w:w="6149" w:type="dxa"/>
            <w:tcBorders>
              <w:tl2br w:val="nil"/>
              <w:tr2bl w:val="nil"/>
            </w:tcBorders>
            <w:shd w:val="clear" w:color="auto" w:fill="FFFFFF"/>
            <w:vAlign w:val="center"/>
          </w:tcPr>
          <w:p w14:paraId="50049AFD">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地块2</w:t>
            </w:r>
            <w:r>
              <w:rPr>
                <w:rFonts w:hint="default" w:ascii="Times New Roman" w:hAnsi="Times New Roman" w:eastAsia="宋体" w:cs="Times New Roman"/>
                <w:color w:val="auto"/>
                <w:sz w:val="21"/>
                <w:szCs w:val="21"/>
                <w:u w:val="single" w:color="auto"/>
              </w:rPr>
              <w:t>南侧</w:t>
            </w:r>
            <w:r>
              <w:rPr>
                <w:rFonts w:hint="eastAsia" w:ascii="Times New Roman" w:hAnsi="Times New Roman" w:eastAsia="宋体" w:cs="Times New Roman"/>
                <w:color w:val="auto"/>
                <w:sz w:val="21"/>
                <w:szCs w:val="21"/>
                <w:u w:val="single" w:color="auto"/>
                <w:lang w:val="en-US" w:eastAsia="zh-CN"/>
              </w:rPr>
              <w:t>厂界外1m</w:t>
            </w:r>
          </w:p>
        </w:tc>
      </w:tr>
      <w:tr w14:paraId="42FE7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4BDE998B">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N7</w:t>
            </w:r>
          </w:p>
        </w:tc>
        <w:tc>
          <w:tcPr>
            <w:tcW w:w="6149" w:type="dxa"/>
            <w:tcBorders>
              <w:tl2br w:val="nil"/>
              <w:tr2bl w:val="nil"/>
            </w:tcBorders>
            <w:shd w:val="clear" w:color="auto" w:fill="FFFFFF"/>
            <w:vAlign w:val="center"/>
          </w:tcPr>
          <w:p w14:paraId="2728612B">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地块2</w:t>
            </w:r>
            <w:r>
              <w:rPr>
                <w:rFonts w:hint="default" w:ascii="Times New Roman" w:hAnsi="Times New Roman" w:eastAsia="宋体" w:cs="Times New Roman"/>
                <w:color w:val="auto"/>
                <w:sz w:val="21"/>
                <w:szCs w:val="21"/>
                <w:u w:val="single" w:color="auto"/>
              </w:rPr>
              <w:t>西侧</w:t>
            </w:r>
            <w:r>
              <w:rPr>
                <w:rFonts w:hint="eastAsia" w:ascii="Times New Roman" w:hAnsi="Times New Roman" w:eastAsia="宋体" w:cs="Times New Roman"/>
                <w:color w:val="auto"/>
                <w:sz w:val="21"/>
                <w:szCs w:val="21"/>
                <w:u w:val="single" w:color="auto"/>
                <w:lang w:val="en-US" w:eastAsia="zh-CN"/>
              </w:rPr>
              <w:t>厂界外1m</w:t>
            </w:r>
          </w:p>
        </w:tc>
      </w:tr>
      <w:tr w14:paraId="037D9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dxa"/>
            <w:tcBorders>
              <w:tl2br w:val="nil"/>
              <w:tr2bl w:val="nil"/>
            </w:tcBorders>
            <w:shd w:val="clear" w:color="auto" w:fill="FFFFFF"/>
            <w:vAlign w:val="center"/>
          </w:tcPr>
          <w:p w14:paraId="39DCE588">
            <w:pPr>
              <w:autoSpaceDE w:val="0"/>
              <w:autoSpaceDN w:val="0"/>
              <w:adjustRightInd w:val="0"/>
              <w:snapToGrid w:val="0"/>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N8</w:t>
            </w:r>
          </w:p>
        </w:tc>
        <w:tc>
          <w:tcPr>
            <w:tcW w:w="6149" w:type="dxa"/>
            <w:tcBorders>
              <w:tl2br w:val="nil"/>
              <w:tr2bl w:val="nil"/>
            </w:tcBorders>
            <w:shd w:val="clear" w:color="auto" w:fill="FFFFFF"/>
            <w:vAlign w:val="center"/>
          </w:tcPr>
          <w:p w14:paraId="30AC7D77">
            <w:pPr>
              <w:jc w:val="center"/>
              <w:rPr>
                <w:rFonts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sz w:val="21"/>
                <w:szCs w:val="21"/>
                <w:u w:val="single" w:color="auto"/>
                <w:lang w:val="en-US" w:eastAsia="zh-CN"/>
              </w:rPr>
              <w:t>地块2</w:t>
            </w:r>
            <w:r>
              <w:rPr>
                <w:rFonts w:hint="default" w:ascii="Times New Roman" w:hAnsi="Times New Roman" w:eastAsia="宋体" w:cs="Times New Roman"/>
                <w:color w:val="auto"/>
                <w:sz w:val="21"/>
                <w:szCs w:val="21"/>
                <w:u w:val="single" w:color="auto"/>
              </w:rPr>
              <w:t>北侧</w:t>
            </w:r>
            <w:r>
              <w:rPr>
                <w:rFonts w:hint="eastAsia" w:ascii="Times New Roman" w:hAnsi="Times New Roman" w:eastAsia="宋体" w:cs="Times New Roman"/>
                <w:color w:val="auto"/>
                <w:sz w:val="21"/>
                <w:szCs w:val="21"/>
                <w:u w:val="single" w:color="auto"/>
                <w:lang w:val="en-US" w:eastAsia="zh-CN"/>
              </w:rPr>
              <w:t>厂界外1m</w:t>
            </w:r>
          </w:p>
        </w:tc>
      </w:tr>
    </w:tbl>
    <w:p w14:paraId="240D5A34">
      <w:pPr>
        <w:pStyle w:val="4"/>
        <w:bidi w:val="0"/>
        <w:rPr>
          <w:color w:val="auto"/>
          <w:u w:val="none" w:color="auto"/>
        </w:rPr>
      </w:pPr>
      <w:r>
        <w:rPr>
          <w:color w:val="auto"/>
          <w:u w:val="none" w:color="auto"/>
        </w:rPr>
        <w:t>监测时间与频率</w:t>
      </w:r>
      <w:bookmarkEnd w:id="213"/>
      <w:bookmarkEnd w:id="214"/>
    </w:p>
    <w:p w14:paraId="585800BA">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委托广西宁大检测技术有限公司于202</w:t>
      </w:r>
      <w:r>
        <w:rPr>
          <w:rFonts w:hint="eastAsia" w:ascii="Times New Roman" w:hAnsi="Times New Roman" w:eastAsia="宋体" w:cs="Times New Roman"/>
          <w:color w:val="auto"/>
          <w:kern w:val="0"/>
          <w:sz w:val="24"/>
          <w:szCs w:val="24"/>
          <w:u w:val="none" w:color="auto"/>
          <w:lang w:val="en-US" w:eastAsia="zh-CN"/>
        </w:rPr>
        <w:t>4</w:t>
      </w:r>
      <w:r>
        <w:rPr>
          <w:rFonts w:ascii="Times New Roman" w:hAnsi="Times New Roman" w:eastAsia="宋体" w:cs="Times New Roman"/>
          <w:color w:val="auto"/>
          <w:kern w:val="0"/>
          <w:sz w:val="24"/>
          <w:szCs w:val="24"/>
          <w:u w:val="none" w:color="auto"/>
        </w:rPr>
        <w:t>年</w:t>
      </w:r>
      <w:r>
        <w:rPr>
          <w:rFonts w:hint="eastAsia" w:ascii="Times New Roman" w:hAnsi="Times New Roman" w:eastAsia="宋体" w:cs="Times New Roman"/>
          <w:color w:val="auto"/>
          <w:kern w:val="0"/>
          <w:sz w:val="24"/>
          <w:szCs w:val="24"/>
          <w:u w:val="none" w:color="auto"/>
          <w:lang w:val="en-US" w:eastAsia="zh-CN"/>
        </w:rPr>
        <w:t>10</w:t>
      </w:r>
      <w:r>
        <w:rPr>
          <w:rFonts w:ascii="Times New Roman" w:hAnsi="Times New Roman" w:eastAsia="宋体" w:cs="Times New Roman"/>
          <w:color w:val="auto"/>
          <w:kern w:val="0"/>
          <w:sz w:val="24"/>
          <w:szCs w:val="24"/>
          <w:u w:val="none" w:color="auto"/>
        </w:rPr>
        <w:t>月</w:t>
      </w:r>
      <w:r>
        <w:rPr>
          <w:rFonts w:hint="eastAsia" w:ascii="Times New Roman" w:hAnsi="Times New Roman" w:eastAsia="宋体" w:cs="Times New Roman"/>
          <w:color w:val="auto"/>
          <w:kern w:val="0"/>
          <w:sz w:val="24"/>
          <w:szCs w:val="24"/>
          <w:u w:val="none" w:color="auto"/>
        </w:rPr>
        <w:t>1</w:t>
      </w:r>
      <w:r>
        <w:rPr>
          <w:rFonts w:hint="eastAsia" w:ascii="Times New Roman" w:hAnsi="Times New Roman" w:eastAsia="宋体" w:cs="Times New Roman"/>
          <w:color w:val="auto"/>
          <w:kern w:val="0"/>
          <w:sz w:val="24"/>
          <w:szCs w:val="24"/>
          <w:u w:val="none" w:color="auto"/>
          <w:lang w:val="en-US" w:eastAsia="zh-CN"/>
        </w:rPr>
        <w:t>6</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1</w:t>
      </w:r>
      <w:r>
        <w:rPr>
          <w:rFonts w:hint="eastAsia" w:ascii="Times New Roman" w:hAnsi="Times New Roman" w:eastAsia="宋体" w:cs="Times New Roman"/>
          <w:color w:val="auto"/>
          <w:kern w:val="0"/>
          <w:sz w:val="24"/>
          <w:szCs w:val="24"/>
          <w:u w:val="none" w:color="auto"/>
          <w:lang w:val="en-US" w:eastAsia="zh-CN"/>
        </w:rPr>
        <w:t>7</w:t>
      </w:r>
      <w:r>
        <w:rPr>
          <w:rFonts w:ascii="Times New Roman" w:hAnsi="Times New Roman" w:eastAsia="宋体" w:cs="Times New Roman"/>
          <w:color w:val="auto"/>
          <w:kern w:val="0"/>
          <w:sz w:val="24"/>
          <w:szCs w:val="24"/>
          <w:u w:val="none" w:color="auto"/>
        </w:rPr>
        <w:t>日连续监测两天，监测时段为昼间、夜间，各监测1次，为连续等效A声级Leq。</w:t>
      </w:r>
    </w:p>
    <w:p w14:paraId="0411045A">
      <w:pPr>
        <w:pStyle w:val="4"/>
        <w:bidi w:val="0"/>
        <w:rPr>
          <w:color w:val="auto"/>
          <w:u w:val="none" w:color="auto"/>
        </w:rPr>
      </w:pPr>
      <w:bookmarkStart w:id="215" w:name="_Toc535329705"/>
      <w:bookmarkStart w:id="216" w:name="_Toc3728209"/>
      <w:r>
        <w:rPr>
          <w:color w:val="auto"/>
          <w:u w:val="none" w:color="auto"/>
        </w:rPr>
        <w:t>监测结果及评价</w:t>
      </w:r>
      <w:bookmarkEnd w:id="215"/>
      <w:bookmarkEnd w:id="216"/>
    </w:p>
    <w:p w14:paraId="4856EAB2">
      <w:pPr>
        <w:autoSpaceDE w:val="0"/>
        <w:autoSpaceDN w:val="0"/>
        <w:snapToGrid w:val="0"/>
        <w:spacing w:line="360" w:lineRule="auto"/>
        <w:ind w:firstLine="480" w:firstLineChars="200"/>
        <w:rPr>
          <w:rFonts w:ascii="Times New Roman" w:hAnsi="Times New Roman" w:eastAsia="宋体" w:cs="Times New Roman"/>
          <w:color w:val="auto"/>
          <w:sz w:val="24"/>
          <w:szCs w:val="20"/>
          <w:u w:val="none" w:color="auto"/>
        </w:rPr>
      </w:pPr>
      <w:r>
        <w:rPr>
          <w:rFonts w:ascii="Times New Roman" w:hAnsi="Times New Roman" w:eastAsia="宋体" w:cs="Times New Roman"/>
          <w:color w:val="auto"/>
          <w:sz w:val="24"/>
          <w:szCs w:val="20"/>
          <w:u w:val="none" w:color="auto"/>
        </w:rPr>
        <w:t>监测结果见表</w:t>
      </w:r>
      <w:r>
        <w:rPr>
          <w:rFonts w:hint="eastAsia" w:ascii="Times New Roman" w:hAnsi="Times New Roman" w:eastAsia="宋体" w:cs="Times New Roman"/>
          <w:color w:val="auto"/>
          <w:sz w:val="24"/>
          <w:szCs w:val="20"/>
          <w:u w:val="none" w:color="auto"/>
        </w:rPr>
        <w:t>3.</w:t>
      </w:r>
      <w:r>
        <w:rPr>
          <w:rFonts w:hint="eastAsia" w:ascii="Times New Roman" w:hAnsi="Times New Roman" w:eastAsia="宋体" w:cs="Times New Roman"/>
          <w:color w:val="auto"/>
          <w:sz w:val="24"/>
          <w:szCs w:val="20"/>
          <w:u w:val="none" w:color="auto"/>
          <w:lang w:val="en-US" w:eastAsia="zh-CN"/>
        </w:rPr>
        <w:t>7</w:t>
      </w:r>
      <w:r>
        <w:rPr>
          <w:rFonts w:ascii="Times New Roman" w:hAnsi="Times New Roman" w:eastAsia="宋体" w:cs="Times New Roman"/>
          <w:color w:val="auto"/>
          <w:sz w:val="24"/>
          <w:szCs w:val="20"/>
          <w:u w:val="none" w:color="auto"/>
        </w:rPr>
        <w:t>-2。</w:t>
      </w:r>
    </w:p>
    <w:bookmarkEnd w:id="212"/>
    <w:p w14:paraId="07050489">
      <w:pPr>
        <w:pStyle w:val="6"/>
        <w:bidi w:val="0"/>
        <w:rPr>
          <w:color w:val="auto"/>
          <w:u w:val="none" w:color="auto"/>
        </w:rPr>
      </w:pPr>
      <w:r>
        <w:rPr>
          <w:color w:val="auto"/>
          <w:u w:val="none" w:color="auto"/>
        </w:rPr>
        <w:t xml:space="preserve"> 声环境现状统计结果（单位dB（A））</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778"/>
        <w:gridCol w:w="1209"/>
        <w:gridCol w:w="1212"/>
        <w:gridCol w:w="1451"/>
        <w:gridCol w:w="1451"/>
      </w:tblGrid>
      <w:tr w14:paraId="2DF6F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restart"/>
            <w:noWrap w:val="0"/>
            <w:vAlign w:val="center"/>
          </w:tcPr>
          <w:p w14:paraId="6EC33E0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监测日期</w:t>
            </w:r>
          </w:p>
        </w:tc>
        <w:tc>
          <w:tcPr>
            <w:tcW w:w="1043" w:type="pct"/>
            <w:vMerge w:val="restart"/>
            <w:noWrap w:val="0"/>
            <w:vAlign w:val="center"/>
          </w:tcPr>
          <w:p w14:paraId="706ACE7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监测点位</w:t>
            </w:r>
          </w:p>
        </w:tc>
        <w:tc>
          <w:tcPr>
            <w:tcW w:w="1420" w:type="pct"/>
            <w:gridSpan w:val="2"/>
            <w:noWrap w:val="0"/>
            <w:vAlign w:val="center"/>
          </w:tcPr>
          <w:p w14:paraId="717C7002">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监测结果（</w:t>
            </w:r>
            <w:r>
              <w:rPr>
                <w:rFonts w:hint="default" w:ascii="Times New Roman" w:hAnsi="Times New Roman" w:eastAsia="宋体" w:cs="Times New Roman"/>
                <w:i/>
                <w:iCs/>
                <w:color w:val="auto"/>
                <w:sz w:val="21"/>
                <w:szCs w:val="21"/>
                <w:u w:val="none" w:color="auto"/>
              </w:rPr>
              <w:t>L</w:t>
            </w:r>
            <w:r>
              <w:rPr>
                <w:rFonts w:hint="default" w:ascii="Times New Roman" w:hAnsi="Times New Roman" w:eastAsia="宋体" w:cs="Times New Roman"/>
                <w:color w:val="auto"/>
                <w:sz w:val="21"/>
                <w:szCs w:val="21"/>
                <w:u w:val="none" w:color="auto"/>
              </w:rPr>
              <w:t>eq）</w:t>
            </w:r>
          </w:p>
        </w:tc>
        <w:tc>
          <w:tcPr>
            <w:tcW w:w="851" w:type="pct"/>
            <w:vMerge w:val="restart"/>
            <w:noWrap w:val="0"/>
            <w:vAlign w:val="center"/>
          </w:tcPr>
          <w:p w14:paraId="6C3AAF39">
            <w:pPr>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评价标准</w:t>
            </w:r>
          </w:p>
        </w:tc>
        <w:tc>
          <w:tcPr>
            <w:tcW w:w="851" w:type="pct"/>
            <w:vMerge w:val="restart"/>
            <w:noWrap w:val="0"/>
            <w:vAlign w:val="center"/>
          </w:tcPr>
          <w:p w14:paraId="54F4AB58">
            <w:pPr>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达标情况</w:t>
            </w:r>
          </w:p>
        </w:tc>
      </w:tr>
      <w:tr w14:paraId="027CD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76E0A5AB">
            <w:pPr>
              <w:jc w:val="center"/>
              <w:rPr>
                <w:rFonts w:hint="default" w:ascii="Times New Roman" w:hAnsi="Times New Roman" w:eastAsia="宋体" w:cs="Times New Roman"/>
                <w:color w:val="auto"/>
                <w:sz w:val="21"/>
                <w:szCs w:val="21"/>
                <w:u w:val="none" w:color="auto"/>
              </w:rPr>
            </w:pPr>
          </w:p>
        </w:tc>
        <w:tc>
          <w:tcPr>
            <w:tcW w:w="1043" w:type="pct"/>
            <w:vMerge w:val="continue"/>
            <w:noWrap w:val="0"/>
            <w:vAlign w:val="center"/>
          </w:tcPr>
          <w:p w14:paraId="4B035FCC">
            <w:pPr>
              <w:jc w:val="center"/>
              <w:rPr>
                <w:rFonts w:hint="default" w:ascii="Times New Roman" w:hAnsi="Times New Roman" w:eastAsia="宋体" w:cs="Times New Roman"/>
                <w:color w:val="auto"/>
                <w:sz w:val="21"/>
                <w:szCs w:val="21"/>
                <w:u w:val="none" w:color="auto"/>
              </w:rPr>
            </w:pPr>
          </w:p>
        </w:tc>
        <w:tc>
          <w:tcPr>
            <w:tcW w:w="709" w:type="pct"/>
            <w:noWrap w:val="0"/>
            <w:vAlign w:val="center"/>
          </w:tcPr>
          <w:p w14:paraId="6FCB3B9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昼间</w:t>
            </w:r>
          </w:p>
        </w:tc>
        <w:tc>
          <w:tcPr>
            <w:tcW w:w="711" w:type="pct"/>
            <w:noWrap w:val="0"/>
            <w:vAlign w:val="center"/>
          </w:tcPr>
          <w:p w14:paraId="3595E1D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夜间</w:t>
            </w:r>
          </w:p>
        </w:tc>
        <w:tc>
          <w:tcPr>
            <w:tcW w:w="851" w:type="pct"/>
            <w:vMerge w:val="continue"/>
            <w:noWrap w:val="0"/>
            <w:vAlign w:val="center"/>
          </w:tcPr>
          <w:p w14:paraId="393AA28E">
            <w:pPr>
              <w:jc w:val="center"/>
              <w:rPr>
                <w:rFonts w:hint="default" w:ascii="Times New Roman" w:hAnsi="Times New Roman" w:eastAsia="宋体" w:cs="Times New Roman"/>
                <w:color w:val="auto"/>
                <w:sz w:val="21"/>
                <w:szCs w:val="21"/>
                <w:u w:val="none" w:color="auto"/>
              </w:rPr>
            </w:pPr>
          </w:p>
        </w:tc>
        <w:tc>
          <w:tcPr>
            <w:tcW w:w="851" w:type="pct"/>
            <w:vMerge w:val="continue"/>
            <w:noWrap w:val="0"/>
            <w:vAlign w:val="center"/>
          </w:tcPr>
          <w:p w14:paraId="7FD6F935">
            <w:pPr>
              <w:jc w:val="center"/>
              <w:rPr>
                <w:rFonts w:hint="default" w:ascii="Times New Roman" w:hAnsi="Times New Roman" w:eastAsia="宋体" w:cs="Times New Roman"/>
                <w:color w:val="auto"/>
                <w:sz w:val="21"/>
                <w:szCs w:val="21"/>
                <w:u w:val="none" w:color="auto"/>
              </w:rPr>
            </w:pPr>
          </w:p>
        </w:tc>
      </w:tr>
      <w:tr w14:paraId="5235B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restart"/>
            <w:noWrap w:val="0"/>
            <w:vAlign w:val="center"/>
          </w:tcPr>
          <w:p w14:paraId="34F3F99A">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2024.</w:t>
            </w:r>
            <w:r>
              <w:rPr>
                <w:rFonts w:hint="default" w:ascii="Times New Roman" w:hAnsi="Times New Roman" w:eastAsia="宋体" w:cs="Times New Roman"/>
                <w:color w:val="auto"/>
                <w:sz w:val="21"/>
                <w:szCs w:val="21"/>
                <w:u w:val="none" w:color="auto"/>
                <w:lang w:val="en-US" w:eastAsia="zh-CN"/>
              </w:rPr>
              <w:t>10.16</w:t>
            </w:r>
          </w:p>
        </w:tc>
        <w:tc>
          <w:tcPr>
            <w:tcW w:w="1043" w:type="pct"/>
            <w:noWrap w:val="0"/>
            <w:vAlign w:val="center"/>
          </w:tcPr>
          <w:p w14:paraId="0391433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N1地块1</w:t>
            </w:r>
            <w:r>
              <w:rPr>
                <w:rFonts w:hint="default" w:ascii="Times New Roman" w:hAnsi="Times New Roman" w:eastAsia="宋体" w:cs="Times New Roman"/>
                <w:color w:val="auto"/>
                <w:sz w:val="21"/>
                <w:szCs w:val="21"/>
                <w:u w:val="none" w:color="auto"/>
              </w:rPr>
              <w:t>东侧</w:t>
            </w:r>
          </w:p>
        </w:tc>
        <w:tc>
          <w:tcPr>
            <w:tcW w:w="709" w:type="pct"/>
            <w:noWrap w:val="0"/>
            <w:vAlign w:val="center"/>
          </w:tcPr>
          <w:p w14:paraId="25356AD0">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4D626421">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restart"/>
            <w:noWrap w:val="0"/>
            <w:vAlign w:val="center"/>
          </w:tcPr>
          <w:p w14:paraId="4E9AFEE5">
            <w:pPr>
              <w:autoSpaceDE w:val="0"/>
              <w:autoSpaceDN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昼间≤65dB(A)</w:t>
            </w:r>
          </w:p>
          <w:p w14:paraId="5CD3369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夜间≤55dB(A)</w:t>
            </w:r>
          </w:p>
        </w:tc>
        <w:tc>
          <w:tcPr>
            <w:tcW w:w="851" w:type="pct"/>
            <w:noWrap w:val="0"/>
            <w:vAlign w:val="center"/>
          </w:tcPr>
          <w:p w14:paraId="2EF092CF">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3623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5BD1B1EA">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0402A98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N2地块1</w:t>
            </w:r>
            <w:r>
              <w:rPr>
                <w:rFonts w:hint="default" w:ascii="Times New Roman" w:hAnsi="Times New Roman" w:eastAsia="宋体" w:cs="Times New Roman"/>
                <w:color w:val="auto"/>
                <w:sz w:val="21"/>
                <w:szCs w:val="21"/>
                <w:u w:val="none" w:color="auto"/>
              </w:rPr>
              <w:t>南侧</w:t>
            </w:r>
          </w:p>
        </w:tc>
        <w:tc>
          <w:tcPr>
            <w:tcW w:w="709" w:type="pct"/>
            <w:noWrap w:val="0"/>
            <w:vAlign w:val="center"/>
          </w:tcPr>
          <w:p w14:paraId="288DD07D">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20079FDD">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00E95680">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A94FC5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2E081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206EE579">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4CDF9206">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N3地块1</w:t>
            </w:r>
            <w:r>
              <w:rPr>
                <w:rFonts w:hint="default" w:ascii="Times New Roman" w:hAnsi="Times New Roman" w:eastAsia="宋体" w:cs="Times New Roman"/>
                <w:color w:val="auto"/>
                <w:sz w:val="21"/>
                <w:szCs w:val="21"/>
                <w:u w:val="none" w:color="auto"/>
              </w:rPr>
              <w:t>西侧</w:t>
            </w:r>
          </w:p>
        </w:tc>
        <w:tc>
          <w:tcPr>
            <w:tcW w:w="709" w:type="pct"/>
            <w:noWrap w:val="0"/>
            <w:vAlign w:val="center"/>
          </w:tcPr>
          <w:p w14:paraId="47F19419">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0AD71709">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5199EE8A">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6934B492">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27521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418136E7">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37065D6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N4地块1</w:t>
            </w:r>
            <w:r>
              <w:rPr>
                <w:rFonts w:hint="default" w:ascii="Times New Roman" w:hAnsi="Times New Roman" w:eastAsia="宋体" w:cs="Times New Roman"/>
                <w:color w:val="auto"/>
                <w:sz w:val="21"/>
                <w:szCs w:val="21"/>
                <w:u w:val="none" w:color="auto"/>
              </w:rPr>
              <w:t>北侧</w:t>
            </w:r>
          </w:p>
        </w:tc>
        <w:tc>
          <w:tcPr>
            <w:tcW w:w="709" w:type="pct"/>
            <w:noWrap w:val="0"/>
            <w:vAlign w:val="center"/>
          </w:tcPr>
          <w:p w14:paraId="048AE042">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753900F6">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068F5C9B">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DB4F96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1B303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448C66F8">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58464D81">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N5地块2</w:t>
            </w:r>
            <w:r>
              <w:rPr>
                <w:rFonts w:hint="default" w:ascii="Times New Roman" w:hAnsi="Times New Roman" w:eastAsia="宋体" w:cs="Times New Roman"/>
                <w:color w:val="auto"/>
                <w:sz w:val="21"/>
                <w:szCs w:val="21"/>
                <w:u w:val="none" w:color="auto"/>
              </w:rPr>
              <w:t>东侧</w:t>
            </w:r>
          </w:p>
        </w:tc>
        <w:tc>
          <w:tcPr>
            <w:tcW w:w="709" w:type="pct"/>
            <w:noWrap w:val="0"/>
            <w:vAlign w:val="center"/>
          </w:tcPr>
          <w:p w14:paraId="1CAF4656">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4F00A451">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5DFF4EBE">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685FF07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00749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4150A65A">
            <w:pPr>
              <w:jc w:val="center"/>
              <w:rPr>
                <w:rFonts w:hint="default" w:ascii="Times New Roman" w:hAnsi="Times New Roman" w:eastAsia="宋体" w:cs="Times New Roman"/>
                <w:color w:val="auto"/>
                <w:sz w:val="21"/>
                <w:szCs w:val="21"/>
                <w:u w:val="none" w:color="auto"/>
                <w:lang w:val="en-US"/>
              </w:rPr>
            </w:pPr>
          </w:p>
        </w:tc>
        <w:tc>
          <w:tcPr>
            <w:tcW w:w="1043" w:type="pct"/>
            <w:noWrap w:val="0"/>
            <w:vAlign w:val="center"/>
          </w:tcPr>
          <w:p w14:paraId="0FE4C86E">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N6地块2</w:t>
            </w:r>
            <w:r>
              <w:rPr>
                <w:rFonts w:hint="default" w:ascii="Times New Roman" w:hAnsi="Times New Roman" w:eastAsia="宋体" w:cs="Times New Roman"/>
                <w:color w:val="auto"/>
                <w:sz w:val="21"/>
                <w:szCs w:val="21"/>
                <w:u w:val="none" w:color="auto"/>
              </w:rPr>
              <w:t>南侧</w:t>
            </w:r>
          </w:p>
        </w:tc>
        <w:tc>
          <w:tcPr>
            <w:tcW w:w="709" w:type="pct"/>
            <w:noWrap w:val="0"/>
            <w:vAlign w:val="center"/>
          </w:tcPr>
          <w:p w14:paraId="3F89093B">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07DB43BE">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3765817B">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3992BF2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755B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17A05845">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670A3C5F">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N7地块2</w:t>
            </w:r>
            <w:r>
              <w:rPr>
                <w:rFonts w:hint="default" w:ascii="Times New Roman" w:hAnsi="Times New Roman" w:eastAsia="宋体" w:cs="Times New Roman"/>
                <w:color w:val="auto"/>
                <w:sz w:val="21"/>
                <w:szCs w:val="21"/>
                <w:u w:val="none" w:color="auto"/>
              </w:rPr>
              <w:t>西侧</w:t>
            </w:r>
          </w:p>
        </w:tc>
        <w:tc>
          <w:tcPr>
            <w:tcW w:w="709" w:type="pct"/>
            <w:noWrap w:val="0"/>
            <w:vAlign w:val="center"/>
          </w:tcPr>
          <w:p w14:paraId="3341420C">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01D5CA23">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72821119">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162FE2F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418E8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29BD175C">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21791217">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N8地块2</w:t>
            </w:r>
            <w:r>
              <w:rPr>
                <w:rFonts w:hint="default" w:ascii="Times New Roman" w:hAnsi="Times New Roman" w:eastAsia="宋体" w:cs="Times New Roman"/>
                <w:color w:val="auto"/>
                <w:sz w:val="21"/>
                <w:szCs w:val="21"/>
                <w:u w:val="none" w:color="auto"/>
              </w:rPr>
              <w:t>北侧</w:t>
            </w:r>
          </w:p>
        </w:tc>
        <w:tc>
          <w:tcPr>
            <w:tcW w:w="709" w:type="pct"/>
            <w:noWrap w:val="0"/>
            <w:vAlign w:val="center"/>
          </w:tcPr>
          <w:p w14:paraId="0CEB4733">
            <w:pPr>
              <w:jc w:val="center"/>
              <w:rPr>
                <w:rFonts w:hint="default" w:ascii="Times New Roman" w:hAnsi="Times New Roman" w:eastAsia="宋体" w:cs="Times New Roman"/>
                <w:color w:val="auto"/>
                <w:sz w:val="21"/>
                <w:szCs w:val="21"/>
                <w:u w:val="none" w:color="auto"/>
                <w:lang w:val="en-US" w:eastAsia="zh-CN"/>
              </w:rPr>
            </w:pPr>
          </w:p>
        </w:tc>
        <w:tc>
          <w:tcPr>
            <w:tcW w:w="711" w:type="pct"/>
            <w:noWrap w:val="0"/>
            <w:vAlign w:val="center"/>
          </w:tcPr>
          <w:p w14:paraId="12B2E3CA">
            <w:pPr>
              <w:jc w:val="center"/>
              <w:rPr>
                <w:rFonts w:hint="default" w:ascii="Times New Roman" w:hAnsi="Times New Roman" w:eastAsia="宋体" w:cs="Times New Roman"/>
                <w:color w:val="auto"/>
                <w:sz w:val="21"/>
                <w:szCs w:val="21"/>
                <w:highlight w:val="none"/>
                <w:u w:val="none" w:color="auto"/>
                <w:lang w:val="en-US" w:eastAsia="zh-CN"/>
              </w:rPr>
            </w:pPr>
          </w:p>
        </w:tc>
        <w:tc>
          <w:tcPr>
            <w:tcW w:w="851" w:type="pct"/>
            <w:vMerge w:val="continue"/>
            <w:noWrap w:val="0"/>
            <w:vAlign w:val="center"/>
          </w:tcPr>
          <w:p w14:paraId="16722EC2">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043D4B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4A05D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restart"/>
            <w:noWrap w:val="0"/>
            <w:vAlign w:val="center"/>
          </w:tcPr>
          <w:p w14:paraId="513AC66D">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2024.</w:t>
            </w:r>
            <w:r>
              <w:rPr>
                <w:rFonts w:hint="default" w:ascii="Times New Roman" w:hAnsi="Times New Roman" w:eastAsia="宋体" w:cs="Times New Roman"/>
                <w:color w:val="auto"/>
                <w:sz w:val="21"/>
                <w:szCs w:val="21"/>
                <w:u w:val="none" w:color="auto"/>
                <w:lang w:val="en-US" w:eastAsia="zh-CN"/>
              </w:rPr>
              <w:t>10.17</w:t>
            </w:r>
          </w:p>
        </w:tc>
        <w:tc>
          <w:tcPr>
            <w:tcW w:w="1043" w:type="pct"/>
            <w:noWrap w:val="0"/>
            <w:vAlign w:val="center"/>
          </w:tcPr>
          <w:p w14:paraId="3D456BC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N1地块1</w:t>
            </w:r>
            <w:r>
              <w:rPr>
                <w:rFonts w:hint="default" w:ascii="Times New Roman" w:hAnsi="Times New Roman" w:eastAsia="宋体" w:cs="Times New Roman"/>
                <w:color w:val="auto"/>
                <w:sz w:val="21"/>
                <w:szCs w:val="21"/>
                <w:u w:val="none" w:color="auto"/>
              </w:rPr>
              <w:t>东侧</w:t>
            </w:r>
          </w:p>
        </w:tc>
        <w:tc>
          <w:tcPr>
            <w:tcW w:w="709" w:type="pct"/>
            <w:noWrap w:val="0"/>
            <w:vAlign w:val="center"/>
          </w:tcPr>
          <w:p w14:paraId="6F80E386">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5638EBFD">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restart"/>
            <w:noWrap w:val="0"/>
            <w:vAlign w:val="center"/>
          </w:tcPr>
          <w:p w14:paraId="0ACC60CE">
            <w:pPr>
              <w:autoSpaceDE w:val="0"/>
              <w:autoSpaceDN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昼间≤65dB(A)</w:t>
            </w:r>
          </w:p>
          <w:p w14:paraId="7A1AE9F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夜间≤55dB(A)</w:t>
            </w:r>
          </w:p>
        </w:tc>
        <w:tc>
          <w:tcPr>
            <w:tcW w:w="851" w:type="pct"/>
            <w:noWrap w:val="0"/>
            <w:vAlign w:val="center"/>
          </w:tcPr>
          <w:p w14:paraId="0327548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71EB0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693BA2DA">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7B35E9A2">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N2地块1</w:t>
            </w:r>
            <w:r>
              <w:rPr>
                <w:rFonts w:hint="default" w:ascii="Times New Roman" w:hAnsi="Times New Roman" w:eastAsia="宋体" w:cs="Times New Roman"/>
                <w:color w:val="auto"/>
                <w:sz w:val="21"/>
                <w:szCs w:val="21"/>
                <w:u w:val="none" w:color="auto"/>
              </w:rPr>
              <w:t>南侧</w:t>
            </w:r>
          </w:p>
        </w:tc>
        <w:tc>
          <w:tcPr>
            <w:tcW w:w="709" w:type="pct"/>
            <w:noWrap w:val="0"/>
            <w:vAlign w:val="center"/>
          </w:tcPr>
          <w:p w14:paraId="454A4D5C">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5A203AB0">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7F13ABBC">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1653977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40B35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3B61F6AE">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269BCED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N3地块1</w:t>
            </w:r>
            <w:r>
              <w:rPr>
                <w:rFonts w:hint="default" w:ascii="Times New Roman" w:hAnsi="Times New Roman" w:eastAsia="宋体" w:cs="Times New Roman"/>
                <w:color w:val="auto"/>
                <w:sz w:val="21"/>
                <w:szCs w:val="21"/>
                <w:u w:val="none" w:color="auto"/>
              </w:rPr>
              <w:t>西侧</w:t>
            </w:r>
          </w:p>
        </w:tc>
        <w:tc>
          <w:tcPr>
            <w:tcW w:w="709" w:type="pct"/>
            <w:noWrap w:val="0"/>
            <w:vAlign w:val="center"/>
          </w:tcPr>
          <w:p w14:paraId="2DEDC923">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61050BC5">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137695C3">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EE24E9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718BD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7689666A">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64EC2C2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N4地块1</w:t>
            </w:r>
            <w:r>
              <w:rPr>
                <w:rFonts w:hint="default" w:ascii="Times New Roman" w:hAnsi="Times New Roman" w:eastAsia="宋体" w:cs="Times New Roman"/>
                <w:color w:val="auto"/>
                <w:sz w:val="21"/>
                <w:szCs w:val="21"/>
                <w:u w:val="none" w:color="auto"/>
              </w:rPr>
              <w:t>北侧</w:t>
            </w:r>
          </w:p>
        </w:tc>
        <w:tc>
          <w:tcPr>
            <w:tcW w:w="709" w:type="pct"/>
            <w:noWrap w:val="0"/>
            <w:vAlign w:val="center"/>
          </w:tcPr>
          <w:p w14:paraId="1853A6F7">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11AFCAE5">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76F35311">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26093E1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0081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37AD7CAB">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2672E39E">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N5地块2</w:t>
            </w:r>
            <w:r>
              <w:rPr>
                <w:rFonts w:hint="default" w:ascii="Times New Roman" w:hAnsi="Times New Roman" w:eastAsia="宋体" w:cs="Times New Roman"/>
                <w:color w:val="auto"/>
                <w:sz w:val="21"/>
                <w:szCs w:val="21"/>
                <w:u w:val="none" w:color="auto"/>
              </w:rPr>
              <w:t>东侧</w:t>
            </w:r>
          </w:p>
        </w:tc>
        <w:tc>
          <w:tcPr>
            <w:tcW w:w="709" w:type="pct"/>
            <w:noWrap w:val="0"/>
            <w:vAlign w:val="center"/>
          </w:tcPr>
          <w:p w14:paraId="6E50D9D9">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3D1D5C62">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49B7EDE5">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2DE0126">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3C2C6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2DFC6F83">
            <w:pPr>
              <w:jc w:val="center"/>
              <w:rPr>
                <w:rFonts w:hint="default" w:ascii="Times New Roman" w:hAnsi="Times New Roman" w:eastAsia="宋体" w:cs="Times New Roman"/>
                <w:color w:val="auto"/>
                <w:sz w:val="21"/>
                <w:szCs w:val="21"/>
                <w:u w:val="none" w:color="auto"/>
                <w:lang w:val="en-US"/>
              </w:rPr>
            </w:pPr>
          </w:p>
        </w:tc>
        <w:tc>
          <w:tcPr>
            <w:tcW w:w="1043" w:type="pct"/>
            <w:noWrap w:val="0"/>
            <w:vAlign w:val="center"/>
          </w:tcPr>
          <w:p w14:paraId="14FC2B65">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N6地块2</w:t>
            </w:r>
            <w:r>
              <w:rPr>
                <w:rFonts w:hint="default" w:ascii="Times New Roman" w:hAnsi="Times New Roman" w:eastAsia="宋体" w:cs="Times New Roman"/>
                <w:color w:val="auto"/>
                <w:sz w:val="21"/>
                <w:szCs w:val="21"/>
                <w:u w:val="none" w:color="auto"/>
              </w:rPr>
              <w:t>南侧</w:t>
            </w:r>
          </w:p>
        </w:tc>
        <w:tc>
          <w:tcPr>
            <w:tcW w:w="709" w:type="pct"/>
            <w:noWrap w:val="0"/>
            <w:vAlign w:val="center"/>
          </w:tcPr>
          <w:p w14:paraId="4FC40D8E">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66E133DB">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49E14293">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102F03B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56E62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04931788">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7A747EC1">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N7地块2</w:t>
            </w:r>
            <w:r>
              <w:rPr>
                <w:rFonts w:hint="default" w:ascii="Times New Roman" w:hAnsi="Times New Roman" w:eastAsia="宋体" w:cs="Times New Roman"/>
                <w:color w:val="auto"/>
                <w:sz w:val="21"/>
                <w:szCs w:val="21"/>
                <w:u w:val="none" w:color="auto"/>
              </w:rPr>
              <w:t>西侧</w:t>
            </w:r>
          </w:p>
        </w:tc>
        <w:tc>
          <w:tcPr>
            <w:tcW w:w="709" w:type="pct"/>
            <w:noWrap w:val="0"/>
            <w:vAlign w:val="center"/>
          </w:tcPr>
          <w:p w14:paraId="3CCA4AA7">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2103A159">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02816973">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7B29D23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r w14:paraId="2CE7F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2" w:type="pct"/>
            <w:vMerge w:val="continue"/>
            <w:noWrap w:val="0"/>
            <w:vAlign w:val="center"/>
          </w:tcPr>
          <w:p w14:paraId="68B41E88">
            <w:pPr>
              <w:jc w:val="center"/>
              <w:rPr>
                <w:rFonts w:hint="default" w:ascii="Times New Roman" w:hAnsi="Times New Roman" w:eastAsia="宋体" w:cs="Times New Roman"/>
                <w:color w:val="auto"/>
                <w:sz w:val="21"/>
                <w:szCs w:val="21"/>
                <w:u w:val="none" w:color="auto"/>
              </w:rPr>
            </w:pPr>
          </w:p>
        </w:tc>
        <w:tc>
          <w:tcPr>
            <w:tcW w:w="1043" w:type="pct"/>
            <w:noWrap w:val="0"/>
            <w:vAlign w:val="center"/>
          </w:tcPr>
          <w:p w14:paraId="1B154BA6">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N8地块2</w:t>
            </w:r>
            <w:r>
              <w:rPr>
                <w:rFonts w:hint="default" w:ascii="Times New Roman" w:hAnsi="Times New Roman" w:eastAsia="宋体" w:cs="Times New Roman"/>
                <w:color w:val="auto"/>
                <w:sz w:val="21"/>
                <w:szCs w:val="21"/>
                <w:u w:val="none" w:color="auto"/>
              </w:rPr>
              <w:t>北侧</w:t>
            </w:r>
          </w:p>
        </w:tc>
        <w:tc>
          <w:tcPr>
            <w:tcW w:w="709" w:type="pct"/>
            <w:noWrap w:val="0"/>
            <w:vAlign w:val="center"/>
          </w:tcPr>
          <w:p w14:paraId="22774BFA">
            <w:pPr>
              <w:jc w:val="center"/>
              <w:rPr>
                <w:rFonts w:hint="default" w:ascii="Times New Roman" w:hAnsi="Times New Roman" w:eastAsia="宋体" w:cs="Times New Roman"/>
                <w:color w:val="auto"/>
                <w:kern w:val="2"/>
                <w:sz w:val="21"/>
                <w:szCs w:val="21"/>
                <w:u w:val="none" w:color="auto"/>
                <w:lang w:val="en-US" w:eastAsia="zh-CN" w:bidi="ar-SA"/>
              </w:rPr>
            </w:pPr>
          </w:p>
        </w:tc>
        <w:tc>
          <w:tcPr>
            <w:tcW w:w="711" w:type="pct"/>
            <w:noWrap w:val="0"/>
            <w:vAlign w:val="center"/>
          </w:tcPr>
          <w:p w14:paraId="07D39894">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851" w:type="pct"/>
            <w:vMerge w:val="continue"/>
            <w:noWrap w:val="0"/>
            <w:vAlign w:val="center"/>
          </w:tcPr>
          <w:p w14:paraId="72A841C3">
            <w:pPr>
              <w:jc w:val="center"/>
              <w:rPr>
                <w:rFonts w:hint="default" w:ascii="Times New Roman" w:hAnsi="Times New Roman" w:eastAsia="宋体" w:cs="Times New Roman"/>
                <w:color w:val="auto"/>
                <w:sz w:val="21"/>
                <w:szCs w:val="21"/>
                <w:u w:val="none" w:color="auto"/>
              </w:rPr>
            </w:pPr>
          </w:p>
        </w:tc>
        <w:tc>
          <w:tcPr>
            <w:tcW w:w="851" w:type="pct"/>
            <w:noWrap w:val="0"/>
            <w:vAlign w:val="center"/>
          </w:tcPr>
          <w:p w14:paraId="39F0360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达标</w:t>
            </w:r>
          </w:p>
        </w:tc>
      </w:tr>
    </w:tbl>
    <w:p w14:paraId="211C7778">
      <w:pPr>
        <w:autoSpaceDE w:val="0"/>
        <w:autoSpaceDN w:val="0"/>
        <w:adjustRightInd w:val="0"/>
        <w:jc w:val="center"/>
        <w:textAlignment w:val="baseline"/>
        <w:rPr>
          <w:rFonts w:ascii="Times New Roman" w:hAnsi="Times New Roman" w:eastAsia="宋体" w:cs="Times New Roman"/>
          <w:b/>
          <w:color w:val="auto"/>
          <w:kern w:val="0"/>
          <w:szCs w:val="21"/>
          <w:u w:val="none" w:color="auto"/>
        </w:rPr>
      </w:pPr>
    </w:p>
    <w:p w14:paraId="65D70D50">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由表</w:t>
      </w:r>
      <w:r>
        <w:rPr>
          <w:rFonts w:hint="eastAsia" w:ascii="Times New Roman" w:hAnsi="Times New Roman" w:eastAsia="宋体" w:cs="Times New Roman"/>
          <w:color w:val="auto"/>
          <w:sz w:val="24"/>
          <w:szCs w:val="24"/>
          <w:u w:val="none" w:color="auto"/>
        </w:rPr>
        <w:t>3</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7</w:t>
      </w:r>
      <w:r>
        <w:rPr>
          <w:rFonts w:ascii="Times New Roman" w:hAnsi="Times New Roman" w:eastAsia="宋体" w:cs="Times New Roman"/>
          <w:color w:val="auto"/>
          <w:sz w:val="24"/>
          <w:szCs w:val="24"/>
          <w:u w:val="none" w:color="auto"/>
        </w:rPr>
        <w:t>-2声环境现状监测结果可知，各监测点的昼间</w:t>
      </w:r>
      <w:r>
        <w:rPr>
          <w:rFonts w:hint="eastAsia" w:ascii="Times New Roman" w:hAnsi="Times New Roman" w:eastAsia="宋体" w:cs="Times New Roman"/>
          <w:color w:val="auto"/>
          <w:sz w:val="24"/>
          <w:szCs w:val="24"/>
          <w:u w:val="none" w:color="auto"/>
        </w:rPr>
        <w:t>、夜间</w:t>
      </w:r>
      <w:r>
        <w:rPr>
          <w:rFonts w:ascii="Times New Roman" w:hAnsi="Times New Roman" w:eastAsia="宋体" w:cs="Times New Roman"/>
          <w:color w:val="auto"/>
          <w:sz w:val="24"/>
          <w:szCs w:val="24"/>
          <w:u w:val="none" w:color="auto"/>
        </w:rPr>
        <w:t>环境噪声等效声级Leq（A）值小于《声环境质量标准》（GB3096-2008）3类标准限值，评价区域内声环境现状符合声环境质量功能区要求。</w:t>
      </w:r>
    </w:p>
    <w:p w14:paraId="4A3BE102">
      <w:pPr>
        <w:keepNext w:val="0"/>
        <w:keepLines w:val="0"/>
        <w:pageBreakBefore w:val="0"/>
        <w:widowControl w:val="0"/>
        <w:kinsoku/>
        <w:wordWrap/>
        <w:overflowPunct/>
        <w:topLinePunct w:val="0"/>
        <w:autoSpaceDE w:val="0"/>
        <w:autoSpaceDN w:val="0"/>
        <w:bidi w:val="0"/>
        <w:adjustRightInd/>
        <w:snapToGrid w:val="0"/>
        <w:spacing w:line="360" w:lineRule="auto"/>
        <w:jc w:val="left"/>
        <w:textAlignment w:val="auto"/>
        <w:outlineLvl w:val="9"/>
        <w:rPr>
          <w:rFonts w:hint="eastAsia" w:ascii="Times New Roman" w:hAnsi="Times New Roman" w:eastAsia="宋体" w:cs="Times New Roman"/>
          <w:color w:val="auto"/>
          <w:sz w:val="24"/>
          <w:szCs w:val="24"/>
          <w:u w:val="none" w:color="auto"/>
        </w:rPr>
      </w:pPr>
    </w:p>
    <w:p w14:paraId="1334AAAD">
      <w:pPr>
        <w:keepNext w:val="0"/>
        <w:keepLines w:val="0"/>
        <w:pageBreakBefore w:val="0"/>
        <w:widowControl w:val="0"/>
        <w:kinsoku/>
        <w:wordWrap/>
        <w:overflowPunct/>
        <w:topLinePunct w:val="0"/>
        <w:autoSpaceDE w:val="0"/>
        <w:autoSpaceDN w:val="0"/>
        <w:bidi w:val="0"/>
        <w:adjustRightInd/>
        <w:spacing w:line="520" w:lineRule="exact"/>
        <w:ind w:firstLine="480" w:firstLineChars="200"/>
        <w:jc w:val="left"/>
        <w:textAlignment w:val="auto"/>
        <w:outlineLvl w:val="9"/>
        <w:rPr>
          <w:rFonts w:ascii="Times New Roman" w:hAnsi="Times New Roman" w:eastAsia="宋体" w:cs="Times New Roman"/>
          <w:color w:val="auto"/>
          <w:kern w:val="0"/>
          <w:sz w:val="24"/>
          <w:szCs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9DC1409">
      <w:pPr>
        <w:pStyle w:val="3"/>
        <w:bidi w:val="0"/>
        <w:rPr>
          <w:color w:val="auto"/>
          <w:u w:val="none" w:color="auto"/>
        </w:rPr>
      </w:pPr>
      <w:bookmarkStart w:id="217" w:name="_Toc3728217"/>
      <w:bookmarkStart w:id="218" w:name="_Toc3419"/>
      <w:r>
        <w:rPr>
          <w:color w:val="auto"/>
          <w:u w:val="none" w:color="auto"/>
        </w:rPr>
        <w:t>区域污染源情况</w:t>
      </w:r>
      <w:bookmarkEnd w:id="217"/>
      <w:bookmarkEnd w:id="218"/>
    </w:p>
    <w:p w14:paraId="7C36C6C8">
      <w:pPr>
        <w:autoSpaceDE w:val="0"/>
        <w:autoSpaceDN w:val="0"/>
        <w:snapToGrid w:val="0"/>
        <w:spacing w:line="360" w:lineRule="auto"/>
        <w:ind w:firstLine="480" w:firstLineChars="200"/>
        <w:jc w:val="left"/>
        <w:rPr>
          <w:rFonts w:ascii="Times New Roman" w:hAnsi="Times New Roman" w:eastAsia="宋体" w:cs="Times New Roman"/>
          <w:b/>
          <w:color w:val="auto"/>
          <w:kern w:val="0"/>
          <w:sz w:val="32"/>
          <w:szCs w:val="32"/>
          <w:u w:val="none" w:color="auto"/>
        </w:rPr>
      </w:pPr>
      <w:r>
        <w:rPr>
          <w:rFonts w:ascii="Times New Roman" w:hAnsi="Times New Roman" w:eastAsia="宋体" w:cs="Times New Roman"/>
          <w:color w:val="auto"/>
          <w:sz w:val="24"/>
          <w:szCs w:val="24"/>
          <w:u w:val="none" w:color="auto"/>
        </w:rPr>
        <w:t>根据《环境影响评价技术导则 大气环境》（HJ2.2-2018），一级评价项目需调查评价范围内与评价项目排放污染物有关的其他在建项目、已批复环境影响评价文件的拟建项目等污染源。故在此仅列出评价区域内项目周边各</w:t>
      </w:r>
      <w:r>
        <w:rPr>
          <w:rFonts w:hint="eastAsia" w:ascii="Times New Roman" w:hAnsi="Times New Roman" w:eastAsia="宋体" w:cs="Times New Roman"/>
          <w:color w:val="auto"/>
          <w:sz w:val="24"/>
          <w:szCs w:val="24"/>
          <w:u w:val="none" w:color="auto"/>
        </w:rPr>
        <w:t>已建、在建、拟建</w:t>
      </w:r>
      <w:r>
        <w:rPr>
          <w:rFonts w:ascii="Times New Roman" w:hAnsi="Times New Roman" w:eastAsia="宋体" w:cs="Times New Roman"/>
          <w:color w:val="auto"/>
          <w:sz w:val="24"/>
          <w:szCs w:val="24"/>
          <w:u w:val="none" w:color="auto"/>
        </w:rPr>
        <w:t>企业主要污染物排放情况</w:t>
      </w:r>
      <w:r>
        <w:rPr>
          <w:rFonts w:hint="eastAsia" w:ascii="Times New Roman" w:hAnsi="Times New Roman" w:eastAsia="宋体" w:cs="Times New Roman"/>
          <w:color w:val="auto"/>
          <w:sz w:val="24"/>
          <w:szCs w:val="24"/>
          <w:u w:val="none" w:color="auto"/>
        </w:rPr>
        <w:t>，详</w:t>
      </w:r>
      <w:r>
        <w:rPr>
          <w:rFonts w:ascii="Times New Roman" w:hAnsi="Times New Roman" w:eastAsia="宋体" w:cs="Times New Roman"/>
          <w:color w:val="auto"/>
          <w:sz w:val="24"/>
          <w:szCs w:val="24"/>
          <w:u w:val="none" w:color="auto"/>
        </w:rPr>
        <w:t>见表</w:t>
      </w:r>
      <w:r>
        <w:rPr>
          <w:rFonts w:hint="eastAsia" w:ascii="Times New Roman" w:hAnsi="Times New Roman" w:eastAsia="宋体" w:cs="Times New Roman"/>
          <w:color w:val="auto"/>
          <w:sz w:val="24"/>
          <w:szCs w:val="24"/>
          <w:u w:val="none" w:color="auto"/>
        </w:rPr>
        <w:t>3</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8</w:t>
      </w:r>
      <w:r>
        <w:rPr>
          <w:rFonts w:ascii="Times New Roman" w:hAnsi="Times New Roman" w:eastAsia="宋体" w:cs="Times New Roman"/>
          <w:color w:val="auto"/>
          <w:sz w:val="24"/>
          <w:szCs w:val="24"/>
          <w:u w:val="none" w:color="auto"/>
        </w:rPr>
        <w:t>-1。</w:t>
      </w:r>
    </w:p>
    <w:p w14:paraId="5BB9B864">
      <w:pPr>
        <w:autoSpaceDE w:val="0"/>
        <w:autoSpaceDN w:val="0"/>
        <w:snapToGrid w:val="0"/>
        <w:jc w:val="center"/>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表</w:t>
      </w:r>
      <w:r>
        <w:rPr>
          <w:rFonts w:hint="eastAsia" w:ascii="Times New Roman" w:hAnsi="Times New Roman" w:eastAsia="宋体" w:cs="Times New Roman"/>
          <w:color w:val="auto"/>
          <w:sz w:val="24"/>
          <w:szCs w:val="24"/>
          <w:u w:val="none" w:color="auto"/>
        </w:rPr>
        <w:t>3.8</w:t>
      </w:r>
      <w:r>
        <w:rPr>
          <w:rFonts w:ascii="Times New Roman" w:hAnsi="Times New Roman" w:eastAsia="宋体" w:cs="Times New Roman"/>
          <w:color w:val="auto"/>
          <w:sz w:val="24"/>
          <w:szCs w:val="24"/>
          <w:u w:val="none" w:color="auto"/>
        </w:rPr>
        <w:t>-1  区域</w:t>
      </w:r>
      <w:r>
        <w:rPr>
          <w:rFonts w:hint="eastAsia" w:ascii="Times New Roman" w:hAnsi="Times New Roman" w:eastAsia="宋体" w:cs="Times New Roman"/>
          <w:color w:val="auto"/>
          <w:sz w:val="24"/>
          <w:szCs w:val="24"/>
          <w:u w:val="none" w:color="auto"/>
          <w:lang w:val="en-US" w:eastAsia="zh-CN"/>
        </w:rPr>
        <w:t>污染源</w:t>
      </w:r>
      <w:r>
        <w:rPr>
          <w:rFonts w:ascii="Times New Roman" w:hAnsi="Times New Roman" w:eastAsia="宋体" w:cs="Times New Roman"/>
          <w:color w:val="auto"/>
          <w:sz w:val="24"/>
          <w:szCs w:val="24"/>
          <w:u w:val="none" w:color="auto"/>
        </w:rPr>
        <w:t>排放情况</w:t>
      </w:r>
    </w:p>
    <w:tbl>
      <w:tblPr>
        <w:tblStyle w:val="3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2332"/>
        <w:gridCol w:w="1186"/>
        <w:gridCol w:w="882"/>
        <w:gridCol w:w="993"/>
        <w:gridCol w:w="899"/>
        <w:gridCol w:w="1126"/>
        <w:gridCol w:w="1109"/>
        <w:gridCol w:w="982"/>
        <w:gridCol w:w="854"/>
        <w:gridCol w:w="899"/>
        <w:gridCol w:w="854"/>
        <w:gridCol w:w="837"/>
        <w:gridCol w:w="784"/>
      </w:tblGrid>
      <w:tr w14:paraId="755FF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0" w:type="pct"/>
            <w:noWrap w:val="0"/>
            <w:vAlign w:val="center"/>
          </w:tcPr>
          <w:p w14:paraId="7F1E35F5">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823" w:type="pct"/>
            <w:noWrap w:val="0"/>
            <w:vAlign w:val="center"/>
          </w:tcPr>
          <w:p w14:paraId="175F397E">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企业名称</w:t>
            </w:r>
          </w:p>
        </w:tc>
        <w:tc>
          <w:tcPr>
            <w:tcW w:w="418" w:type="pct"/>
            <w:noWrap w:val="0"/>
            <w:vAlign w:val="center"/>
          </w:tcPr>
          <w:p w14:paraId="43D51909">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废气排放量（万m</w:t>
            </w:r>
            <w:r>
              <w:rPr>
                <w:rFonts w:hint="default" w:ascii="Times New Roman" w:hAnsi="Times New Roman" w:cs="Times New Roman"/>
                <w:color w:val="auto"/>
                <w:sz w:val="21"/>
                <w:szCs w:val="21"/>
                <w:u w:val="none" w:color="auto"/>
                <w:vertAlign w:val="superscript"/>
              </w:rPr>
              <w:t>3</w:t>
            </w:r>
            <w:r>
              <w:rPr>
                <w:rFonts w:hint="default" w:ascii="Times New Roman" w:hAnsi="Times New Roman" w:cs="Times New Roman"/>
                <w:color w:val="auto"/>
                <w:sz w:val="21"/>
                <w:szCs w:val="21"/>
                <w:u w:val="none" w:color="auto"/>
              </w:rPr>
              <w:t>/a）</w:t>
            </w:r>
          </w:p>
        </w:tc>
        <w:tc>
          <w:tcPr>
            <w:tcW w:w="311" w:type="pct"/>
            <w:noWrap w:val="0"/>
            <w:vAlign w:val="center"/>
          </w:tcPr>
          <w:p w14:paraId="006382EB">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二氧化硫（t/a）</w:t>
            </w:r>
          </w:p>
        </w:tc>
        <w:tc>
          <w:tcPr>
            <w:tcW w:w="350" w:type="pct"/>
            <w:noWrap w:val="0"/>
            <w:vAlign w:val="center"/>
          </w:tcPr>
          <w:p w14:paraId="392AD300">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氮氧化物（t/a）</w:t>
            </w:r>
          </w:p>
        </w:tc>
        <w:tc>
          <w:tcPr>
            <w:tcW w:w="317" w:type="pct"/>
            <w:noWrap w:val="0"/>
            <w:vAlign w:val="center"/>
          </w:tcPr>
          <w:p w14:paraId="2F4B57A7">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烟尘（t/a）</w:t>
            </w:r>
          </w:p>
        </w:tc>
        <w:tc>
          <w:tcPr>
            <w:tcW w:w="397" w:type="pct"/>
            <w:noWrap w:val="0"/>
            <w:vAlign w:val="center"/>
          </w:tcPr>
          <w:p w14:paraId="2C63C548">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VOCs(t/a)</w:t>
            </w:r>
          </w:p>
        </w:tc>
        <w:tc>
          <w:tcPr>
            <w:tcW w:w="391" w:type="pct"/>
            <w:noWrap w:val="0"/>
            <w:vAlign w:val="center"/>
          </w:tcPr>
          <w:p w14:paraId="1EB72D10">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工业废水万m</w:t>
            </w:r>
            <w:r>
              <w:rPr>
                <w:rFonts w:hint="default" w:ascii="Times New Roman" w:hAnsi="Times New Roman" w:cs="Times New Roman"/>
                <w:color w:val="auto"/>
                <w:sz w:val="21"/>
                <w:szCs w:val="21"/>
                <w:u w:val="none" w:color="auto"/>
                <w:vertAlign w:val="superscript"/>
              </w:rPr>
              <w:t>3</w:t>
            </w:r>
            <w:r>
              <w:rPr>
                <w:rFonts w:hint="default" w:ascii="Times New Roman" w:hAnsi="Times New Roman" w:cs="Times New Roman"/>
                <w:color w:val="auto"/>
                <w:sz w:val="21"/>
                <w:szCs w:val="21"/>
                <w:u w:val="none" w:color="auto"/>
              </w:rPr>
              <w:t>/a</w:t>
            </w:r>
          </w:p>
        </w:tc>
        <w:tc>
          <w:tcPr>
            <w:tcW w:w="346" w:type="pct"/>
            <w:noWrap w:val="0"/>
            <w:vAlign w:val="center"/>
          </w:tcPr>
          <w:p w14:paraId="403746BA">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化学需氧量（t/a）</w:t>
            </w:r>
          </w:p>
        </w:tc>
        <w:tc>
          <w:tcPr>
            <w:tcW w:w="301" w:type="pct"/>
            <w:noWrap w:val="0"/>
            <w:vAlign w:val="center"/>
          </w:tcPr>
          <w:p w14:paraId="58DDF7FE">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氨氮（t/a）</w:t>
            </w:r>
          </w:p>
        </w:tc>
        <w:tc>
          <w:tcPr>
            <w:tcW w:w="317" w:type="pct"/>
            <w:noWrap w:val="0"/>
            <w:vAlign w:val="center"/>
          </w:tcPr>
          <w:p w14:paraId="3AF46053">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一般工业固体废物（t/a）</w:t>
            </w:r>
          </w:p>
        </w:tc>
        <w:tc>
          <w:tcPr>
            <w:tcW w:w="301" w:type="pct"/>
            <w:noWrap w:val="0"/>
            <w:vAlign w:val="center"/>
          </w:tcPr>
          <w:p w14:paraId="76B91B51">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危险废物（t/a）</w:t>
            </w:r>
          </w:p>
        </w:tc>
        <w:tc>
          <w:tcPr>
            <w:tcW w:w="295" w:type="pct"/>
            <w:noWrap w:val="0"/>
            <w:vAlign w:val="center"/>
          </w:tcPr>
          <w:p w14:paraId="71B81E3C">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生活垃圾（t/a）</w:t>
            </w:r>
          </w:p>
        </w:tc>
        <w:tc>
          <w:tcPr>
            <w:tcW w:w="276" w:type="pct"/>
            <w:noWrap w:val="0"/>
            <w:vAlign w:val="center"/>
          </w:tcPr>
          <w:p w14:paraId="7B6AD7A3">
            <w:pPr>
              <w:pStyle w:val="124"/>
              <w:widowControl w:val="0"/>
              <w:pBdr>
                <w:left w:val="none" w:color="auto" w:sz="0" w:space="0"/>
                <w:bottom w:val="none" w:color="auto" w:sz="0" w:space="0"/>
                <w:right w:val="none" w:color="auto" w:sz="0" w:space="0"/>
              </w:pBdr>
              <w:spacing w:before="0" w:beforeAutospacing="0" w:after="0" w:afterAutospacing="0" w:line="0" w:lineRule="atLeast"/>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备注</w:t>
            </w:r>
          </w:p>
        </w:tc>
      </w:tr>
      <w:tr w14:paraId="46D30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noWrap w:val="0"/>
            <w:vAlign w:val="center"/>
          </w:tcPr>
          <w:p w14:paraId="12606E8D">
            <w:pPr>
              <w:pStyle w:val="157"/>
              <w:numPr>
                <w:ilvl w:val="0"/>
                <w:numId w:val="12"/>
              </w:numPr>
              <w:adjustRightInd w:val="0"/>
              <w:snapToGrid w:val="0"/>
              <w:spacing w:line="240" w:lineRule="atLeast"/>
              <w:jc w:val="center"/>
              <w:rPr>
                <w:rFonts w:hint="default" w:ascii="Times New Roman" w:hAnsi="Times New Roman" w:cs="Times New Roman"/>
                <w:color w:val="auto"/>
                <w:sz w:val="21"/>
                <w:szCs w:val="21"/>
                <w:u w:val="none" w:color="auto"/>
                <w:lang w:val="en-US" w:bidi="ar-SA"/>
              </w:rPr>
            </w:pPr>
          </w:p>
        </w:tc>
        <w:tc>
          <w:tcPr>
            <w:tcW w:w="823" w:type="pct"/>
            <w:noWrap w:val="0"/>
            <w:vAlign w:val="center"/>
          </w:tcPr>
          <w:p w14:paraId="02D70B17">
            <w:pPr>
              <w:pStyle w:val="158"/>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广西钦州澄星化工科技有限公司</w:t>
            </w:r>
          </w:p>
        </w:tc>
        <w:tc>
          <w:tcPr>
            <w:tcW w:w="418" w:type="pct"/>
            <w:noWrap w:val="0"/>
            <w:vAlign w:val="center"/>
          </w:tcPr>
          <w:p w14:paraId="5ECA9D2F">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20912</w:t>
            </w:r>
          </w:p>
        </w:tc>
        <w:tc>
          <w:tcPr>
            <w:tcW w:w="311" w:type="pct"/>
            <w:noWrap w:val="0"/>
            <w:vAlign w:val="center"/>
          </w:tcPr>
          <w:p w14:paraId="565AB615">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50" w:type="pct"/>
            <w:noWrap w:val="0"/>
            <w:vAlign w:val="center"/>
          </w:tcPr>
          <w:p w14:paraId="178AEEA2">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17" w:type="pct"/>
            <w:noWrap w:val="0"/>
            <w:vAlign w:val="center"/>
          </w:tcPr>
          <w:p w14:paraId="28C56B38">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97" w:type="pct"/>
            <w:noWrap w:val="0"/>
            <w:vAlign w:val="center"/>
          </w:tcPr>
          <w:p w14:paraId="3118F49D">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91" w:type="pct"/>
            <w:noWrap w:val="0"/>
            <w:vAlign w:val="center"/>
          </w:tcPr>
          <w:p w14:paraId="3BEF07C1">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46" w:type="pct"/>
            <w:noWrap w:val="0"/>
            <w:vAlign w:val="center"/>
          </w:tcPr>
          <w:p w14:paraId="306BFADD">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01" w:type="pct"/>
            <w:noWrap w:val="0"/>
            <w:vAlign w:val="center"/>
          </w:tcPr>
          <w:p w14:paraId="66651BE3">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17" w:type="pct"/>
            <w:noWrap w:val="0"/>
            <w:vAlign w:val="center"/>
          </w:tcPr>
          <w:p w14:paraId="6FFE37E5">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301" w:type="pct"/>
            <w:noWrap w:val="0"/>
            <w:vAlign w:val="center"/>
          </w:tcPr>
          <w:p w14:paraId="29C5FA72">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30</w:t>
            </w:r>
          </w:p>
        </w:tc>
        <w:tc>
          <w:tcPr>
            <w:tcW w:w="295" w:type="pct"/>
            <w:noWrap w:val="0"/>
            <w:vAlign w:val="center"/>
          </w:tcPr>
          <w:p w14:paraId="656BB965">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c>
          <w:tcPr>
            <w:tcW w:w="276" w:type="pct"/>
            <w:noWrap w:val="0"/>
            <w:vAlign w:val="center"/>
          </w:tcPr>
          <w:p w14:paraId="5CAF26CB">
            <w:pPr>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已建</w:t>
            </w:r>
          </w:p>
        </w:tc>
      </w:tr>
      <w:tr w14:paraId="7FB2C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noWrap w:val="0"/>
            <w:vAlign w:val="center"/>
          </w:tcPr>
          <w:p w14:paraId="27A9B06A">
            <w:pPr>
              <w:pStyle w:val="157"/>
              <w:numPr>
                <w:ilvl w:val="0"/>
                <w:numId w:val="12"/>
              </w:numPr>
              <w:adjustRightInd w:val="0"/>
              <w:snapToGrid w:val="0"/>
              <w:spacing w:line="240" w:lineRule="atLeast"/>
              <w:jc w:val="center"/>
              <w:rPr>
                <w:rFonts w:hint="default" w:ascii="Times New Roman" w:hAnsi="Times New Roman" w:cs="Times New Roman"/>
                <w:color w:val="auto"/>
                <w:sz w:val="21"/>
                <w:szCs w:val="21"/>
                <w:u w:val="single" w:color="auto"/>
                <w:lang w:val="en-US" w:bidi="ar-SA"/>
              </w:rPr>
            </w:pPr>
          </w:p>
        </w:tc>
        <w:tc>
          <w:tcPr>
            <w:tcW w:w="823" w:type="pct"/>
            <w:noWrap w:val="0"/>
            <w:vAlign w:val="center"/>
          </w:tcPr>
          <w:p w14:paraId="3F1F158A">
            <w:pPr>
              <w:pStyle w:val="158"/>
              <w:jc w:val="center"/>
              <w:rPr>
                <w:rFonts w:hint="default"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钦州锦峰海洋重工年产20万吨海洋重装项目</w:t>
            </w:r>
          </w:p>
        </w:tc>
        <w:tc>
          <w:tcPr>
            <w:tcW w:w="418" w:type="pct"/>
            <w:noWrap w:val="0"/>
            <w:vAlign w:val="center"/>
          </w:tcPr>
          <w:p w14:paraId="4585CD86">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190080</w:t>
            </w:r>
          </w:p>
        </w:tc>
        <w:tc>
          <w:tcPr>
            <w:tcW w:w="311" w:type="pct"/>
            <w:noWrap/>
            <w:vAlign w:val="center"/>
          </w:tcPr>
          <w:p w14:paraId="458AC82B">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50" w:type="pct"/>
            <w:noWrap/>
            <w:vAlign w:val="center"/>
          </w:tcPr>
          <w:p w14:paraId="34CD89A9">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0.0792</w:t>
            </w:r>
          </w:p>
        </w:tc>
        <w:tc>
          <w:tcPr>
            <w:tcW w:w="317" w:type="pct"/>
            <w:noWrap/>
            <w:vAlign w:val="center"/>
          </w:tcPr>
          <w:p w14:paraId="647D9D76">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11.452</w:t>
            </w:r>
          </w:p>
        </w:tc>
        <w:tc>
          <w:tcPr>
            <w:tcW w:w="397" w:type="pct"/>
            <w:noWrap w:val="0"/>
            <w:vAlign w:val="center"/>
          </w:tcPr>
          <w:p w14:paraId="2D291923">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6.756</w:t>
            </w:r>
          </w:p>
        </w:tc>
        <w:tc>
          <w:tcPr>
            <w:tcW w:w="391" w:type="pct"/>
            <w:noWrap/>
            <w:vAlign w:val="center"/>
          </w:tcPr>
          <w:p w14:paraId="57A28156">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46" w:type="pct"/>
            <w:noWrap/>
            <w:vAlign w:val="center"/>
          </w:tcPr>
          <w:p w14:paraId="4EF7BE5D">
            <w:pPr>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01" w:type="pct"/>
            <w:noWrap/>
            <w:vAlign w:val="center"/>
          </w:tcPr>
          <w:p w14:paraId="503A5E94">
            <w:pPr>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7" w:type="pct"/>
            <w:noWrap/>
            <w:vAlign w:val="center"/>
          </w:tcPr>
          <w:p w14:paraId="2E686054">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3258.608</w:t>
            </w:r>
          </w:p>
        </w:tc>
        <w:tc>
          <w:tcPr>
            <w:tcW w:w="301" w:type="pct"/>
            <w:noWrap/>
            <w:vAlign w:val="center"/>
          </w:tcPr>
          <w:p w14:paraId="10B65454">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70.043</w:t>
            </w:r>
          </w:p>
        </w:tc>
        <w:tc>
          <w:tcPr>
            <w:tcW w:w="295" w:type="pct"/>
            <w:noWrap/>
            <w:vAlign w:val="center"/>
          </w:tcPr>
          <w:p w14:paraId="44F869A7">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49.5</w:t>
            </w:r>
          </w:p>
        </w:tc>
        <w:tc>
          <w:tcPr>
            <w:tcW w:w="276" w:type="pct"/>
            <w:noWrap w:val="0"/>
            <w:vAlign w:val="center"/>
          </w:tcPr>
          <w:p w14:paraId="5C81E8E3">
            <w:pPr>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已建</w:t>
            </w:r>
          </w:p>
        </w:tc>
      </w:tr>
      <w:tr w14:paraId="44CDB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noWrap w:val="0"/>
            <w:vAlign w:val="center"/>
          </w:tcPr>
          <w:p w14:paraId="6D9CBCF1">
            <w:pPr>
              <w:pStyle w:val="157"/>
              <w:numPr>
                <w:ilvl w:val="0"/>
                <w:numId w:val="12"/>
              </w:numPr>
              <w:adjustRightInd w:val="0"/>
              <w:snapToGrid w:val="0"/>
              <w:spacing w:line="240" w:lineRule="atLeast"/>
              <w:jc w:val="center"/>
              <w:rPr>
                <w:rFonts w:hint="default" w:ascii="Times New Roman" w:hAnsi="Times New Roman" w:cs="Times New Roman"/>
                <w:color w:val="auto"/>
                <w:sz w:val="21"/>
                <w:szCs w:val="21"/>
                <w:u w:val="single" w:color="auto"/>
                <w:lang w:val="en-US" w:bidi="ar-SA"/>
              </w:rPr>
            </w:pPr>
          </w:p>
        </w:tc>
        <w:tc>
          <w:tcPr>
            <w:tcW w:w="823" w:type="pct"/>
            <w:noWrap w:val="0"/>
            <w:vAlign w:val="center"/>
          </w:tcPr>
          <w:p w14:paraId="03FB4DB0">
            <w:pPr>
              <w:pStyle w:val="158"/>
              <w:jc w:val="center"/>
              <w:rPr>
                <w:rFonts w:hint="eastAsia"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广西中伟新能源项目一期新能源材料一体化项目</w:t>
            </w:r>
          </w:p>
        </w:tc>
        <w:tc>
          <w:tcPr>
            <w:tcW w:w="418" w:type="pct"/>
            <w:noWrap w:val="0"/>
            <w:vAlign w:val="center"/>
          </w:tcPr>
          <w:p w14:paraId="4830DD35">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517188</w:t>
            </w:r>
          </w:p>
        </w:tc>
        <w:tc>
          <w:tcPr>
            <w:tcW w:w="311" w:type="pct"/>
            <w:noWrap/>
            <w:vAlign w:val="center"/>
          </w:tcPr>
          <w:p w14:paraId="64D3BAB3">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50" w:type="pct"/>
            <w:noWrap/>
            <w:vAlign w:val="center"/>
          </w:tcPr>
          <w:p w14:paraId="3F54D17E">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7" w:type="pct"/>
            <w:noWrap/>
            <w:vAlign w:val="center"/>
          </w:tcPr>
          <w:p w14:paraId="03EA502D">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124.527</w:t>
            </w:r>
          </w:p>
        </w:tc>
        <w:tc>
          <w:tcPr>
            <w:tcW w:w="397" w:type="pct"/>
            <w:noWrap w:val="0"/>
            <w:vAlign w:val="center"/>
          </w:tcPr>
          <w:p w14:paraId="24B40410">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0.123</w:t>
            </w:r>
          </w:p>
        </w:tc>
        <w:tc>
          <w:tcPr>
            <w:tcW w:w="391" w:type="pct"/>
            <w:noWrap/>
            <w:vAlign w:val="center"/>
          </w:tcPr>
          <w:p w14:paraId="08101B01">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46" w:type="pct"/>
            <w:noWrap/>
            <w:vAlign w:val="center"/>
          </w:tcPr>
          <w:p w14:paraId="59557FA9">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01" w:type="pct"/>
            <w:noWrap/>
            <w:vAlign w:val="center"/>
          </w:tcPr>
          <w:p w14:paraId="47695429">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7" w:type="pct"/>
            <w:noWrap/>
            <w:vAlign w:val="center"/>
          </w:tcPr>
          <w:p w14:paraId="1CA051FF">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01" w:type="pct"/>
            <w:noWrap/>
            <w:vAlign w:val="center"/>
          </w:tcPr>
          <w:p w14:paraId="493665C2">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295" w:type="pct"/>
            <w:noWrap/>
            <w:vAlign w:val="center"/>
          </w:tcPr>
          <w:p w14:paraId="243E8EA7">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276" w:type="pct"/>
            <w:noWrap w:val="0"/>
            <w:vAlign w:val="center"/>
          </w:tcPr>
          <w:p w14:paraId="772019A0">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已建</w:t>
            </w:r>
          </w:p>
        </w:tc>
      </w:tr>
      <w:tr w14:paraId="3382F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noWrap w:val="0"/>
            <w:vAlign w:val="center"/>
          </w:tcPr>
          <w:p w14:paraId="3031F5AD">
            <w:pPr>
              <w:pStyle w:val="157"/>
              <w:numPr>
                <w:ilvl w:val="0"/>
                <w:numId w:val="12"/>
              </w:numPr>
              <w:adjustRightInd w:val="0"/>
              <w:snapToGrid w:val="0"/>
              <w:spacing w:line="240" w:lineRule="atLeast"/>
              <w:jc w:val="center"/>
              <w:rPr>
                <w:rFonts w:hint="default" w:ascii="Times New Roman" w:hAnsi="Times New Roman" w:cs="Times New Roman"/>
                <w:color w:val="auto"/>
                <w:sz w:val="21"/>
                <w:szCs w:val="21"/>
                <w:u w:val="single" w:color="auto"/>
                <w:lang w:val="en-US" w:bidi="ar-SA"/>
              </w:rPr>
            </w:pPr>
          </w:p>
        </w:tc>
        <w:tc>
          <w:tcPr>
            <w:tcW w:w="823" w:type="pct"/>
            <w:noWrap w:val="0"/>
            <w:vAlign w:val="center"/>
          </w:tcPr>
          <w:p w14:paraId="252B6627">
            <w:pPr>
              <w:pStyle w:val="158"/>
              <w:jc w:val="center"/>
              <w:rPr>
                <w:rFonts w:hint="eastAsia" w:ascii="Times New Roman" w:hAnsi="Times New Roman" w:cs="Times New Roman"/>
                <w:color w:val="auto"/>
                <w:sz w:val="21"/>
                <w:szCs w:val="21"/>
                <w:u w:val="single" w:color="auto"/>
              </w:rPr>
            </w:pPr>
            <w:r>
              <w:rPr>
                <w:rFonts w:hint="eastAsia" w:ascii="Times New Roman" w:hAnsi="Times New Roman" w:eastAsia="宋体" w:cs="Times New Roman"/>
                <w:color w:val="auto"/>
                <w:spacing w:val="-9"/>
                <w:szCs w:val="21"/>
                <w:u w:val="none" w:color="auto"/>
              </w:rPr>
              <w:t>北部湾港钦州港域大榄坪港区大榄坪南作业区9号10号泊位扩建工程</w:t>
            </w:r>
          </w:p>
        </w:tc>
        <w:tc>
          <w:tcPr>
            <w:tcW w:w="418" w:type="pct"/>
            <w:noWrap w:val="0"/>
            <w:vAlign w:val="center"/>
          </w:tcPr>
          <w:p w14:paraId="7366F00C">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1" w:type="pct"/>
            <w:noWrap/>
            <w:vAlign w:val="center"/>
          </w:tcPr>
          <w:p w14:paraId="6C8678F7">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50" w:type="pct"/>
            <w:noWrap/>
            <w:vAlign w:val="center"/>
          </w:tcPr>
          <w:p w14:paraId="5C402C17">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7" w:type="pct"/>
            <w:noWrap/>
            <w:vAlign w:val="center"/>
          </w:tcPr>
          <w:p w14:paraId="00FE53CA">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97" w:type="pct"/>
            <w:noWrap w:val="0"/>
            <w:vAlign w:val="center"/>
          </w:tcPr>
          <w:p w14:paraId="5F8BCCE7">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6.135</w:t>
            </w:r>
          </w:p>
        </w:tc>
        <w:tc>
          <w:tcPr>
            <w:tcW w:w="391" w:type="pct"/>
            <w:noWrap/>
            <w:vAlign w:val="center"/>
          </w:tcPr>
          <w:p w14:paraId="5F5C4F02">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46" w:type="pct"/>
            <w:noWrap/>
            <w:vAlign w:val="center"/>
          </w:tcPr>
          <w:p w14:paraId="511D520F">
            <w:pPr>
              <w:jc w:val="both"/>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01" w:type="pct"/>
            <w:noWrap/>
            <w:vAlign w:val="center"/>
          </w:tcPr>
          <w:p w14:paraId="216A3FA3">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17" w:type="pct"/>
            <w:noWrap/>
            <w:vAlign w:val="center"/>
          </w:tcPr>
          <w:p w14:paraId="650E649C">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301" w:type="pct"/>
            <w:noWrap/>
            <w:vAlign w:val="center"/>
          </w:tcPr>
          <w:p w14:paraId="280A0AD2">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295" w:type="pct"/>
            <w:noWrap/>
            <w:vAlign w:val="center"/>
          </w:tcPr>
          <w:p w14:paraId="588071D2">
            <w:pPr>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w:t>
            </w:r>
          </w:p>
        </w:tc>
        <w:tc>
          <w:tcPr>
            <w:tcW w:w="276" w:type="pct"/>
            <w:noWrap w:val="0"/>
            <w:vAlign w:val="center"/>
          </w:tcPr>
          <w:p w14:paraId="2FE211DC">
            <w:pPr>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在建</w:t>
            </w:r>
          </w:p>
        </w:tc>
      </w:tr>
    </w:tbl>
    <w:p w14:paraId="11949FB7">
      <w:pPr>
        <w:autoSpaceDE w:val="0"/>
        <w:autoSpaceDN w:val="0"/>
        <w:rPr>
          <w:rFonts w:ascii="Times New Roman" w:hAnsi="Times New Roman" w:eastAsia="黑体" w:cs="Times New Roman"/>
          <w:color w:val="auto"/>
          <w:sz w:val="24"/>
          <w:szCs w:val="24"/>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6161585">
      <w:pPr>
        <w:autoSpaceDE w:val="0"/>
        <w:autoSpaceDN w:val="0"/>
        <w:rPr>
          <w:color w:val="auto"/>
        </w:rPr>
      </w:pPr>
    </w:p>
    <w:p w14:paraId="4A45D865">
      <w:pPr>
        <w:autoSpaceDE w:val="0"/>
        <w:autoSpaceDN w:val="0"/>
        <w:rPr>
          <w:color w:val="auto"/>
        </w:rPr>
      </w:pPr>
      <w:r>
        <w:rPr>
          <w:color w:val="auto"/>
        </w:rPr>
        <w:drawing>
          <wp:inline distT="0" distB="0" distL="114300" distR="114300">
            <wp:extent cx="5272405" cy="4735830"/>
            <wp:effectExtent l="0" t="0" r="4445" b="762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39"/>
                    <a:stretch>
                      <a:fillRect/>
                    </a:stretch>
                  </pic:blipFill>
                  <pic:spPr>
                    <a:xfrm>
                      <a:off x="0" y="0"/>
                      <a:ext cx="5272405" cy="4735830"/>
                    </a:xfrm>
                    <a:prstGeom prst="rect">
                      <a:avLst/>
                    </a:prstGeom>
                    <a:noFill/>
                    <a:ln>
                      <a:noFill/>
                    </a:ln>
                  </pic:spPr>
                </pic:pic>
              </a:graphicData>
            </a:graphic>
          </wp:inline>
        </w:drawing>
      </w:r>
    </w:p>
    <w:p w14:paraId="34046E2A">
      <w:pPr>
        <w:autoSpaceDE w:val="0"/>
        <w:autoSpaceDN w:val="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图3.8-1 区域污染源分布图</w:t>
      </w:r>
    </w:p>
    <w:p w14:paraId="7B0FB9A7">
      <w:pPr>
        <w:autoSpaceDE w:val="0"/>
        <w:autoSpaceDN w:val="0"/>
        <w:rPr>
          <w:color w:val="auto"/>
        </w:rPr>
      </w:pPr>
    </w:p>
    <w:p w14:paraId="4F077CA5">
      <w:pPr>
        <w:autoSpaceDE w:val="0"/>
        <w:autoSpaceDN w:val="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7CB3FBD">
      <w:pPr>
        <w:pStyle w:val="2"/>
        <w:bidi w:val="0"/>
        <w:rPr>
          <w:color w:val="auto"/>
          <w:u w:val="none" w:color="auto"/>
        </w:rPr>
      </w:pPr>
      <w:bookmarkStart w:id="219" w:name="_Toc15968"/>
      <w:bookmarkStart w:id="220" w:name="_Toc3728218"/>
      <w:r>
        <w:rPr>
          <w:color w:val="auto"/>
          <w:u w:val="none" w:color="auto"/>
        </w:rPr>
        <w:t>环境影响预测与评价</w:t>
      </w:r>
      <w:bookmarkEnd w:id="219"/>
      <w:bookmarkEnd w:id="220"/>
    </w:p>
    <w:p w14:paraId="32BCAE4A">
      <w:pPr>
        <w:pStyle w:val="3"/>
        <w:bidi w:val="0"/>
        <w:rPr>
          <w:color w:val="auto"/>
          <w:u w:val="none" w:color="auto"/>
        </w:rPr>
      </w:pPr>
      <w:bookmarkStart w:id="221" w:name="_Toc14681"/>
      <w:r>
        <w:rPr>
          <w:color w:val="auto"/>
          <w:u w:val="none" w:color="auto"/>
        </w:rPr>
        <w:t>施工</w:t>
      </w:r>
      <w:r>
        <w:rPr>
          <w:rFonts w:hint="eastAsia"/>
          <w:color w:val="auto"/>
          <w:u w:val="none" w:color="auto"/>
          <w:lang w:eastAsia="zh-CN"/>
        </w:rPr>
        <w:t>环境影响</w:t>
      </w:r>
      <w:r>
        <w:rPr>
          <w:color w:val="auto"/>
          <w:u w:val="none" w:color="auto"/>
        </w:rPr>
        <w:t>分析</w:t>
      </w:r>
      <w:bookmarkEnd w:id="221"/>
    </w:p>
    <w:p w14:paraId="7EFEA043">
      <w:pPr>
        <w:autoSpaceDE w:val="0"/>
        <w:autoSpaceDN w:val="0"/>
        <w:spacing w:line="360" w:lineRule="auto"/>
        <w:ind w:firstLine="496" w:firstLineChars="200"/>
        <w:jc w:val="left"/>
        <w:rPr>
          <w:rFonts w:ascii="Times New Roman" w:hAnsi="Times New Roman" w:eastAsia="宋体" w:cs="Times New Roman"/>
          <w:color w:val="auto"/>
          <w:spacing w:val="4"/>
          <w:sz w:val="24"/>
          <w:szCs w:val="24"/>
          <w:u w:val="single" w:color="auto"/>
        </w:rPr>
      </w:pPr>
      <w:r>
        <w:rPr>
          <w:rFonts w:ascii="Times New Roman" w:hAnsi="Times New Roman" w:eastAsia="宋体" w:cs="Times New Roman"/>
          <w:color w:val="auto"/>
          <w:spacing w:val="4"/>
          <w:sz w:val="24"/>
          <w:szCs w:val="24"/>
          <w:u w:val="single" w:color="auto"/>
        </w:rPr>
        <w:t>本项目施工期为</w:t>
      </w:r>
      <w:r>
        <w:rPr>
          <w:rFonts w:hint="eastAsia" w:ascii="Times New Roman" w:hAnsi="Times New Roman" w:eastAsia="宋体" w:cs="Times New Roman"/>
          <w:color w:val="auto"/>
          <w:spacing w:val="4"/>
          <w:sz w:val="24"/>
          <w:szCs w:val="24"/>
          <w:u w:val="single" w:color="auto"/>
          <w:lang w:val="en-US" w:eastAsia="zh-CN"/>
        </w:rPr>
        <w:t>12</w:t>
      </w:r>
      <w:r>
        <w:rPr>
          <w:rFonts w:ascii="Times New Roman" w:hAnsi="Times New Roman" w:eastAsia="宋体" w:cs="Times New Roman"/>
          <w:color w:val="auto"/>
          <w:spacing w:val="4"/>
          <w:sz w:val="24"/>
          <w:szCs w:val="24"/>
          <w:u w:val="single" w:color="auto"/>
        </w:rPr>
        <w:t>个月，拟建项目施工期产生的污染物主要有施工废水、施工生活垃圾、施工噪声等。</w:t>
      </w:r>
    </w:p>
    <w:p w14:paraId="3A8BAC5D">
      <w:pPr>
        <w:spacing w:line="360" w:lineRule="auto"/>
        <w:outlineLvl w:val="2"/>
        <w:rPr>
          <w:rFonts w:ascii="Times New Roman" w:hAnsi="Times New Roman" w:eastAsia="宋体" w:cs="Times New Roman"/>
          <w:b/>
          <w:color w:val="auto"/>
          <w:sz w:val="28"/>
          <w:szCs w:val="28"/>
          <w:u w:val="none" w:color="auto"/>
        </w:rPr>
      </w:pPr>
      <w:r>
        <w:rPr>
          <w:rFonts w:ascii="Times New Roman" w:hAnsi="Times New Roman" w:eastAsia="宋体" w:cs="Times New Roman"/>
          <w:b/>
          <w:color w:val="auto"/>
          <w:sz w:val="28"/>
          <w:szCs w:val="28"/>
          <w:u w:val="none" w:color="auto"/>
        </w:rPr>
        <w:t>4.1.1施工期大气环境影响分析</w:t>
      </w:r>
    </w:p>
    <w:p w14:paraId="5E0E6439">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施工期建筑材料的运输、装卸过程中粉尘散落到周围空气中；建筑材料堆放期间由于风吹会引起扬尘污染，尤其是干燥天气风速较大或汽车行驶速度较快的情况下，扬尘污染更为严重。施工地段和汽车通过道路扬尘浓度大小与离源强的距离有关，据类似施工场地监测资料，源强处为11.03mg/m</w:t>
      </w:r>
      <w:r>
        <w:rPr>
          <w:rFonts w:ascii="Times New Roman" w:hAnsi="Times New Roman" w:eastAsia="宋体" w:cs="Times New Roman"/>
          <w:bCs/>
          <w:color w:val="auto"/>
          <w:sz w:val="24"/>
          <w:u w:val="none" w:color="auto"/>
          <w:vertAlign w:val="superscript"/>
        </w:rPr>
        <w:t>3</w:t>
      </w:r>
      <w:r>
        <w:rPr>
          <w:rFonts w:ascii="Times New Roman" w:hAnsi="Times New Roman" w:eastAsia="宋体" w:cs="Times New Roman"/>
          <w:bCs/>
          <w:color w:val="auto"/>
          <w:sz w:val="24"/>
          <w:u w:val="none" w:color="auto"/>
        </w:rPr>
        <w:t>，距源强20m处为2.89mg/m</w:t>
      </w:r>
      <w:r>
        <w:rPr>
          <w:rFonts w:ascii="Times New Roman" w:hAnsi="Times New Roman" w:eastAsia="宋体" w:cs="Times New Roman"/>
          <w:bCs/>
          <w:color w:val="auto"/>
          <w:sz w:val="24"/>
          <w:u w:val="none" w:color="auto"/>
          <w:vertAlign w:val="superscript"/>
        </w:rPr>
        <w:t>3</w:t>
      </w:r>
      <w:r>
        <w:rPr>
          <w:rFonts w:ascii="Times New Roman" w:hAnsi="Times New Roman" w:eastAsia="宋体" w:cs="Times New Roman"/>
          <w:bCs/>
          <w:color w:val="auto"/>
          <w:sz w:val="24"/>
          <w:u w:val="none" w:color="auto"/>
        </w:rPr>
        <w:t>，距源强50m处为1.15mg/m</w:t>
      </w:r>
      <w:r>
        <w:rPr>
          <w:rFonts w:ascii="Times New Roman" w:hAnsi="Times New Roman" w:eastAsia="宋体" w:cs="Times New Roman"/>
          <w:bCs/>
          <w:color w:val="auto"/>
          <w:sz w:val="24"/>
          <w:u w:val="none" w:color="auto"/>
          <w:vertAlign w:val="superscript"/>
        </w:rPr>
        <w:t>3</w:t>
      </w:r>
      <w:r>
        <w:rPr>
          <w:rFonts w:ascii="Times New Roman" w:hAnsi="Times New Roman" w:eastAsia="宋体" w:cs="Times New Roman"/>
          <w:bCs/>
          <w:color w:val="auto"/>
          <w:sz w:val="24"/>
          <w:u w:val="none" w:color="auto"/>
        </w:rPr>
        <w:t>，厂界200m范围外受到影响不大。</w:t>
      </w:r>
    </w:p>
    <w:p w14:paraId="1BF38CFE">
      <w:pPr>
        <w:pStyle w:val="48"/>
        <w:spacing w:line="360" w:lineRule="auto"/>
        <w:ind w:firstLine="480" w:firstLineChars="200"/>
        <w:jc w:val="both"/>
        <w:rPr>
          <w:rFonts w:hint="default" w:ascii="Times New Roman" w:hAnsi="Times New Roman" w:eastAsia="宋体"/>
          <w:color w:val="auto"/>
          <w:u w:val="none" w:color="auto"/>
        </w:rPr>
      </w:pPr>
      <w:r>
        <w:rPr>
          <w:rFonts w:hint="default" w:ascii="Times New Roman" w:hAnsi="Times New Roman" w:eastAsia="宋体"/>
          <w:color w:val="auto"/>
          <w:u w:val="none" w:color="auto"/>
        </w:rPr>
        <w:t>机械废气主要来自运输车辆、施工机械等燃油机械排放的废气，主要污染物为CO、NO</w:t>
      </w:r>
      <w:r>
        <w:rPr>
          <w:rFonts w:hint="default" w:ascii="Times New Roman" w:hAnsi="Times New Roman" w:eastAsia="宋体"/>
          <w:color w:val="auto"/>
          <w:u w:val="none" w:color="auto"/>
          <w:vertAlign w:val="subscript"/>
        </w:rPr>
        <w:t>2</w:t>
      </w:r>
      <w:r>
        <w:rPr>
          <w:rFonts w:hint="default" w:ascii="Times New Roman" w:hAnsi="Times New Roman" w:eastAsia="宋体"/>
          <w:color w:val="auto"/>
          <w:u w:val="none" w:color="auto"/>
        </w:rPr>
        <w:t>、HC等，属短暂间歇排放。由于施工机械多为大型机械，单车排放系数较大，但施工机械数量少且较分散，污染物在空气中的稀释扩散较快，据类似项目施工现场监测结果，在距离现场100m处CO、NO</w:t>
      </w:r>
      <w:r>
        <w:rPr>
          <w:rFonts w:hint="default" w:ascii="Times New Roman" w:hAnsi="Times New Roman" w:eastAsia="宋体"/>
          <w:color w:val="auto"/>
          <w:u w:val="none" w:color="auto"/>
          <w:vertAlign w:val="subscript"/>
        </w:rPr>
        <w:t>2</w:t>
      </w:r>
      <w:r>
        <w:rPr>
          <w:rFonts w:hint="default" w:ascii="Times New Roman" w:hAnsi="Times New Roman" w:eastAsia="宋体"/>
          <w:color w:val="auto"/>
          <w:u w:val="none" w:color="auto"/>
        </w:rPr>
        <w:t>小时平均浓度分别为0.2mg/m</w:t>
      </w:r>
      <w:r>
        <w:rPr>
          <w:rFonts w:hint="default" w:ascii="Times New Roman" w:hAnsi="Times New Roman" w:eastAsia="宋体"/>
          <w:color w:val="auto"/>
          <w:u w:val="none" w:color="auto"/>
          <w:vertAlign w:val="superscript"/>
        </w:rPr>
        <w:t>3</w:t>
      </w:r>
      <w:r>
        <w:rPr>
          <w:rFonts w:hint="default" w:ascii="Times New Roman" w:hAnsi="Times New Roman" w:eastAsia="宋体"/>
          <w:color w:val="auto"/>
          <w:u w:val="none" w:color="auto"/>
        </w:rPr>
        <w:t>和0.11mg/m</w:t>
      </w:r>
      <w:r>
        <w:rPr>
          <w:rFonts w:hint="default" w:ascii="Times New Roman" w:hAnsi="Times New Roman" w:eastAsia="宋体"/>
          <w:color w:val="auto"/>
          <w:u w:val="none" w:color="auto"/>
          <w:vertAlign w:val="superscript"/>
        </w:rPr>
        <w:t>3</w:t>
      </w:r>
      <w:r>
        <w:rPr>
          <w:rFonts w:hint="default" w:ascii="Times New Roman" w:hAnsi="Times New Roman" w:eastAsia="宋体"/>
          <w:color w:val="auto"/>
          <w:u w:val="none" w:color="auto"/>
        </w:rPr>
        <w:t>；日平均浓度分别为0.13mg/m</w:t>
      </w:r>
      <w:r>
        <w:rPr>
          <w:rFonts w:hint="default" w:ascii="Times New Roman" w:hAnsi="Times New Roman" w:eastAsia="宋体"/>
          <w:color w:val="auto"/>
          <w:u w:val="none" w:color="auto"/>
          <w:vertAlign w:val="superscript"/>
        </w:rPr>
        <w:t>3</w:t>
      </w:r>
      <w:r>
        <w:rPr>
          <w:rFonts w:hint="default" w:ascii="Times New Roman" w:hAnsi="Times New Roman" w:eastAsia="宋体"/>
          <w:color w:val="auto"/>
          <w:u w:val="none" w:color="auto"/>
        </w:rPr>
        <w:t>和0.062mg/m</w:t>
      </w:r>
      <w:r>
        <w:rPr>
          <w:rFonts w:hint="default" w:ascii="Times New Roman" w:hAnsi="Times New Roman" w:eastAsia="宋体"/>
          <w:color w:val="auto"/>
          <w:u w:val="none" w:color="auto"/>
          <w:vertAlign w:val="superscript"/>
        </w:rPr>
        <w:t>3</w:t>
      </w:r>
      <w:r>
        <w:rPr>
          <w:rFonts w:hint="default" w:ascii="Times New Roman" w:hAnsi="Times New Roman" w:eastAsia="宋体"/>
          <w:color w:val="auto"/>
          <w:u w:val="none" w:color="auto"/>
        </w:rPr>
        <w:t>，能满足《环境空气质量标准》（GB3095-2012）二级标准，对周边敏感点影响不大。</w:t>
      </w:r>
    </w:p>
    <w:p w14:paraId="12B0E9C0">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总体而言，施工期空气污染的影响范围和程度均是有限的。</w:t>
      </w:r>
    </w:p>
    <w:p w14:paraId="7CE3C2E6">
      <w:pPr>
        <w:spacing w:line="360" w:lineRule="auto"/>
        <w:outlineLvl w:val="2"/>
        <w:rPr>
          <w:rFonts w:ascii="Times New Roman" w:hAnsi="Times New Roman" w:eastAsia="宋体" w:cs="Times New Roman"/>
          <w:b/>
          <w:color w:val="auto"/>
          <w:sz w:val="28"/>
          <w:szCs w:val="28"/>
          <w:u w:val="none" w:color="auto"/>
        </w:rPr>
      </w:pPr>
      <w:r>
        <w:rPr>
          <w:rFonts w:ascii="Times New Roman" w:hAnsi="Times New Roman" w:eastAsia="宋体" w:cs="Times New Roman"/>
          <w:b/>
          <w:color w:val="auto"/>
          <w:sz w:val="28"/>
          <w:szCs w:val="28"/>
          <w:u w:val="none" w:color="auto"/>
        </w:rPr>
        <w:t>4.1.2施工期水环境影响分析</w:t>
      </w:r>
    </w:p>
    <w:p w14:paraId="7269E233">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（1）生活污水</w:t>
      </w:r>
    </w:p>
    <w:p w14:paraId="68F88E29">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建筑施工所排放的污水主要是施工人员所排放的生活污水。本项目施工高峰期人数约</w:t>
      </w:r>
      <w:r>
        <w:rPr>
          <w:rFonts w:hint="eastAsia" w:ascii="Times New Roman" w:hAnsi="Times New Roman" w:eastAsia="宋体" w:cs="Times New Roman"/>
          <w:bCs/>
          <w:color w:val="auto"/>
          <w:sz w:val="24"/>
          <w:u w:val="none" w:color="auto"/>
        </w:rPr>
        <w:t>5</w:t>
      </w:r>
      <w:r>
        <w:rPr>
          <w:rFonts w:ascii="Times New Roman" w:hAnsi="Times New Roman" w:eastAsia="宋体" w:cs="Times New Roman"/>
          <w:bCs/>
          <w:color w:val="auto"/>
          <w:sz w:val="24"/>
          <w:u w:val="none" w:color="auto"/>
        </w:rPr>
        <w:t>0人，生活污水排放量按</w:t>
      </w:r>
      <w:r>
        <w:rPr>
          <w:rFonts w:hint="eastAsia" w:ascii="Times New Roman" w:hAnsi="Times New Roman" w:eastAsia="宋体" w:cs="Times New Roman"/>
          <w:bCs/>
          <w:color w:val="auto"/>
          <w:sz w:val="24"/>
          <w:u w:val="none" w:color="auto"/>
        </w:rPr>
        <w:t>4</w:t>
      </w:r>
      <w:r>
        <w:rPr>
          <w:rFonts w:ascii="Times New Roman" w:hAnsi="Times New Roman" w:eastAsia="宋体" w:cs="Times New Roman"/>
          <w:bCs/>
          <w:color w:val="auto"/>
          <w:sz w:val="24"/>
          <w:u w:val="none" w:color="auto"/>
        </w:rPr>
        <w:t>0L/人•d计，则生活污水排放量为</w:t>
      </w:r>
      <w:r>
        <w:rPr>
          <w:rFonts w:hint="eastAsia" w:ascii="Times New Roman" w:hAnsi="Times New Roman" w:eastAsia="宋体" w:cs="Times New Roman"/>
          <w:bCs/>
          <w:color w:val="auto"/>
          <w:sz w:val="24"/>
          <w:u w:val="none" w:color="auto"/>
        </w:rPr>
        <w:t>2</w:t>
      </w:r>
      <w:r>
        <w:rPr>
          <w:rFonts w:ascii="Times New Roman" w:hAnsi="Times New Roman" w:eastAsia="宋体" w:cs="Times New Roman"/>
          <w:bCs/>
          <w:color w:val="auto"/>
          <w:sz w:val="24"/>
          <w:u w:val="none" w:color="auto"/>
        </w:rPr>
        <w:t>m</w:t>
      </w:r>
      <w:r>
        <w:rPr>
          <w:rFonts w:ascii="Times New Roman" w:hAnsi="Times New Roman" w:eastAsia="宋体" w:cs="Times New Roman"/>
          <w:bCs/>
          <w:color w:val="auto"/>
          <w:sz w:val="24"/>
          <w:u w:val="none" w:color="auto"/>
          <w:vertAlign w:val="superscript"/>
        </w:rPr>
        <w:t>3</w:t>
      </w:r>
      <w:r>
        <w:rPr>
          <w:rFonts w:ascii="Times New Roman" w:hAnsi="Times New Roman" w:eastAsia="宋体" w:cs="Times New Roman"/>
          <w:bCs/>
          <w:color w:val="auto"/>
          <w:sz w:val="24"/>
          <w:u w:val="none" w:color="auto"/>
        </w:rPr>
        <w:t>/d。施工人员生活污水，主要污染物浓度CODcr250mg/L，BOD</w:t>
      </w:r>
      <w:r>
        <w:rPr>
          <w:rFonts w:ascii="Times New Roman" w:hAnsi="Times New Roman" w:eastAsia="宋体" w:cs="Times New Roman"/>
          <w:bCs/>
          <w:color w:val="auto"/>
          <w:sz w:val="24"/>
          <w:u w:val="none" w:color="auto"/>
          <w:vertAlign w:val="subscript"/>
        </w:rPr>
        <w:t>5</w:t>
      </w:r>
      <w:r>
        <w:rPr>
          <w:rFonts w:ascii="Times New Roman" w:hAnsi="Times New Roman" w:eastAsia="宋体" w:cs="Times New Roman"/>
          <w:bCs/>
          <w:color w:val="auto"/>
          <w:sz w:val="24"/>
          <w:u w:val="none" w:color="auto"/>
        </w:rPr>
        <w:t>150mg/L，NH</w:t>
      </w:r>
      <w:r>
        <w:rPr>
          <w:rFonts w:ascii="Times New Roman" w:hAnsi="Times New Roman" w:eastAsia="宋体" w:cs="Times New Roman"/>
          <w:bCs/>
          <w:color w:val="auto"/>
          <w:sz w:val="24"/>
          <w:u w:val="none" w:color="auto"/>
          <w:vertAlign w:val="subscript"/>
        </w:rPr>
        <w:t>3</w:t>
      </w:r>
      <w:r>
        <w:rPr>
          <w:rFonts w:ascii="Times New Roman" w:hAnsi="Times New Roman" w:eastAsia="宋体" w:cs="Times New Roman"/>
          <w:bCs/>
          <w:color w:val="auto"/>
          <w:sz w:val="24"/>
          <w:u w:val="none" w:color="auto"/>
        </w:rPr>
        <w:t>-N25mg/L，SS</w:t>
      </w:r>
      <w:r>
        <w:rPr>
          <w:rFonts w:hint="eastAsia" w:ascii="Times New Roman" w:hAnsi="Times New Roman" w:eastAsia="宋体" w:cs="Times New Roman"/>
          <w:bCs/>
          <w:color w:val="auto"/>
          <w:sz w:val="24"/>
          <w:u w:val="none" w:color="auto"/>
        </w:rPr>
        <w:t>20</w:t>
      </w:r>
      <w:r>
        <w:rPr>
          <w:rFonts w:ascii="Times New Roman" w:hAnsi="Times New Roman" w:eastAsia="宋体" w:cs="Times New Roman"/>
          <w:bCs/>
          <w:color w:val="auto"/>
          <w:sz w:val="24"/>
          <w:u w:val="none" w:color="auto"/>
        </w:rPr>
        <w:t>0mg/L，</w:t>
      </w:r>
      <w:r>
        <w:rPr>
          <w:rFonts w:hint="eastAsia" w:ascii="Times New Roman" w:hAnsi="Times New Roman" w:eastAsia="宋体" w:cs="Times New Roman"/>
          <w:color w:val="auto"/>
          <w:sz w:val="24"/>
          <w:szCs w:val="24"/>
          <w:u w:val="none" w:color="auto"/>
        </w:rPr>
        <w:t>生活污水经厂内三级化粪池预处理达到</w:t>
      </w:r>
      <w:r>
        <w:rPr>
          <w:rFonts w:hint="eastAsia" w:ascii="Times New Roman" w:hAnsi="Times New Roman" w:eastAsia="宋体" w:cs="Times New Roman"/>
          <w:color w:val="auto"/>
          <w:sz w:val="24"/>
          <w:szCs w:val="24"/>
          <w:u w:val="none" w:color="auto"/>
          <w:lang w:eastAsia="zh-CN"/>
        </w:rPr>
        <w:t>大榄坪污水处理厂接管标准</w:t>
      </w:r>
      <w:r>
        <w:rPr>
          <w:rFonts w:hint="eastAsia" w:ascii="Times New Roman" w:hAnsi="Times New Roman" w:eastAsia="宋体" w:cs="Times New Roman"/>
          <w:color w:val="auto"/>
          <w:sz w:val="24"/>
          <w:szCs w:val="24"/>
          <w:u w:val="none" w:color="auto"/>
        </w:rPr>
        <w:t>要求后，经市政管网排入大榄坪污水处理厂。</w:t>
      </w:r>
    </w:p>
    <w:p w14:paraId="7B9764E0">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（2）施工作业废水</w:t>
      </w:r>
    </w:p>
    <w:p w14:paraId="1EA2F3F0">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施工配料和对机械设备进行冲洗及维护保养，将产生少量的作业废水，废水中的污染物主要是悬浮物。经沉淀后回用，对环境影响不大。</w:t>
      </w:r>
    </w:p>
    <w:p w14:paraId="07385CFC">
      <w:pPr>
        <w:spacing w:line="360" w:lineRule="auto"/>
        <w:ind w:firstLine="480" w:firstLineChars="200"/>
        <w:rPr>
          <w:rFonts w:ascii="Times New Roman" w:hAnsi="Times New Roman" w:eastAsia="宋体" w:cs="Times New Roman"/>
          <w:bCs/>
          <w:color w:val="auto"/>
          <w:sz w:val="24"/>
          <w:u w:val="none" w:color="auto"/>
        </w:rPr>
      </w:pPr>
      <w:r>
        <w:rPr>
          <w:rFonts w:ascii="Times New Roman" w:hAnsi="Times New Roman" w:eastAsia="宋体" w:cs="Times New Roman"/>
          <w:bCs/>
          <w:color w:val="auto"/>
          <w:sz w:val="24"/>
          <w:u w:val="none" w:color="auto"/>
        </w:rPr>
        <w:t>施工单位必须加强对施工人员的教育和管理，生活污水和施工废水严禁未经处理随地泼洒、排放，禁止直接排入拟建场址周围地表水体。</w:t>
      </w:r>
    </w:p>
    <w:p w14:paraId="5603B99F">
      <w:pPr>
        <w:spacing w:line="360" w:lineRule="auto"/>
        <w:outlineLvl w:val="2"/>
        <w:rPr>
          <w:rFonts w:ascii="Times New Roman" w:hAnsi="Times New Roman" w:eastAsia="宋体" w:cs="Times New Roman"/>
          <w:b/>
          <w:color w:val="auto"/>
          <w:sz w:val="28"/>
          <w:szCs w:val="28"/>
          <w:u w:val="none" w:color="auto"/>
        </w:rPr>
      </w:pPr>
      <w:r>
        <w:rPr>
          <w:rFonts w:ascii="Times New Roman" w:hAnsi="Times New Roman" w:eastAsia="宋体" w:cs="Times New Roman"/>
          <w:b/>
          <w:color w:val="auto"/>
          <w:sz w:val="28"/>
          <w:szCs w:val="28"/>
          <w:u w:val="none" w:color="auto"/>
        </w:rPr>
        <w:t>4.1.3施工期声环境影响分析</w:t>
      </w:r>
    </w:p>
    <w:p w14:paraId="207188B0">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工程施工期使用的机械主要有钻孔机、塔吊、电锯、电焊机、电钻等，这些施工机械的运行噪声在90～105 dB(A)之间。按声源衰减公式计算，声源强度为100 dB(A)时，施工噪声随距离衰减的预测结果如表4.1-2所示。</w:t>
      </w:r>
    </w:p>
    <w:p w14:paraId="0F36149A">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L</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=L</w:t>
      </w:r>
      <w:r>
        <w:rPr>
          <w:rFonts w:ascii="Times New Roman" w:hAnsi="Times New Roman" w:eastAsia="宋体" w:cs="Times New Roman"/>
          <w:color w:val="auto"/>
          <w:sz w:val="24"/>
          <w:u w:val="none" w:color="auto"/>
          <w:vertAlign w:val="subscript"/>
        </w:rPr>
        <w:t>1</w:t>
      </w:r>
      <w:r>
        <w:rPr>
          <w:rFonts w:ascii="Times New Roman" w:hAnsi="Times New Roman" w:eastAsia="宋体" w:cs="Times New Roman"/>
          <w:color w:val="auto"/>
          <w:sz w:val="24"/>
          <w:u w:val="none" w:color="auto"/>
        </w:rPr>
        <w:t>-20lg(r</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/r</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)-△L</w:t>
      </w:r>
    </w:p>
    <w:p w14:paraId="3EBCCAC0">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式中：r</w:t>
      </w:r>
      <w:r>
        <w:rPr>
          <w:rFonts w:ascii="Times New Roman" w:hAnsi="Times New Roman" w:eastAsia="宋体" w:cs="Times New Roman"/>
          <w:color w:val="auto"/>
          <w:sz w:val="24"/>
          <w:u w:val="none" w:color="auto"/>
          <w:vertAlign w:val="subscript"/>
        </w:rPr>
        <w:t>1</w:t>
      </w:r>
      <w:r>
        <w:rPr>
          <w:rFonts w:ascii="Times New Roman" w:hAnsi="Times New Roman" w:eastAsia="宋体" w:cs="Times New Roman"/>
          <w:color w:val="auto"/>
          <w:sz w:val="24"/>
          <w:u w:val="none" w:color="auto"/>
        </w:rPr>
        <w:t>、r</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——-距声源的距离，m</w:t>
      </w:r>
    </w:p>
    <w:p w14:paraId="57894883">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      L</w:t>
      </w:r>
      <w:r>
        <w:rPr>
          <w:rFonts w:ascii="Times New Roman" w:hAnsi="Times New Roman" w:eastAsia="宋体" w:cs="Times New Roman"/>
          <w:color w:val="auto"/>
          <w:sz w:val="24"/>
          <w:u w:val="none" w:color="auto"/>
          <w:vertAlign w:val="subscript"/>
        </w:rPr>
        <w:t>1</w:t>
      </w:r>
      <w:r>
        <w:rPr>
          <w:rFonts w:ascii="Times New Roman" w:hAnsi="Times New Roman" w:eastAsia="宋体" w:cs="Times New Roman"/>
          <w:color w:val="auto"/>
          <w:sz w:val="24"/>
          <w:u w:val="none" w:color="auto"/>
        </w:rPr>
        <w:t>、L</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——L</w:t>
      </w:r>
      <w:r>
        <w:rPr>
          <w:rFonts w:ascii="Times New Roman" w:hAnsi="Times New Roman" w:eastAsia="宋体" w:cs="Times New Roman"/>
          <w:color w:val="auto"/>
          <w:sz w:val="24"/>
          <w:u w:val="none" w:color="auto"/>
          <w:vertAlign w:val="subscript"/>
        </w:rPr>
        <w:t>1</w:t>
      </w:r>
      <w:r>
        <w:rPr>
          <w:rFonts w:ascii="Times New Roman" w:hAnsi="Times New Roman" w:eastAsia="宋体" w:cs="Times New Roman"/>
          <w:color w:val="auto"/>
          <w:sz w:val="24"/>
          <w:u w:val="none" w:color="auto"/>
        </w:rPr>
        <w:t>、L</w:t>
      </w:r>
      <w:r>
        <w:rPr>
          <w:rFonts w:ascii="Times New Roman" w:hAnsi="Times New Roman" w:eastAsia="宋体" w:cs="Times New Roman"/>
          <w:color w:val="auto"/>
          <w:sz w:val="24"/>
          <w:u w:val="none" w:color="auto"/>
          <w:vertAlign w:val="subscript"/>
        </w:rPr>
        <w:t>2</w:t>
      </w:r>
      <w:r>
        <w:rPr>
          <w:rFonts w:ascii="Times New Roman" w:hAnsi="Times New Roman" w:eastAsia="宋体" w:cs="Times New Roman"/>
          <w:color w:val="auto"/>
          <w:sz w:val="24"/>
          <w:u w:val="none" w:color="auto"/>
        </w:rPr>
        <w:t>处的噪声值， dB(A)</w:t>
      </w:r>
    </w:p>
    <w:p w14:paraId="203B9C2C">
      <w:pPr>
        <w:spacing w:line="360" w:lineRule="auto"/>
        <w:ind w:firstLine="480" w:firstLineChars="200"/>
        <w:rPr>
          <w:rFonts w:ascii="Times New Roman" w:hAnsi="Times New Roman" w:eastAsia="宋体" w:cs="Times New Roman"/>
          <w:color w:val="auto"/>
          <w:u w:val="none" w:color="auto"/>
        </w:rPr>
      </w:pPr>
      <w:r>
        <w:rPr>
          <w:rFonts w:ascii="Times New Roman" w:hAnsi="Times New Roman" w:eastAsia="宋体" w:cs="Times New Roman"/>
          <w:color w:val="auto"/>
          <w:sz w:val="24"/>
          <w:u w:val="none" w:color="auto"/>
        </w:rPr>
        <w:t xml:space="preserve">      △L——周边高大建筑物对噪声阻挡影响值，dB(A)。</w:t>
      </w:r>
    </w:p>
    <w:p w14:paraId="0E70D0B6">
      <w:pPr>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表4.1-1     施工噪声预测结果</w:t>
      </w:r>
    </w:p>
    <w:tbl>
      <w:tblPr>
        <w:tblStyle w:val="37"/>
        <w:tblW w:w="89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4"/>
        <w:gridCol w:w="1065"/>
        <w:gridCol w:w="1050"/>
        <w:gridCol w:w="1050"/>
        <w:gridCol w:w="1050"/>
        <w:gridCol w:w="945"/>
        <w:gridCol w:w="1460"/>
      </w:tblGrid>
      <w:tr w14:paraId="46202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2364" w:type="dxa"/>
            <w:tcBorders>
              <w:top w:val="single" w:color="auto" w:sz="4" w:space="0"/>
              <w:left w:val="single" w:color="auto" w:sz="4" w:space="0"/>
              <w:bottom w:val="single" w:color="auto" w:sz="4" w:space="0"/>
              <w:right w:val="single" w:color="auto" w:sz="4" w:space="0"/>
            </w:tcBorders>
            <w:vAlign w:val="center"/>
          </w:tcPr>
          <w:p w14:paraId="0CE3D50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距声源距离m</w:t>
            </w:r>
          </w:p>
        </w:tc>
        <w:tc>
          <w:tcPr>
            <w:tcW w:w="1065" w:type="dxa"/>
            <w:tcBorders>
              <w:top w:val="single" w:color="auto" w:sz="4" w:space="0"/>
              <w:left w:val="single" w:color="auto" w:sz="4" w:space="0"/>
              <w:bottom w:val="single" w:color="auto" w:sz="4" w:space="0"/>
              <w:right w:val="single" w:color="auto" w:sz="4" w:space="0"/>
            </w:tcBorders>
            <w:vAlign w:val="center"/>
          </w:tcPr>
          <w:p w14:paraId="104B3761">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50</w:t>
            </w:r>
          </w:p>
        </w:tc>
        <w:tc>
          <w:tcPr>
            <w:tcW w:w="1050" w:type="dxa"/>
            <w:tcBorders>
              <w:top w:val="single" w:color="auto" w:sz="4" w:space="0"/>
              <w:left w:val="single" w:color="auto" w:sz="4" w:space="0"/>
              <w:bottom w:val="single" w:color="auto" w:sz="4" w:space="0"/>
              <w:right w:val="single" w:color="auto" w:sz="4" w:space="0"/>
            </w:tcBorders>
            <w:vAlign w:val="center"/>
          </w:tcPr>
          <w:p w14:paraId="12A6FD0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100</w:t>
            </w:r>
          </w:p>
        </w:tc>
        <w:tc>
          <w:tcPr>
            <w:tcW w:w="1050" w:type="dxa"/>
            <w:tcBorders>
              <w:top w:val="single" w:color="auto" w:sz="4" w:space="0"/>
              <w:left w:val="single" w:color="auto" w:sz="4" w:space="0"/>
              <w:bottom w:val="single" w:color="auto" w:sz="4" w:space="0"/>
              <w:right w:val="single" w:color="auto" w:sz="4" w:space="0"/>
            </w:tcBorders>
            <w:vAlign w:val="center"/>
          </w:tcPr>
          <w:p w14:paraId="4621D27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150</w:t>
            </w:r>
          </w:p>
        </w:tc>
        <w:tc>
          <w:tcPr>
            <w:tcW w:w="1050" w:type="dxa"/>
            <w:tcBorders>
              <w:top w:val="single" w:color="auto" w:sz="4" w:space="0"/>
              <w:left w:val="single" w:color="auto" w:sz="4" w:space="0"/>
              <w:bottom w:val="single" w:color="auto" w:sz="4" w:space="0"/>
              <w:right w:val="single" w:color="auto" w:sz="4" w:space="0"/>
            </w:tcBorders>
            <w:vAlign w:val="center"/>
          </w:tcPr>
          <w:p w14:paraId="6A0CD733">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200</w:t>
            </w:r>
          </w:p>
        </w:tc>
        <w:tc>
          <w:tcPr>
            <w:tcW w:w="945" w:type="dxa"/>
            <w:tcBorders>
              <w:top w:val="single" w:color="auto" w:sz="4" w:space="0"/>
              <w:left w:val="single" w:color="auto" w:sz="4" w:space="0"/>
              <w:bottom w:val="single" w:color="auto" w:sz="4" w:space="0"/>
              <w:right w:val="single" w:color="auto" w:sz="4" w:space="0"/>
            </w:tcBorders>
            <w:vAlign w:val="center"/>
          </w:tcPr>
          <w:p w14:paraId="72475FB0">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400</w:t>
            </w:r>
          </w:p>
        </w:tc>
        <w:tc>
          <w:tcPr>
            <w:tcW w:w="1460" w:type="dxa"/>
            <w:tcBorders>
              <w:top w:val="single" w:color="auto" w:sz="4" w:space="0"/>
              <w:left w:val="single" w:color="auto" w:sz="4" w:space="0"/>
              <w:bottom w:val="single" w:color="auto" w:sz="4" w:space="0"/>
              <w:right w:val="single" w:color="auto" w:sz="4" w:space="0"/>
            </w:tcBorders>
            <w:vAlign w:val="center"/>
          </w:tcPr>
          <w:p w14:paraId="29F7955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600</w:t>
            </w:r>
          </w:p>
        </w:tc>
      </w:tr>
      <w:tr w14:paraId="10FBA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364" w:type="dxa"/>
            <w:tcBorders>
              <w:top w:val="single" w:color="auto" w:sz="4" w:space="0"/>
              <w:left w:val="single" w:color="auto" w:sz="4" w:space="0"/>
              <w:bottom w:val="single" w:color="auto" w:sz="4" w:space="0"/>
              <w:right w:val="single" w:color="auto" w:sz="4" w:space="0"/>
            </w:tcBorders>
            <w:vAlign w:val="center"/>
          </w:tcPr>
          <w:p w14:paraId="76E6434D">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噪声值dB(A)</w:t>
            </w:r>
          </w:p>
        </w:tc>
        <w:tc>
          <w:tcPr>
            <w:tcW w:w="1065" w:type="dxa"/>
            <w:tcBorders>
              <w:top w:val="single" w:color="auto" w:sz="4" w:space="0"/>
              <w:left w:val="single" w:color="auto" w:sz="4" w:space="0"/>
              <w:bottom w:val="single" w:color="auto" w:sz="4" w:space="0"/>
              <w:right w:val="single" w:color="auto" w:sz="4" w:space="0"/>
            </w:tcBorders>
            <w:vAlign w:val="center"/>
          </w:tcPr>
          <w:p w14:paraId="6C16E1F2">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65</w:t>
            </w:r>
          </w:p>
        </w:tc>
        <w:tc>
          <w:tcPr>
            <w:tcW w:w="1050" w:type="dxa"/>
            <w:tcBorders>
              <w:top w:val="single" w:color="auto" w:sz="4" w:space="0"/>
              <w:left w:val="single" w:color="auto" w:sz="4" w:space="0"/>
              <w:bottom w:val="single" w:color="auto" w:sz="4" w:space="0"/>
              <w:right w:val="single" w:color="auto" w:sz="4" w:space="0"/>
            </w:tcBorders>
            <w:vAlign w:val="center"/>
          </w:tcPr>
          <w:p w14:paraId="51AB9688">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60</w:t>
            </w:r>
          </w:p>
        </w:tc>
        <w:tc>
          <w:tcPr>
            <w:tcW w:w="1050" w:type="dxa"/>
            <w:tcBorders>
              <w:top w:val="single" w:color="auto" w:sz="4" w:space="0"/>
              <w:left w:val="single" w:color="auto" w:sz="4" w:space="0"/>
              <w:bottom w:val="single" w:color="auto" w:sz="4" w:space="0"/>
              <w:right w:val="single" w:color="auto" w:sz="4" w:space="0"/>
            </w:tcBorders>
            <w:vAlign w:val="center"/>
          </w:tcPr>
          <w:p w14:paraId="13E3961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56</w:t>
            </w:r>
          </w:p>
        </w:tc>
        <w:tc>
          <w:tcPr>
            <w:tcW w:w="1050" w:type="dxa"/>
            <w:tcBorders>
              <w:top w:val="single" w:color="auto" w:sz="4" w:space="0"/>
              <w:left w:val="single" w:color="auto" w:sz="4" w:space="0"/>
              <w:bottom w:val="single" w:color="auto" w:sz="4" w:space="0"/>
              <w:right w:val="single" w:color="auto" w:sz="4" w:space="0"/>
            </w:tcBorders>
            <w:vAlign w:val="center"/>
          </w:tcPr>
          <w:p w14:paraId="7C28B323">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54</w:t>
            </w:r>
          </w:p>
        </w:tc>
        <w:tc>
          <w:tcPr>
            <w:tcW w:w="945" w:type="dxa"/>
            <w:tcBorders>
              <w:top w:val="single" w:color="auto" w:sz="4" w:space="0"/>
              <w:left w:val="single" w:color="auto" w:sz="4" w:space="0"/>
              <w:bottom w:val="single" w:color="auto" w:sz="4" w:space="0"/>
              <w:right w:val="single" w:color="auto" w:sz="4" w:space="0"/>
            </w:tcBorders>
            <w:vAlign w:val="center"/>
          </w:tcPr>
          <w:p w14:paraId="4E19E707">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48</w:t>
            </w:r>
          </w:p>
        </w:tc>
        <w:tc>
          <w:tcPr>
            <w:tcW w:w="1460" w:type="dxa"/>
            <w:tcBorders>
              <w:top w:val="single" w:color="auto" w:sz="4" w:space="0"/>
              <w:left w:val="single" w:color="auto" w:sz="4" w:space="0"/>
              <w:bottom w:val="single" w:color="auto" w:sz="4" w:space="0"/>
              <w:right w:val="single" w:color="auto" w:sz="4" w:space="0"/>
            </w:tcBorders>
            <w:vAlign w:val="center"/>
          </w:tcPr>
          <w:p w14:paraId="40CB7819">
            <w:pPr>
              <w:adjustRightInd w:val="0"/>
              <w:snapToGrid w:val="0"/>
              <w:jc w:val="center"/>
              <w:rPr>
                <w:rFonts w:ascii="Times New Roman" w:hAnsi="Times New Roman" w:eastAsia="宋体" w:cs="Times New Roman"/>
                <w:bCs/>
                <w:color w:val="auto"/>
                <w:szCs w:val="21"/>
                <w:u w:val="none" w:color="auto"/>
              </w:rPr>
            </w:pPr>
            <w:r>
              <w:rPr>
                <w:rFonts w:ascii="Times New Roman" w:hAnsi="Times New Roman" w:eastAsia="宋体" w:cs="Times New Roman"/>
                <w:bCs/>
                <w:color w:val="auto"/>
                <w:szCs w:val="21"/>
                <w:u w:val="none" w:color="auto"/>
              </w:rPr>
              <w:t>44</w:t>
            </w:r>
          </w:p>
        </w:tc>
      </w:tr>
    </w:tbl>
    <w:p w14:paraId="299618DE">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所在区域执行《声环境质量标准》（GB3096-2008）中的3类标准限值，即昼间65dB(A)、夜间55dB(A)。由表4.1-1中的预测结果可知，在采用噪声强度较大的施工机械昼间施工时，项目周边50m范围以内的施工噪声贡献值超过了3类标准值。</w:t>
      </w:r>
    </w:p>
    <w:p w14:paraId="020A0196">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厂址周围规划为园区范围，项目周边200m范围内均无居民点，施工过程对敏感点的影响很小。除此之外，来往于施工场地的运输车辆多为大中型运输车，在加速行驶时，以大型柴油货车的定置噪声限值最高，其噪声值＞100dB（A），会对运输线路两侧居民的生活造成影响。因此，项目施工期要对建筑材料及废物的运输严格控制，尽量避开居民的休息时间，减少影响范围。</w:t>
      </w:r>
    </w:p>
    <w:p w14:paraId="73D288F4">
      <w:pPr>
        <w:spacing w:line="360" w:lineRule="auto"/>
        <w:outlineLvl w:val="2"/>
        <w:rPr>
          <w:rFonts w:ascii="Times New Roman" w:hAnsi="Times New Roman" w:eastAsia="宋体" w:cs="Times New Roman"/>
          <w:b/>
          <w:color w:val="auto"/>
          <w:sz w:val="28"/>
          <w:szCs w:val="28"/>
          <w:u w:val="none" w:color="auto"/>
        </w:rPr>
      </w:pPr>
      <w:r>
        <w:rPr>
          <w:rFonts w:ascii="Times New Roman" w:hAnsi="Times New Roman" w:eastAsia="宋体" w:cs="Times New Roman"/>
          <w:b/>
          <w:color w:val="auto"/>
          <w:sz w:val="28"/>
          <w:szCs w:val="28"/>
          <w:u w:val="none" w:color="auto"/>
        </w:rPr>
        <w:t>4.1.4施工期固体废物环境影响分析</w:t>
      </w:r>
    </w:p>
    <w:p w14:paraId="1AD68F12">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施工期产生的固体废物主要包括建筑垃圾和生活垃圾。</w:t>
      </w:r>
    </w:p>
    <w:p w14:paraId="0A161A72">
      <w:pPr>
        <w:snapToGrid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建筑垃圾主要有碎砖瓦、沙石等，</w:t>
      </w:r>
      <w:r>
        <w:rPr>
          <w:rFonts w:ascii="Times New Roman" w:hAnsi="Times New Roman" w:eastAsia="宋体" w:cs="Times New Roman"/>
          <w:color w:val="auto"/>
          <w:sz w:val="24"/>
          <w:szCs w:val="24"/>
          <w:u w:val="none" w:color="auto"/>
        </w:rPr>
        <w:t>本项目在建设过程中产生的建筑垃圾主要有建材损耗产生的垃圾、建筑垃圾等，包括砂土、石块、水泥、碎木料、锯木屑、废金属、钢筋、铁丝</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single" w:color="auto"/>
          <w:lang w:val="en-US" w:eastAsia="zh-CN"/>
        </w:rPr>
        <w:t>废包装</w:t>
      </w:r>
      <w:r>
        <w:rPr>
          <w:rFonts w:ascii="Times New Roman" w:hAnsi="Times New Roman" w:eastAsia="宋体" w:cs="Times New Roman"/>
          <w:color w:val="auto"/>
          <w:sz w:val="24"/>
          <w:szCs w:val="24"/>
          <w:u w:val="single" w:color="auto"/>
        </w:rPr>
        <w:t>等杂物</w:t>
      </w:r>
      <w:r>
        <w:rPr>
          <w:rFonts w:ascii="Times New Roman" w:hAnsi="Times New Roman" w:eastAsia="宋体" w:cs="Times New Roman"/>
          <w:color w:val="auto"/>
          <w:sz w:val="24"/>
          <w:szCs w:val="24"/>
          <w:u w:val="none" w:color="auto"/>
        </w:rPr>
        <w:t>。根据类比调查，建筑装修过程的建筑垃圾产生量按每100m</w:t>
      </w:r>
      <w:r>
        <w:rPr>
          <w:rFonts w:ascii="Times New Roman" w:hAnsi="Times New Roman" w:eastAsia="宋体" w:cs="Times New Roman"/>
          <w:color w:val="auto"/>
          <w:sz w:val="24"/>
          <w:szCs w:val="24"/>
          <w:u w:val="none" w:color="auto"/>
          <w:vertAlign w:val="superscript"/>
        </w:rPr>
        <w:t>2</w:t>
      </w:r>
      <w:r>
        <w:rPr>
          <w:rFonts w:ascii="Times New Roman" w:hAnsi="Times New Roman" w:eastAsia="宋体" w:cs="Times New Roman"/>
          <w:color w:val="auto"/>
          <w:sz w:val="24"/>
          <w:szCs w:val="24"/>
          <w:u w:val="none" w:color="auto"/>
        </w:rPr>
        <w:t>建筑面积产生0.5t估算，</w:t>
      </w:r>
      <w:r>
        <w:rPr>
          <w:rFonts w:hint="eastAsia" w:ascii="Times New Roman" w:hAnsi="Times New Roman" w:eastAsia="宋体" w:cs="Times New Roman"/>
          <w:color w:val="auto"/>
          <w:sz w:val="24"/>
          <w:szCs w:val="24"/>
          <w:u w:val="none" w:color="auto"/>
        </w:rPr>
        <w:t>项目新建建筑</w:t>
      </w:r>
      <w:r>
        <w:rPr>
          <w:rFonts w:ascii="Times New Roman" w:hAnsi="Times New Roman" w:eastAsia="宋体" w:cs="Times New Roman"/>
          <w:color w:val="auto"/>
          <w:sz w:val="24"/>
          <w:szCs w:val="24"/>
          <w:u w:val="none" w:color="auto"/>
        </w:rPr>
        <w:t>面积</w:t>
      </w:r>
      <w:r>
        <w:rPr>
          <w:rFonts w:hint="eastAsia" w:ascii="Times New Roman" w:hAnsi="Times New Roman" w:eastAsia="宋体" w:cs="Times New Roman"/>
          <w:color w:val="auto"/>
          <w:sz w:val="24"/>
          <w:szCs w:val="24"/>
          <w:u w:val="none" w:color="auto"/>
          <w:lang w:val="en-US" w:eastAsia="zh-CN"/>
        </w:rPr>
        <w:t>67590.03</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2</w:t>
      </w:r>
      <w:r>
        <w:rPr>
          <w:rFonts w:ascii="Times New Roman" w:hAnsi="Times New Roman" w:eastAsia="宋体" w:cs="Times New Roman"/>
          <w:color w:val="auto"/>
          <w:sz w:val="24"/>
          <w:szCs w:val="24"/>
          <w:u w:val="none" w:color="auto"/>
        </w:rPr>
        <w:t>，则施工期建筑垃圾产生量约</w:t>
      </w:r>
      <w:r>
        <w:rPr>
          <w:rFonts w:hint="eastAsia" w:ascii="Times New Roman" w:hAnsi="Times New Roman" w:eastAsia="宋体" w:cs="Times New Roman"/>
          <w:color w:val="auto"/>
          <w:sz w:val="24"/>
          <w:szCs w:val="24"/>
          <w:u w:val="none" w:color="auto"/>
          <w:lang w:val="en-US" w:eastAsia="zh-CN"/>
        </w:rPr>
        <w:t>337.950</w:t>
      </w:r>
      <w:r>
        <w:rPr>
          <w:rFonts w:ascii="Times New Roman" w:hAnsi="Times New Roman" w:eastAsia="宋体" w:cs="Times New Roman"/>
          <w:color w:val="auto"/>
          <w:sz w:val="24"/>
          <w:szCs w:val="24"/>
          <w:u w:val="none" w:color="auto"/>
        </w:rPr>
        <w:t>t。</w:t>
      </w:r>
      <w:r>
        <w:rPr>
          <w:rFonts w:ascii="Times New Roman" w:hAnsi="Times New Roman" w:eastAsia="宋体" w:cs="Times New Roman"/>
          <w:color w:val="auto"/>
          <w:sz w:val="24"/>
          <w:u w:val="none" w:color="auto"/>
        </w:rPr>
        <w:t>收集后运至</w:t>
      </w:r>
      <w:r>
        <w:rPr>
          <w:rFonts w:hint="eastAsia" w:ascii="Times New Roman" w:hAnsi="Times New Roman" w:eastAsia="宋体" w:cs="Times New Roman"/>
          <w:color w:val="auto"/>
          <w:sz w:val="24"/>
          <w:u w:val="none" w:color="auto"/>
        </w:rPr>
        <w:t>市政管理部门</w:t>
      </w:r>
      <w:r>
        <w:rPr>
          <w:rFonts w:ascii="Times New Roman" w:hAnsi="Times New Roman" w:eastAsia="宋体" w:cs="Times New Roman"/>
          <w:color w:val="auto"/>
          <w:sz w:val="24"/>
          <w:u w:val="none" w:color="auto"/>
        </w:rPr>
        <w:t>指定点处理；项目施工场地内</w:t>
      </w:r>
      <w:r>
        <w:rPr>
          <w:rFonts w:hint="eastAsia" w:ascii="Times New Roman" w:hAnsi="Times New Roman" w:eastAsia="宋体" w:cs="Times New Roman"/>
          <w:color w:val="auto"/>
          <w:sz w:val="24"/>
          <w:u w:val="none" w:color="auto"/>
        </w:rPr>
        <w:t>较为平整，开挖量较小</w:t>
      </w:r>
      <w:r>
        <w:rPr>
          <w:rFonts w:ascii="Times New Roman" w:hAnsi="Times New Roman" w:eastAsia="宋体" w:cs="Times New Roman"/>
          <w:color w:val="auto"/>
          <w:sz w:val="24"/>
          <w:u w:val="none" w:color="auto"/>
        </w:rPr>
        <w:t>，场地内可挖填平衡，无弃方产生。</w:t>
      </w:r>
    </w:p>
    <w:p w14:paraId="527D5C06">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施工人员带来的生活垃圾如不及时处理会影响环境景观，施工营地的生活垃圾，产生量约为</w:t>
      </w:r>
      <w:r>
        <w:rPr>
          <w:rFonts w:hint="eastAsia" w:ascii="Times New Roman" w:hAnsi="Times New Roman" w:eastAsia="宋体" w:cs="Times New Roman"/>
          <w:color w:val="auto"/>
          <w:sz w:val="24"/>
          <w:u w:val="none" w:color="auto"/>
        </w:rPr>
        <w:t>25</w:t>
      </w:r>
      <w:r>
        <w:rPr>
          <w:rFonts w:ascii="Times New Roman" w:hAnsi="Times New Roman" w:eastAsia="宋体" w:cs="Times New Roman"/>
          <w:color w:val="auto"/>
          <w:sz w:val="24"/>
          <w:u w:val="none" w:color="auto"/>
        </w:rPr>
        <w:t>kg/d，生活垃圾如不及时处理，在气温适宜的条件下则会滋生蚊虫、产生恶臭并传播疾病，对周围环境产生不利影响，生活垃圾经垃圾桶临时储存后由环卫部门统一清运，对周边环境影响较小。</w:t>
      </w:r>
    </w:p>
    <w:p w14:paraId="5B880AB7">
      <w:pPr>
        <w:spacing w:line="360" w:lineRule="auto"/>
        <w:outlineLvl w:val="2"/>
        <w:rPr>
          <w:rFonts w:ascii="Times New Roman" w:hAnsi="Times New Roman" w:eastAsia="宋体" w:cs="Times New Roman"/>
          <w:b/>
          <w:color w:val="auto"/>
          <w:sz w:val="28"/>
          <w:szCs w:val="28"/>
          <w:u w:val="none" w:color="auto"/>
        </w:rPr>
      </w:pPr>
      <w:r>
        <w:rPr>
          <w:rFonts w:ascii="Times New Roman" w:hAnsi="Times New Roman" w:eastAsia="宋体" w:cs="Times New Roman"/>
          <w:b/>
          <w:color w:val="auto"/>
          <w:sz w:val="28"/>
          <w:szCs w:val="28"/>
          <w:u w:val="none" w:color="auto"/>
        </w:rPr>
        <w:t>4.1.5施工期生态环境影响分析</w:t>
      </w:r>
    </w:p>
    <w:p w14:paraId="5E95EABB">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w:t>
      </w:r>
      <w:r>
        <w:rPr>
          <w:rFonts w:hint="eastAsia" w:ascii="Times New Roman" w:hAnsi="Times New Roman" w:eastAsia="宋体" w:cs="Times New Roman"/>
          <w:color w:val="auto"/>
          <w:sz w:val="24"/>
          <w:u w:val="none" w:color="auto"/>
        </w:rPr>
        <w:t>所在区域为填海区，</w:t>
      </w:r>
      <w:r>
        <w:rPr>
          <w:rFonts w:ascii="Times New Roman" w:hAnsi="Times New Roman" w:eastAsia="宋体" w:cs="Times New Roman"/>
          <w:color w:val="auto"/>
          <w:sz w:val="24"/>
          <w:u w:val="none" w:color="auto"/>
        </w:rPr>
        <w:t>生物物种较为单一，施工活动间接影响的生态系统为周边荒</w:t>
      </w:r>
      <w:r>
        <w:rPr>
          <w:rFonts w:hint="eastAsia" w:ascii="Times New Roman" w:hAnsi="Times New Roman" w:eastAsia="宋体" w:cs="Times New Roman"/>
          <w:color w:val="auto"/>
          <w:sz w:val="24"/>
          <w:u w:val="none" w:color="auto"/>
        </w:rPr>
        <w:t>草</w:t>
      </w:r>
      <w:r>
        <w:rPr>
          <w:rFonts w:ascii="Times New Roman" w:hAnsi="Times New Roman" w:eastAsia="宋体" w:cs="Times New Roman"/>
          <w:color w:val="auto"/>
          <w:sz w:val="24"/>
          <w:u w:val="none" w:color="auto"/>
        </w:rPr>
        <w:t>地</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施工对动物多样性的直接影响主要是建筑工程施工过程中少量噪声、</w:t>
      </w:r>
      <w:r>
        <w:rPr>
          <w:rFonts w:hint="eastAsia" w:ascii="Times New Roman" w:hAnsi="Times New Roman" w:eastAsia="宋体" w:cs="Times New Roman"/>
          <w:color w:val="auto"/>
          <w:sz w:val="24"/>
          <w:u w:val="none" w:color="auto"/>
        </w:rPr>
        <w:t>粉尘</w:t>
      </w:r>
      <w:r>
        <w:rPr>
          <w:rFonts w:ascii="Times New Roman" w:hAnsi="Times New Roman" w:eastAsia="宋体" w:cs="Times New Roman"/>
          <w:color w:val="auto"/>
          <w:sz w:val="24"/>
          <w:u w:val="none" w:color="auto"/>
        </w:rPr>
        <w:t>对项目区域动物群落的干扰。项目</w:t>
      </w:r>
      <w:r>
        <w:rPr>
          <w:rFonts w:hint="eastAsia" w:ascii="Times New Roman" w:hAnsi="Times New Roman" w:eastAsia="宋体" w:cs="Times New Roman"/>
          <w:color w:val="auto"/>
          <w:sz w:val="24"/>
          <w:u w:val="none" w:color="auto"/>
        </w:rPr>
        <w:t>所在</w:t>
      </w:r>
      <w:r>
        <w:rPr>
          <w:rFonts w:ascii="Times New Roman" w:hAnsi="Times New Roman" w:eastAsia="宋体" w:cs="Times New Roman"/>
          <w:color w:val="auto"/>
          <w:sz w:val="24"/>
          <w:u w:val="none" w:color="auto"/>
        </w:rPr>
        <w:t>区域受人类活动的干扰严重，野生动物资源较少，只有</w:t>
      </w:r>
      <w:r>
        <w:rPr>
          <w:rFonts w:hint="eastAsia" w:ascii="Times New Roman" w:hAnsi="Times New Roman" w:eastAsia="宋体" w:cs="Times New Roman"/>
          <w:color w:val="auto"/>
          <w:sz w:val="24"/>
          <w:u w:val="none" w:color="auto"/>
        </w:rPr>
        <w:t>两栖类、爬行类动物和昆虫</w:t>
      </w:r>
      <w:r>
        <w:rPr>
          <w:rFonts w:ascii="Times New Roman" w:hAnsi="Times New Roman" w:eastAsia="宋体" w:cs="Times New Roman"/>
          <w:color w:val="auto"/>
          <w:sz w:val="24"/>
          <w:u w:val="none" w:color="auto"/>
        </w:rPr>
        <w:t>等，且数量极少。</w:t>
      </w:r>
    </w:p>
    <w:p w14:paraId="7A654A67">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施工过程中产生的噪声</w:t>
      </w:r>
      <w:r>
        <w:rPr>
          <w:rFonts w:hint="eastAsia" w:ascii="Times New Roman" w:hAnsi="Times New Roman" w:eastAsia="宋体" w:cs="Times New Roman"/>
          <w:color w:val="auto"/>
          <w:sz w:val="24"/>
          <w:u w:val="none" w:color="auto"/>
        </w:rPr>
        <w:t>、粉尘</w:t>
      </w:r>
      <w:r>
        <w:rPr>
          <w:rFonts w:ascii="Times New Roman" w:hAnsi="Times New Roman" w:eastAsia="宋体" w:cs="Times New Roman"/>
          <w:color w:val="auto"/>
          <w:sz w:val="24"/>
          <w:u w:val="none" w:color="auto"/>
        </w:rPr>
        <w:t>可能会导致部分动物迁徙它处，对动物分布产生一定影响</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项目施工期短，并且在厂区内施工，对周边动物影响不明显，不会导致区域动物多样性降低。</w:t>
      </w:r>
    </w:p>
    <w:p w14:paraId="564DCC32">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项目所在区域植被主要为人工植被，工程对植物资源的影响主要表现在工程占地引起局部区域植物覆盖率下降，生物量减少。工程占地周边主要分布人工林、灌木、草地，生态环境为人工营造，故工程占地不会引起植物物种的损失。</w:t>
      </w:r>
    </w:p>
    <w:p w14:paraId="763F9DE3">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ascii="Times New Roman" w:hAnsi="Times New Roman" w:eastAsia="宋体" w:cs="Times New Roman"/>
          <w:color w:val="auto"/>
          <w:sz w:val="24"/>
          <w:u w:val="none" w:color="auto"/>
        </w:rPr>
        <w:t>项目</w:t>
      </w:r>
      <w:r>
        <w:rPr>
          <w:rFonts w:hint="eastAsia" w:ascii="Times New Roman" w:hAnsi="Times New Roman" w:eastAsia="宋体" w:cs="Times New Roman"/>
          <w:color w:val="auto"/>
          <w:sz w:val="24"/>
          <w:u w:val="none" w:color="auto"/>
        </w:rPr>
        <w:t>东北面约730m处的淡水湾村沿海滩涂分布有零散的红树林，项目仅在填海区进行工程施工，不进行水工作业，不会因施工悬沙扩散影响红树林的生存环境。</w:t>
      </w:r>
      <w:r>
        <w:rPr>
          <w:rFonts w:hint="eastAsia" w:ascii="Times New Roman" w:hAnsi="Times New Roman" w:eastAsia="宋体" w:cs="Times New Roman"/>
          <w:color w:val="auto"/>
          <w:sz w:val="24"/>
          <w:u w:val="single" w:color="auto"/>
          <w:lang w:val="en-US" w:eastAsia="zh-CN"/>
        </w:rPr>
        <w:t>为了避免施工期对其影响，拟采取以下措施：</w:t>
      </w:r>
      <w:r>
        <w:rPr>
          <w:rFonts w:hint="eastAsia" w:ascii="Times New Roman" w:hAnsi="Times New Roman" w:eastAsia="宋体" w:cs="Times New Roman"/>
          <w:color w:val="auto"/>
          <w:sz w:val="24"/>
          <w:u w:val="single" w:color="auto"/>
        </w:rPr>
        <w:t>项目施工作业废水经沉淀后回用，</w:t>
      </w:r>
      <w:r>
        <w:rPr>
          <w:rFonts w:hint="eastAsia" w:ascii="Times New Roman" w:hAnsi="Times New Roman" w:eastAsia="宋体" w:cs="Times New Roman"/>
          <w:color w:val="auto"/>
          <w:sz w:val="24"/>
          <w:u w:val="single" w:color="auto"/>
          <w:lang w:val="en-US" w:eastAsia="zh-CN"/>
        </w:rPr>
        <w:t>严禁向水域排放废水，所有废水均</w:t>
      </w:r>
      <w:r>
        <w:rPr>
          <w:rFonts w:hint="eastAsia" w:ascii="Times New Roman" w:hAnsi="Times New Roman" w:eastAsia="宋体" w:cs="Times New Roman"/>
          <w:color w:val="auto"/>
          <w:sz w:val="24"/>
          <w:u w:val="single" w:color="auto"/>
        </w:rPr>
        <w:t>不外排；建筑垃圾统一收集，定期清运至市政管理部门指定点处理，不在厂区堆积</w:t>
      </w:r>
      <w:r>
        <w:rPr>
          <w:rFonts w:hint="eastAsia" w:ascii="Times New Roman" w:hAnsi="Times New Roman" w:eastAsia="宋体" w:cs="Times New Roman"/>
          <w:color w:val="auto"/>
          <w:sz w:val="24"/>
          <w:u w:val="single" w:color="auto"/>
          <w:lang w:eastAsia="zh-CN"/>
        </w:rPr>
        <w:t>，</w:t>
      </w:r>
      <w:r>
        <w:rPr>
          <w:rFonts w:hint="eastAsia" w:ascii="Times New Roman" w:hAnsi="Times New Roman" w:eastAsia="宋体" w:cs="Times New Roman"/>
          <w:color w:val="auto"/>
          <w:sz w:val="24"/>
          <w:u w:val="single" w:color="auto"/>
        </w:rPr>
        <w:t>可有效避免因施工废水泄露或雨水冲刷建筑垃圾，导致周边水体受到污染，水中悬浮物增加，进而影响红树林的生存环境。</w:t>
      </w:r>
    </w:p>
    <w:p w14:paraId="78832AC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p>
    <w:p w14:paraId="63513E5E">
      <w:pPr>
        <w:autoSpaceDE w:val="0"/>
        <w:autoSpaceDN w:val="0"/>
        <w:spacing w:line="360" w:lineRule="auto"/>
        <w:ind w:firstLine="496" w:firstLineChars="200"/>
        <w:jc w:val="left"/>
        <w:rPr>
          <w:rFonts w:ascii="Times New Roman" w:hAnsi="Times New Roman" w:eastAsia="宋体" w:cs="Times New Roman"/>
          <w:color w:val="auto"/>
          <w:spacing w:val="4"/>
          <w:sz w:val="24"/>
          <w:szCs w:val="24"/>
          <w:u w:val="none" w:color="auto"/>
        </w:rPr>
      </w:pPr>
    </w:p>
    <w:p w14:paraId="0A2C4C76">
      <w:pPr>
        <w:widowControl/>
        <w:autoSpaceDE w:val="0"/>
        <w:autoSpaceDN w:val="0"/>
        <w:jc w:val="left"/>
        <w:rPr>
          <w:rFonts w:ascii="Times New Roman" w:hAnsi="Times New Roman" w:eastAsia="宋体" w:cs="Times New Roman"/>
          <w:b/>
          <w:color w:val="auto"/>
          <w:kern w:val="0"/>
          <w:sz w:val="32"/>
          <w:szCs w:val="32"/>
          <w:u w:val="none" w:color="auto"/>
        </w:rPr>
      </w:pPr>
      <w:r>
        <w:rPr>
          <w:rFonts w:ascii="Times New Roman" w:hAnsi="Times New Roman" w:eastAsia="宋体" w:cs="Times New Roman"/>
          <w:b/>
          <w:color w:val="auto"/>
          <w:kern w:val="0"/>
          <w:sz w:val="32"/>
          <w:szCs w:val="32"/>
          <w:u w:val="none" w:color="auto"/>
        </w:rPr>
        <w:br w:type="page"/>
      </w:r>
    </w:p>
    <w:p w14:paraId="1FA4B145">
      <w:pPr>
        <w:pStyle w:val="3"/>
        <w:bidi w:val="0"/>
        <w:rPr>
          <w:color w:val="auto"/>
          <w:u w:val="none" w:color="auto"/>
        </w:rPr>
      </w:pPr>
      <w:bookmarkStart w:id="222" w:name="_Toc3728234"/>
      <w:bookmarkStart w:id="223" w:name="_Toc25989"/>
      <w:bookmarkStart w:id="224" w:name="_Toc3728239"/>
      <w:r>
        <w:rPr>
          <w:color w:val="auto"/>
          <w:u w:val="none" w:color="auto"/>
        </w:rPr>
        <w:t>大气环境影响预测与评价</w:t>
      </w:r>
      <w:bookmarkEnd w:id="222"/>
      <w:bookmarkEnd w:id="223"/>
    </w:p>
    <w:p w14:paraId="7239DD8B">
      <w:pPr>
        <w:numPr>
          <w:ilvl w:val="2"/>
          <w:numId w:val="0"/>
        </w:numPr>
        <w:autoSpaceDE w:val="0"/>
        <w:autoSpaceDN w:val="0"/>
        <w:snapToGrid w:val="0"/>
        <w:spacing w:line="360" w:lineRule="auto"/>
        <w:jc w:val="left"/>
        <w:outlineLvl w:val="2"/>
        <w:rPr>
          <w:rFonts w:ascii="Times New Roman" w:hAnsi="Times New Roman" w:eastAsia="宋体" w:cs="Times New Roman"/>
          <w:b/>
          <w:snapToGrid w:val="0"/>
          <w:color w:val="auto"/>
          <w:sz w:val="28"/>
          <w:szCs w:val="20"/>
          <w:u w:val="none" w:color="auto"/>
        </w:rPr>
      </w:pPr>
      <w:bookmarkStart w:id="225" w:name="_Toc3728235"/>
      <w:r>
        <w:rPr>
          <w:rFonts w:hint="eastAsia" w:ascii="Times New Roman" w:hAnsi="Times New Roman" w:eastAsia="宋体" w:cs="Times New Roman"/>
          <w:b/>
          <w:snapToGrid w:val="0"/>
          <w:color w:val="auto"/>
          <w:sz w:val="28"/>
          <w:szCs w:val="20"/>
          <w:u w:val="none" w:color="auto"/>
        </w:rPr>
        <w:t>4</w:t>
      </w:r>
      <w:r>
        <w:rPr>
          <w:rFonts w:ascii="Times New Roman" w:hAnsi="Times New Roman" w:eastAsia="宋体" w:cs="Times New Roman"/>
          <w:b/>
          <w:snapToGrid w:val="0"/>
          <w:color w:val="auto"/>
          <w:sz w:val="28"/>
          <w:szCs w:val="20"/>
          <w:u w:val="none" w:color="auto"/>
        </w:rPr>
        <w:t>.2.1污染气象特征分析</w:t>
      </w:r>
      <w:bookmarkEnd w:id="225"/>
    </w:p>
    <w:p w14:paraId="19825FA1">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本项目采用的是钦州气象站（59632）资料，气象站位于广西壮族自治区钦州市，地理坐标为东经108.6</w:t>
      </w:r>
      <w:r>
        <w:rPr>
          <w:rFonts w:hint="eastAsia" w:ascii="Times New Roman" w:hAnsi="Times New Roman" w:eastAsia="宋体" w:cs="Times New Roman"/>
          <w:color w:val="auto"/>
          <w:kern w:val="0"/>
          <w:sz w:val="24"/>
          <w:szCs w:val="24"/>
          <w:u w:val="none" w:color="auto"/>
        </w:rPr>
        <w:t>167</w:t>
      </w:r>
      <w:r>
        <w:rPr>
          <w:rFonts w:ascii="Times New Roman" w:hAnsi="Times New Roman" w:eastAsia="宋体" w:cs="Times New Roman"/>
          <w:color w:val="auto"/>
          <w:kern w:val="0"/>
          <w:sz w:val="24"/>
          <w:szCs w:val="24"/>
          <w:u w:val="none" w:color="auto"/>
        </w:rPr>
        <w:t>度，北纬21.9</w:t>
      </w:r>
      <w:r>
        <w:rPr>
          <w:rFonts w:hint="eastAsia" w:ascii="Times New Roman" w:hAnsi="Times New Roman" w:eastAsia="宋体" w:cs="Times New Roman"/>
          <w:color w:val="auto"/>
          <w:kern w:val="0"/>
          <w:sz w:val="24"/>
          <w:szCs w:val="24"/>
          <w:u w:val="none" w:color="auto"/>
        </w:rPr>
        <w:t>500</w:t>
      </w:r>
      <w:r>
        <w:rPr>
          <w:rFonts w:ascii="Times New Roman" w:hAnsi="Times New Roman" w:eastAsia="宋体" w:cs="Times New Roman"/>
          <w:color w:val="auto"/>
          <w:kern w:val="0"/>
          <w:sz w:val="24"/>
          <w:szCs w:val="24"/>
          <w:u w:val="none" w:color="auto"/>
        </w:rPr>
        <w:t>度，海拔高度49.2米。气象站始建于1952年，1952年正式进行气象观测。钦州气象站距本项目</w:t>
      </w:r>
      <w:r>
        <w:rPr>
          <w:rFonts w:hint="eastAsia" w:ascii="Times New Roman" w:hAnsi="Times New Roman" w:eastAsia="宋体" w:cs="Times New Roman"/>
          <w:color w:val="auto"/>
          <w:kern w:val="0"/>
          <w:sz w:val="24"/>
          <w:szCs w:val="24"/>
          <w:u w:val="none" w:color="auto"/>
        </w:rPr>
        <w:t>25.336</w:t>
      </w:r>
      <w:r>
        <w:rPr>
          <w:rFonts w:ascii="Times New Roman" w:hAnsi="Times New Roman" w:eastAsia="宋体" w:cs="Times New Roman"/>
          <w:color w:val="auto"/>
          <w:kern w:val="0"/>
          <w:sz w:val="24"/>
          <w:szCs w:val="24"/>
          <w:u w:val="none" w:color="auto"/>
        </w:rPr>
        <w:t>km，是距项目最近的国家气象站，拥有长期的气象观测资料，</w:t>
      </w:r>
    </w:p>
    <w:p w14:paraId="699EFAA7">
      <w:pPr>
        <w:autoSpaceDE w:val="0"/>
        <w:autoSpaceDN w:val="0"/>
        <w:spacing w:line="360" w:lineRule="auto"/>
        <w:ind w:firstLine="482" w:firstLineChars="200"/>
        <w:jc w:val="left"/>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1、气候特征</w:t>
      </w:r>
    </w:p>
    <w:p w14:paraId="69097974">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根据钦州国家一般气象站200</w:t>
      </w:r>
      <w:r>
        <w:rPr>
          <w:rFonts w:hint="eastAsia" w:ascii="Times New Roman" w:hAnsi="Times New Roman" w:eastAsia="宋体" w:cs="Times New Roman"/>
          <w:color w:val="auto"/>
          <w:kern w:val="0"/>
          <w:sz w:val="24"/>
          <w:szCs w:val="20"/>
          <w:u w:val="none" w:color="auto"/>
          <w:lang w:val="en-US" w:eastAsia="zh-CN"/>
        </w:rPr>
        <w:t>4</w:t>
      </w:r>
      <w:r>
        <w:rPr>
          <w:rFonts w:ascii="Times New Roman" w:hAnsi="Times New Roman" w:eastAsia="宋体" w:cs="Times New Roman"/>
          <w:color w:val="auto"/>
          <w:kern w:val="0"/>
          <w:sz w:val="24"/>
          <w:szCs w:val="20"/>
          <w:u w:val="none" w:color="auto"/>
        </w:rPr>
        <w:t>-202</w:t>
      </w:r>
      <w:r>
        <w:rPr>
          <w:rFonts w:hint="eastAsia" w:ascii="Times New Roman" w:hAnsi="Times New Roman" w:eastAsia="宋体" w:cs="Times New Roman"/>
          <w:color w:val="auto"/>
          <w:kern w:val="0"/>
          <w:sz w:val="24"/>
          <w:szCs w:val="20"/>
          <w:u w:val="none" w:color="auto"/>
          <w:lang w:val="en-US" w:eastAsia="zh-CN"/>
        </w:rPr>
        <w:t>3</w:t>
      </w:r>
      <w:r>
        <w:rPr>
          <w:rFonts w:ascii="Times New Roman" w:hAnsi="Times New Roman" w:eastAsia="宋体" w:cs="Times New Roman"/>
          <w:color w:val="auto"/>
          <w:kern w:val="0"/>
          <w:sz w:val="24"/>
          <w:szCs w:val="20"/>
          <w:u w:val="none" w:color="auto"/>
        </w:rPr>
        <w:t>年统计的气象资料分，项目所在区域主要的气象特征见表</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.2-1~表</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.2-3。近20年风玫瑰图见图</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.2-1。</w:t>
      </w:r>
    </w:p>
    <w:p w14:paraId="7F8915AC">
      <w:pPr>
        <w:autoSpaceDE w:val="0"/>
        <w:autoSpaceDN w:val="0"/>
        <w:adjustRightInd w:val="0"/>
        <w:spacing w:before="163" w:beforeLines="50"/>
        <w:jc w:val="center"/>
        <w:rPr>
          <w:rFonts w:ascii="Times New Roman" w:hAnsi="Times New Roman" w:eastAsia="宋体" w:cs="Times New Roman"/>
          <w:b/>
          <w:bCs/>
          <w:color w:val="auto"/>
          <w:kern w:val="0"/>
          <w:sz w:val="24"/>
          <w:szCs w:val="24"/>
          <w:u w:val="none" w:color="auto"/>
        </w:rPr>
      </w:pPr>
      <w:r>
        <w:rPr>
          <w:rFonts w:ascii="Times New Roman" w:hAnsi="Times New Roman" w:eastAsia="宋体" w:cs="Times New Roman"/>
          <w:b/>
          <w:bCs/>
          <w:color w:val="auto"/>
          <w:kern w:val="0"/>
          <w:sz w:val="24"/>
          <w:szCs w:val="24"/>
          <w:u w:val="none" w:color="auto"/>
        </w:rPr>
        <w:t>表</w:t>
      </w:r>
      <w:r>
        <w:rPr>
          <w:rFonts w:hint="eastAsia" w:ascii="Times New Roman" w:hAnsi="Times New Roman" w:eastAsia="宋体" w:cs="Times New Roman"/>
          <w:b/>
          <w:bCs/>
          <w:color w:val="auto"/>
          <w:kern w:val="0"/>
          <w:sz w:val="24"/>
          <w:szCs w:val="24"/>
          <w:u w:val="none" w:color="auto"/>
        </w:rPr>
        <w:t>4</w:t>
      </w:r>
      <w:r>
        <w:rPr>
          <w:rFonts w:ascii="Times New Roman" w:hAnsi="Times New Roman" w:eastAsia="宋体" w:cs="Times New Roman"/>
          <w:b/>
          <w:bCs/>
          <w:color w:val="auto"/>
          <w:kern w:val="0"/>
          <w:sz w:val="24"/>
          <w:szCs w:val="24"/>
          <w:u w:val="none" w:color="auto"/>
        </w:rPr>
        <w:t>.2-1 钦州气象站近20年的主要气候资料统计表</w:t>
      </w:r>
    </w:p>
    <w:tbl>
      <w:tblPr>
        <w:tblStyle w:val="114"/>
        <w:tblW w:w="8790" w:type="dxa"/>
        <w:tblInd w:w="0" w:type="dxa"/>
        <w:tblLayout w:type="fixed"/>
        <w:tblCellMar>
          <w:top w:w="0" w:type="dxa"/>
          <w:left w:w="0" w:type="dxa"/>
          <w:bottom w:w="0" w:type="dxa"/>
          <w:right w:w="0" w:type="dxa"/>
        </w:tblCellMar>
      </w:tblPr>
      <w:tblGrid>
        <w:gridCol w:w="2070"/>
        <w:gridCol w:w="3101"/>
        <w:gridCol w:w="970"/>
        <w:gridCol w:w="1812"/>
        <w:gridCol w:w="837"/>
      </w:tblGrid>
      <w:tr w14:paraId="79D8368C">
        <w:trPr>
          <w:cantSplit/>
          <w:trHeight w:val="20" w:hRule="atLeast"/>
        </w:trPr>
        <w:tc>
          <w:tcPr>
            <w:tcW w:w="5171" w:type="dxa"/>
            <w:gridSpan w:val="2"/>
            <w:tcBorders>
              <w:top w:val="single" w:color="000000" w:sz="12" w:space="0"/>
              <w:left w:val="single" w:color="000000" w:sz="12" w:space="0"/>
              <w:bottom w:val="single" w:color="000000" w:sz="6" w:space="0"/>
              <w:right w:val="single" w:color="000000" w:sz="6" w:space="0"/>
            </w:tcBorders>
            <w:shd w:val="clear" w:color="auto" w:fill="FFFFFF"/>
            <w:vAlign w:val="center"/>
          </w:tcPr>
          <w:p w14:paraId="0E243933">
            <w:pPr>
              <w:autoSpaceDE w:val="0"/>
              <w:autoSpaceDN w:val="0"/>
              <w:jc w:val="center"/>
              <w:rPr>
                <w:rFonts w:ascii="Times New Roman" w:hAnsi="Times New Roman" w:eastAsia="宋体" w:cs="Times New Roman"/>
                <w:b/>
                <w:color w:val="auto"/>
                <w:kern w:val="0"/>
                <w:szCs w:val="21"/>
                <w:u w:val="none" w:color="auto"/>
                <w:lang w:eastAsia="en-US"/>
              </w:rPr>
            </w:pPr>
            <w:r>
              <w:rPr>
                <w:rFonts w:ascii="Times New Roman" w:hAnsi="Times New Roman" w:eastAsia="宋体" w:cs="Times New Roman"/>
                <w:b/>
                <w:color w:val="auto"/>
                <w:kern w:val="0"/>
                <w:szCs w:val="21"/>
                <w:u w:val="none" w:color="auto"/>
                <w:lang w:eastAsia="en-US"/>
              </w:rPr>
              <w:t>统计项目</w:t>
            </w:r>
          </w:p>
        </w:tc>
        <w:tc>
          <w:tcPr>
            <w:tcW w:w="970"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DEB7AFD">
            <w:pPr>
              <w:autoSpaceDE w:val="0"/>
              <w:autoSpaceDN w:val="0"/>
              <w:jc w:val="center"/>
              <w:rPr>
                <w:rFonts w:ascii="Times New Roman" w:hAnsi="Times New Roman" w:eastAsia="宋体" w:cs="Times New Roman"/>
                <w:b/>
                <w:color w:val="auto"/>
                <w:kern w:val="0"/>
                <w:szCs w:val="21"/>
                <w:u w:val="none" w:color="auto"/>
                <w:lang w:eastAsia="en-US"/>
              </w:rPr>
            </w:pPr>
            <w:r>
              <w:rPr>
                <w:rFonts w:ascii="Times New Roman" w:hAnsi="Times New Roman" w:eastAsia="宋体" w:cs="Times New Roman"/>
                <w:b/>
                <w:color w:val="auto"/>
                <w:kern w:val="0"/>
                <w:szCs w:val="21"/>
                <w:u w:val="none" w:color="auto"/>
                <w:lang w:eastAsia="en-US"/>
              </w:rPr>
              <w:t>统计值</w:t>
            </w:r>
          </w:p>
        </w:tc>
        <w:tc>
          <w:tcPr>
            <w:tcW w:w="181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9EFB2F7">
            <w:pPr>
              <w:autoSpaceDE w:val="0"/>
              <w:autoSpaceDN w:val="0"/>
              <w:jc w:val="center"/>
              <w:rPr>
                <w:rFonts w:ascii="Times New Roman" w:hAnsi="Times New Roman" w:eastAsia="宋体" w:cs="Times New Roman"/>
                <w:b/>
                <w:color w:val="auto"/>
                <w:kern w:val="0"/>
                <w:szCs w:val="21"/>
                <w:u w:val="none" w:color="auto"/>
                <w:lang w:eastAsia="en-US"/>
              </w:rPr>
            </w:pPr>
            <w:r>
              <w:rPr>
                <w:rFonts w:ascii="Times New Roman" w:hAnsi="Times New Roman" w:eastAsia="宋体" w:cs="Times New Roman"/>
                <w:b/>
                <w:color w:val="auto"/>
                <w:kern w:val="0"/>
                <w:szCs w:val="21"/>
                <w:u w:val="none" w:color="auto"/>
                <w:lang w:eastAsia="en-US"/>
              </w:rPr>
              <w:t>极值出现时间</w:t>
            </w:r>
          </w:p>
        </w:tc>
        <w:tc>
          <w:tcPr>
            <w:tcW w:w="837" w:type="dxa"/>
            <w:tcBorders>
              <w:top w:val="single" w:color="000000" w:sz="12" w:space="0"/>
              <w:left w:val="single" w:color="000000" w:sz="6" w:space="0"/>
              <w:bottom w:val="single" w:color="000000" w:sz="6" w:space="0"/>
              <w:right w:val="single" w:color="000000" w:sz="12" w:space="0"/>
            </w:tcBorders>
            <w:shd w:val="clear" w:color="auto" w:fill="FFFFFF"/>
            <w:vAlign w:val="center"/>
          </w:tcPr>
          <w:p w14:paraId="1EC307B3">
            <w:pPr>
              <w:autoSpaceDE w:val="0"/>
              <w:autoSpaceDN w:val="0"/>
              <w:jc w:val="center"/>
              <w:rPr>
                <w:rFonts w:ascii="Times New Roman" w:hAnsi="Times New Roman" w:eastAsia="宋体" w:cs="Times New Roman"/>
                <w:b/>
                <w:color w:val="auto"/>
                <w:kern w:val="0"/>
                <w:szCs w:val="21"/>
                <w:u w:val="none" w:color="auto"/>
                <w:lang w:eastAsia="en-US"/>
              </w:rPr>
            </w:pPr>
            <w:r>
              <w:rPr>
                <w:rFonts w:ascii="Times New Roman" w:hAnsi="Times New Roman" w:eastAsia="宋体" w:cs="Times New Roman"/>
                <w:b/>
                <w:color w:val="auto"/>
                <w:kern w:val="0"/>
                <w:szCs w:val="21"/>
                <w:u w:val="none" w:color="auto"/>
                <w:lang w:eastAsia="en-US"/>
              </w:rPr>
              <w:t>极值</w:t>
            </w:r>
          </w:p>
        </w:tc>
      </w:tr>
      <w:tr w14:paraId="56120A4A">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74B6B29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多年平均气温（℃）</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13374EE0">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22.9</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4894DB2">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040127EB">
            <w:pPr>
              <w:autoSpaceDE w:val="0"/>
              <w:autoSpaceDN w:val="0"/>
              <w:jc w:val="center"/>
              <w:rPr>
                <w:rFonts w:ascii="Times New Roman" w:hAnsi="Times New Roman" w:eastAsia="宋体" w:cs="Times New Roman"/>
                <w:color w:val="auto"/>
                <w:kern w:val="0"/>
                <w:szCs w:val="21"/>
                <w:u w:val="none" w:color="auto"/>
                <w:lang w:eastAsia="en-US"/>
              </w:rPr>
            </w:pPr>
          </w:p>
        </w:tc>
      </w:tr>
      <w:tr w14:paraId="3879AF61">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5245ED6D">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累年极端最高气温（℃）</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44DDA7E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37.9</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4939C4B">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2005-07-19</w:t>
            </w: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60C37C8F">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37.9</w:t>
            </w:r>
          </w:p>
        </w:tc>
      </w:tr>
      <w:tr w14:paraId="41A56CC3">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261938A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累年极端最低气温（℃）</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6468EF2C">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1.6</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52C4F502">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2016-01-24</w:t>
            </w: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6FD39A3F">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1.6</w:t>
            </w:r>
          </w:p>
        </w:tc>
      </w:tr>
      <w:tr w14:paraId="63545864">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62B45AD5">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多年平均气压（hPa）</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D95E87D">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spacing w:val="-1"/>
                <w:kern w:val="0"/>
                <w:szCs w:val="21"/>
                <w:u w:val="none" w:color="auto"/>
                <w:lang w:val="en-US" w:eastAsia="zh-CN"/>
              </w:rPr>
              <w:t>1009.5</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3BAFB11E">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7B5E995D">
            <w:pPr>
              <w:autoSpaceDE w:val="0"/>
              <w:autoSpaceDN w:val="0"/>
              <w:jc w:val="center"/>
              <w:rPr>
                <w:rFonts w:ascii="Times New Roman" w:hAnsi="Times New Roman" w:eastAsia="宋体" w:cs="Times New Roman"/>
                <w:color w:val="auto"/>
                <w:kern w:val="0"/>
                <w:szCs w:val="21"/>
                <w:u w:val="none" w:color="auto"/>
                <w:lang w:eastAsia="en-US"/>
              </w:rPr>
            </w:pPr>
          </w:p>
        </w:tc>
      </w:tr>
      <w:tr w14:paraId="21A348A6">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7D535733">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多年平均水汽压（hPa）</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3BEC6D0A">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22.9</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68AB5E60">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733ECA96">
            <w:pPr>
              <w:autoSpaceDE w:val="0"/>
              <w:autoSpaceDN w:val="0"/>
              <w:jc w:val="center"/>
              <w:rPr>
                <w:rFonts w:ascii="Times New Roman" w:hAnsi="Times New Roman" w:eastAsia="宋体" w:cs="Times New Roman"/>
                <w:color w:val="auto"/>
                <w:kern w:val="0"/>
                <w:szCs w:val="21"/>
                <w:u w:val="none" w:color="auto"/>
                <w:lang w:eastAsia="en-US"/>
              </w:rPr>
            </w:pPr>
          </w:p>
        </w:tc>
      </w:tr>
      <w:tr w14:paraId="13EE13F6">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24967891">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多年平均相对湿度(%)</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7FF585E8">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spacing w:val="-1"/>
                <w:kern w:val="0"/>
                <w:szCs w:val="21"/>
                <w:u w:val="none" w:color="auto"/>
                <w:lang w:val="en-US" w:eastAsia="zh-CN"/>
              </w:rPr>
              <w:t>79.0</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4E4CA7BC">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4B6A164C">
            <w:pPr>
              <w:autoSpaceDE w:val="0"/>
              <w:autoSpaceDN w:val="0"/>
              <w:jc w:val="center"/>
              <w:rPr>
                <w:rFonts w:ascii="Times New Roman" w:hAnsi="Times New Roman" w:eastAsia="宋体" w:cs="Times New Roman"/>
                <w:color w:val="auto"/>
                <w:kern w:val="0"/>
                <w:szCs w:val="21"/>
                <w:u w:val="none" w:color="auto"/>
                <w:lang w:eastAsia="en-US"/>
              </w:rPr>
            </w:pPr>
          </w:p>
        </w:tc>
      </w:tr>
      <w:tr w14:paraId="5803921B">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3B533F5E">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多年平均降雨量(mm)</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2DD8AB94">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spacing w:val="-1"/>
                <w:kern w:val="0"/>
                <w:szCs w:val="21"/>
                <w:u w:val="none" w:color="auto"/>
                <w:lang w:val="en-US" w:eastAsia="zh-CN"/>
              </w:rPr>
              <w:t>2117.5</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51C1B184">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2014-06-11</w:t>
            </w: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1206060A">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380.5</w:t>
            </w:r>
          </w:p>
        </w:tc>
      </w:tr>
      <w:tr w14:paraId="033A2EEE">
        <w:tblPrEx>
          <w:tblCellMar>
            <w:top w:w="0" w:type="dxa"/>
            <w:left w:w="0" w:type="dxa"/>
            <w:bottom w:w="0" w:type="dxa"/>
            <w:right w:w="0" w:type="dxa"/>
          </w:tblCellMar>
        </w:tblPrEx>
        <w:trPr>
          <w:cantSplit/>
          <w:trHeight w:val="20" w:hRule="atLeast"/>
        </w:trPr>
        <w:tc>
          <w:tcPr>
            <w:tcW w:w="2070" w:type="dxa"/>
            <w:vMerge w:val="restart"/>
            <w:tcBorders>
              <w:top w:val="single" w:color="000000" w:sz="6" w:space="0"/>
              <w:left w:val="single" w:color="000000" w:sz="12" w:space="0"/>
              <w:right w:val="single" w:color="000000" w:sz="4" w:space="0"/>
            </w:tcBorders>
            <w:shd w:val="clear" w:color="auto" w:fill="FFFFFF"/>
            <w:vAlign w:val="center"/>
          </w:tcPr>
          <w:p w14:paraId="2412AA18">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w w:val="95"/>
                <w:kern w:val="0"/>
                <w:szCs w:val="21"/>
                <w:u w:val="none" w:color="auto"/>
                <w:lang w:eastAsia="en-US"/>
              </w:rPr>
              <w:t>灾害天气统</w:t>
            </w:r>
            <w:r>
              <w:rPr>
                <w:rFonts w:ascii="Times New Roman" w:hAnsi="Times New Roman" w:eastAsia="宋体" w:cs="Times New Roman"/>
                <w:color w:val="auto"/>
                <w:kern w:val="0"/>
                <w:szCs w:val="21"/>
                <w:u w:val="none" w:color="auto"/>
                <w:lang w:eastAsia="en-US"/>
              </w:rPr>
              <w:t xml:space="preserve"> 计</w:t>
            </w:r>
          </w:p>
        </w:tc>
        <w:tc>
          <w:tcPr>
            <w:tcW w:w="3101" w:type="dxa"/>
            <w:tcBorders>
              <w:top w:val="single" w:color="000000" w:sz="6" w:space="0"/>
              <w:left w:val="single" w:color="000000" w:sz="4" w:space="0"/>
              <w:bottom w:val="single" w:color="000000" w:sz="6" w:space="0"/>
              <w:right w:val="single" w:color="000000" w:sz="6" w:space="0"/>
            </w:tcBorders>
            <w:shd w:val="clear" w:color="auto" w:fill="FFFFFF"/>
            <w:vAlign w:val="center"/>
          </w:tcPr>
          <w:p w14:paraId="65867049">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多年平均沙暴日数(d)</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7D100F2E">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0.0</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348D4F2E">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336EE046">
            <w:pPr>
              <w:autoSpaceDE w:val="0"/>
              <w:autoSpaceDN w:val="0"/>
              <w:jc w:val="center"/>
              <w:rPr>
                <w:rFonts w:ascii="Times New Roman" w:hAnsi="Times New Roman" w:eastAsia="宋体" w:cs="Times New Roman"/>
                <w:color w:val="auto"/>
                <w:kern w:val="0"/>
                <w:szCs w:val="21"/>
                <w:u w:val="none" w:color="auto"/>
                <w:lang w:eastAsia="en-US"/>
              </w:rPr>
            </w:pPr>
          </w:p>
        </w:tc>
      </w:tr>
      <w:tr w14:paraId="7B93AC8D">
        <w:tblPrEx>
          <w:tblCellMar>
            <w:top w:w="0" w:type="dxa"/>
            <w:left w:w="0" w:type="dxa"/>
            <w:bottom w:w="0" w:type="dxa"/>
            <w:right w:w="0" w:type="dxa"/>
          </w:tblCellMar>
        </w:tblPrEx>
        <w:trPr>
          <w:cantSplit/>
          <w:trHeight w:val="20" w:hRule="atLeast"/>
        </w:trPr>
        <w:tc>
          <w:tcPr>
            <w:tcW w:w="2070" w:type="dxa"/>
            <w:vMerge w:val="continue"/>
            <w:tcBorders>
              <w:left w:val="single" w:color="000000" w:sz="12" w:space="0"/>
              <w:right w:val="single" w:color="000000" w:sz="4" w:space="0"/>
            </w:tcBorders>
            <w:shd w:val="clear" w:color="auto" w:fill="FFFFFF"/>
            <w:vAlign w:val="center"/>
          </w:tcPr>
          <w:p w14:paraId="22F4907B">
            <w:pPr>
              <w:autoSpaceDE w:val="0"/>
              <w:autoSpaceDN w:val="0"/>
              <w:jc w:val="center"/>
              <w:rPr>
                <w:rFonts w:ascii="Times New Roman" w:hAnsi="Times New Roman" w:eastAsia="宋体" w:cs="Times New Roman"/>
                <w:color w:val="auto"/>
                <w:kern w:val="0"/>
                <w:szCs w:val="21"/>
                <w:u w:val="none" w:color="auto"/>
                <w:lang w:eastAsia="en-US"/>
              </w:rPr>
            </w:pPr>
          </w:p>
        </w:tc>
        <w:tc>
          <w:tcPr>
            <w:tcW w:w="3101" w:type="dxa"/>
            <w:tcBorders>
              <w:top w:val="single" w:color="000000" w:sz="6" w:space="0"/>
              <w:left w:val="single" w:color="000000" w:sz="4" w:space="0"/>
              <w:bottom w:val="single" w:color="000000" w:sz="6" w:space="0"/>
              <w:right w:val="single" w:color="000000" w:sz="6" w:space="0"/>
            </w:tcBorders>
            <w:shd w:val="clear" w:color="auto" w:fill="FFFFFF"/>
            <w:vAlign w:val="center"/>
          </w:tcPr>
          <w:p w14:paraId="5ECCF97E">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多年平均雷暴日数(d)</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6B20327E">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spacing w:val="-1"/>
                <w:kern w:val="0"/>
                <w:szCs w:val="21"/>
                <w:u w:val="none" w:color="auto"/>
                <w:lang w:val="en-US" w:eastAsia="zh-CN"/>
              </w:rPr>
              <w:t>81</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4981BA0">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1E201264">
            <w:pPr>
              <w:autoSpaceDE w:val="0"/>
              <w:autoSpaceDN w:val="0"/>
              <w:jc w:val="center"/>
              <w:rPr>
                <w:rFonts w:ascii="Times New Roman" w:hAnsi="Times New Roman" w:eastAsia="宋体" w:cs="Times New Roman"/>
                <w:color w:val="auto"/>
                <w:kern w:val="0"/>
                <w:szCs w:val="21"/>
                <w:u w:val="none" w:color="auto"/>
                <w:lang w:eastAsia="en-US"/>
              </w:rPr>
            </w:pPr>
          </w:p>
        </w:tc>
      </w:tr>
      <w:tr w14:paraId="6F908525">
        <w:tblPrEx>
          <w:tblCellMar>
            <w:top w:w="0" w:type="dxa"/>
            <w:left w:w="0" w:type="dxa"/>
            <w:bottom w:w="0" w:type="dxa"/>
            <w:right w:w="0" w:type="dxa"/>
          </w:tblCellMar>
        </w:tblPrEx>
        <w:trPr>
          <w:cantSplit/>
          <w:trHeight w:val="20" w:hRule="atLeast"/>
        </w:trPr>
        <w:tc>
          <w:tcPr>
            <w:tcW w:w="2070" w:type="dxa"/>
            <w:vMerge w:val="continue"/>
            <w:tcBorders>
              <w:left w:val="single" w:color="000000" w:sz="12" w:space="0"/>
              <w:right w:val="single" w:color="000000" w:sz="4" w:space="0"/>
            </w:tcBorders>
            <w:shd w:val="clear" w:color="auto" w:fill="FFFFFF"/>
            <w:vAlign w:val="center"/>
          </w:tcPr>
          <w:p w14:paraId="58AEFA70">
            <w:pPr>
              <w:autoSpaceDE w:val="0"/>
              <w:autoSpaceDN w:val="0"/>
              <w:jc w:val="center"/>
              <w:rPr>
                <w:rFonts w:ascii="Times New Roman" w:hAnsi="Times New Roman" w:eastAsia="宋体" w:cs="Times New Roman"/>
                <w:color w:val="auto"/>
                <w:kern w:val="0"/>
                <w:szCs w:val="21"/>
                <w:u w:val="none" w:color="auto"/>
                <w:lang w:eastAsia="en-US"/>
              </w:rPr>
            </w:pPr>
          </w:p>
        </w:tc>
        <w:tc>
          <w:tcPr>
            <w:tcW w:w="3101" w:type="dxa"/>
            <w:tcBorders>
              <w:top w:val="single" w:color="000000" w:sz="6" w:space="0"/>
              <w:left w:val="single" w:color="000000" w:sz="4" w:space="0"/>
              <w:bottom w:val="single" w:color="000000" w:sz="6" w:space="0"/>
              <w:right w:val="single" w:color="000000" w:sz="6" w:space="0"/>
            </w:tcBorders>
            <w:shd w:val="clear" w:color="auto" w:fill="FFFFFF"/>
            <w:vAlign w:val="center"/>
          </w:tcPr>
          <w:p w14:paraId="3B5B8FB0">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多年平均冰雹日数(d)</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66B0492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0.1</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5288EA5">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4F0F660D">
            <w:pPr>
              <w:autoSpaceDE w:val="0"/>
              <w:autoSpaceDN w:val="0"/>
              <w:jc w:val="center"/>
              <w:rPr>
                <w:rFonts w:ascii="Times New Roman" w:hAnsi="Times New Roman" w:eastAsia="宋体" w:cs="Times New Roman"/>
                <w:color w:val="auto"/>
                <w:kern w:val="0"/>
                <w:szCs w:val="21"/>
                <w:u w:val="none" w:color="auto"/>
                <w:lang w:eastAsia="en-US"/>
              </w:rPr>
            </w:pPr>
          </w:p>
        </w:tc>
      </w:tr>
      <w:tr w14:paraId="140E7909">
        <w:tblPrEx>
          <w:tblCellMar>
            <w:top w:w="0" w:type="dxa"/>
            <w:left w:w="0" w:type="dxa"/>
            <w:bottom w:w="0" w:type="dxa"/>
            <w:right w:w="0" w:type="dxa"/>
          </w:tblCellMar>
        </w:tblPrEx>
        <w:trPr>
          <w:cantSplit/>
          <w:trHeight w:val="20" w:hRule="atLeast"/>
        </w:trPr>
        <w:tc>
          <w:tcPr>
            <w:tcW w:w="2070" w:type="dxa"/>
            <w:vMerge w:val="continue"/>
            <w:tcBorders>
              <w:left w:val="single" w:color="000000" w:sz="12" w:space="0"/>
              <w:bottom w:val="single" w:color="000000" w:sz="6" w:space="0"/>
              <w:right w:val="single" w:color="000000" w:sz="4" w:space="0"/>
            </w:tcBorders>
            <w:shd w:val="clear" w:color="auto" w:fill="FFFFFF"/>
            <w:vAlign w:val="center"/>
          </w:tcPr>
          <w:p w14:paraId="545F2002">
            <w:pPr>
              <w:autoSpaceDE w:val="0"/>
              <w:autoSpaceDN w:val="0"/>
              <w:jc w:val="center"/>
              <w:rPr>
                <w:rFonts w:ascii="Times New Roman" w:hAnsi="Times New Roman" w:eastAsia="宋体" w:cs="Times New Roman"/>
                <w:color w:val="auto"/>
                <w:kern w:val="0"/>
                <w:szCs w:val="21"/>
                <w:u w:val="none" w:color="auto"/>
                <w:lang w:eastAsia="en-US"/>
              </w:rPr>
            </w:pPr>
          </w:p>
        </w:tc>
        <w:tc>
          <w:tcPr>
            <w:tcW w:w="3101" w:type="dxa"/>
            <w:tcBorders>
              <w:top w:val="single" w:color="000000" w:sz="6" w:space="0"/>
              <w:left w:val="single" w:color="000000" w:sz="4" w:space="0"/>
              <w:bottom w:val="single" w:color="000000" w:sz="6" w:space="0"/>
              <w:right w:val="single" w:color="000000" w:sz="6" w:space="0"/>
            </w:tcBorders>
            <w:shd w:val="clear" w:color="auto" w:fill="FFFFFF"/>
            <w:vAlign w:val="center"/>
          </w:tcPr>
          <w:p w14:paraId="40111473">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多年平均大风日数(d)</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507F17C6">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2.5</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58F72C13">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6512E015">
            <w:pPr>
              <w:autoSpaceDE w:val="0"/>
              <w:autoSpaceDN w:val="0"/>
              <w:jc w:val="center"/>
              <w:rPr>
                <w:rFonts w:ascii="Times New Roman" w:hAnsi="Times New Roman" w:eastAsia="宋体" w:cs="Times New Roman"/>
                <w:color w:val="auto"/>
                <w:kern w:val="0"/>
                <w:szCs w:val="21"/>
                <w:u w:val="none" w:color="auto"/>
                <w:lang w:eastAsia="en-US"/>
              </w:rPr>
            </w:pPr>
          </w:p>
        </w:tc>
      </w:tr>
      <w:tr w14:paraId="458CCDD2">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130323F8">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多年实测极大风速（m/s）、相应风向</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63CCBFD3">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37.5</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2A0FA29E">
            <w:pPr>
              <w:autoSpaceDE w:val="0"/>
              <w:autoSpaceDN w:val="0"/>
              <w:jc w:val="center"/>
              <w:rPr>
                <w:rFonts w:ascii="Times New Roman" w:hAnsi="Times New Roman" w:eastAsia="宋体" w:cs="Times New Roman"/>
                <w:color w:val="auto"/>
                <w:kern w:val="0"/>
                <w:szCs w:val="21"/>
                <w:u w:val="none" w:color="auto"/>
                <w:lang w:eastAsia="en-US"/>
              </w:rPr>
            </w:pPr>
          </w:p>
          <w:p w14:paraId="2B2EAC34">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ascii="Times New Roman" w:hAnsi="Times New Roman" w:eastAsia="宋体" w:cs="Times New Roman"/>
                <w:color w:val="auto"/>
                <w:spacing w:val="-1"/>
                <w:kern w:val="0"/>
                <w:szCs w:val="21"/>
                <w:u w:val="none" w:color="auto"/>
                <w:lang w:eastAsia="en-US"/>
              </w:rPr>
              <w:t>20</w:t>
            </w:r>
            <w:r>
              <w:rPr>
                <w:rFonts w:hint="eastAsia" w:ascii="Times New Roman" w:hAnsi="Times New Roman" w:eastAsia="宋体" w:cs="Times New Roman"/>
                <w:color w:val="auto"/>
                <w:spacing w:val="-1"/>
                <w:kern w:val="0"/>
                <w:szCs w:val="21"/>
                <w:u w:val="none" w:color="auto"/>
                <w:lang w:val="en-US" w:eastAsia="zh-CN"/>
              </w:rPr>
              <w:t>22</w:t>
            </w:r>
            <w:r>
              <w:rPr>
                <w:rFonts w:ascii="Times New Roman" w:hAnsi="Times New Roman" w:eastAsia="宋体" w:cs="Times New Roman"/>
                <w:color w:val="auto"/>
                <w:spacing w:val="-1"/>
                <w:kern w:val="0"/>
                <w:szCs w:val="21"/>
                <w:u w:val="none" w:color="auto"/>
                <w:lang w:eastAsia="en-US"/>
              </w:rPr>
              <w:t>-</w:t>
            </w:r>
            <w:r>
              <w:rPr>
                <w:rFonts w:hint="eastAsia" w:ascii="Times New Roman" w:hAnsi="Times New Roman" w:eastAsia="宋体" w:cs="Times New Roman"/>
                <w:color w:val="auto"/>
                <w:spacing w:val="-1"/>
                <w:kern w:val="0"/>
                <w:szCs w:val="21"/>
                <w:u w:val="none" w:color="auto"/>
                <w:lang w:val="en-US" w:eastAsia="zh-CN"/>
              </w:rPr>
              <w:t>6</w:t>
            </w:r>
            <w:r>
              <w:rPr>
                <w:rFonts w:ascii="Times New Roman" w:hAnsi="Times New Roman" w:eastAsia="宋体" w:cs="Times New Roman"/>
                <w:color w:val="auto"/>
                <w:spacing w:val="-1"/>
                <w:kern w:val="0"/>
                <w:szCs w:val="21"/>
                <w:u w:val="none" w:color="auto"/>
                <w:lang w:eastAsia="en-US"/>
              </w:rPr>
              <w:t>-</w:t>
            </w:r>
            <w:r>
              <w:rPr>
                <w:rFonts w:hint="eastAsia" w:ascii="Times New Roman" w:hAnsi="Times New Roman" w:eastAsia="宋体" w:cs="Times New Roman"/>
                <w:color w:val="auto"/>
                <w:spacing w:val="-1"/>
                <w:kern w:val="0"/>
                <w:szCs w:val="21"/>
                <w:u w:val="none" w:color="auto"/>
                <w:lang w:val="en-US" w:eastAsia="zh-CN"/>
              </w:rPr>
              <w:t>23</w:t>
            </w: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122CF2F8">
            <w:pPr>
              <w:autoSpaceDE w:val="0"/>
              <w:autoSpaceDN w:val="0"/>
              <w:jc w:val="center"/>
              <w:rPr>
                <w:rFonts w:ascii="Times New Roman" w:hAnsi="Times New Roman" w:eastAsia="宋体" w:cs="Times New Roman"/>
                <w:color w:val="auto"/>
                <w:kern w:val="0"/>
                <w:szCs w:val="21"/>
                <w:u w:val="none" w:color="auto"/>
                <w:lang w:eastAsia="en-US"/>
              </w:rPr>
            </w:pPr>
            <w:r>
              <w:rPr>
                <w:rFonts w:hint="eastAsia" w:ascii="Times New Roman" w:hAnsi="Times New Roman" w:eastAsia="宋体" w:cs="Times New Roman"/>
                <w:color w:val="auto"/>
                <w:spacing w:val="-1"/>
                <w:kern w:val="0"/>
                <w:szCs w:val="21"/>
                <w:u w:val="none" w:color="auto"/>
                <w:lang w:val="en-US" w:eastAsia="zh-CN"/>
              </w:rPr>
              <w:t>163.0SS</w:t>
            </w:r>
            <w:r>
              <w:rPr>
                <w:rFonts w:ascii="Times New Roman" w:hAnsi="Times New Roman" w:eastAsia="宋体" w:cs="Times New Roman"/>
                <w:color w:val="auto"/>
                <w:spacing w:val="-1"/>
                <w:kern w:val="0"/>
                <w:szCs w:val="21"/>
                <w:u w:val="none" w:color="auto"/>
                <w:lang w:eastAsia="en-US"/>
              </w:rPr>
              <w:t>E</w:t>
            </w:r>
          </w:p>
        </w:tc>
      </w:tr>
      <w:tr w14:paraId="095E094F">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6" w:space="0"/>
              <w:right w:val="single" w:color="000000" w:sz="6" w:space="0"/>
            </w:tcBorders>
            <w:shd w:val="clear" w:color="auto" w:fill="FFFFFF"/>
            <w:vAlign w:val="center"/>
          </w:tcPr>
          <w:p w14:paraId="4612BF96">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多年平均风速（m/s）</w:t>
            </w:r>
          </w:p>
        </w:tc>
        <w:tc>
          <w:tcPr>
            <w:tcW w:w="970"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37CFEBF0">
            <w:pPr>
              <w:autoSpaceDE w:val="0"/>
              <w:autoSpaceDN w:val="0"/>
              <w:jc w:val="center"/>
              <w:rPr>
                <w:rFonts w:hint="eastAsia" w:ascii="Times New Roman" w:hAnsi="Times New Roman" w:eastAsia="宋体" w:cs="Times New Roman"/>
                <w:color w:val="auto"/>
                <w:kern w:val="0"/>
                <w:szCs w:val="21"/>
                <w:u w:val="none" w:color="auto"/>
                <w:lang w:eastAsia="zh-CN"/>
              </w:rPr>
            </w:pPr>
            <w:r>
              <w:rPr>
                <w:rFonts w:ascii="Times New Roman" w:hAnsi="Times New Roman" w:eastAsia="宋体" w:cs="Times New Roman"/>
                <w:color w:val="auto"/>
                <w:spacing w:val="-1"/>
                <w:kern w:val="0"/>
                <w:szCs w:val="21"/>
                <w:u w:val="none" w:color="auto"/>
                <w:lang w:eastAsia="en-US"/>
              </w:rPr>
              <w:t>2.</w:t>
            </w:r>
            <w:r>
              <w:rPr>
                <w:rFonts w:hint="eastAsia" w:ascii="Times New Roman" w:hAnsi="Times New Roman" w:eastAsia="宋体" w:cs="Times New Roman"/>
                <w:color w:val="auto"/>
                <w:spacing w:val="-1"/>
                <w:kern w:val="0"/>
                <w:szCs w:val="21"/>
                <w:u w:val="none" w:color="auto"/>
                <w:lang w:val="en-US" w:eastAsia="zh-CN"/>
              </w:rPr>
              <w:t>4</w:t>
            </w:r>
          </w:p>
        </w:tc>
        <w:tc>
          <w:tcPr>
            <w:tcW w:w="1812"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0F1DB740">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6" w:space="0"/>
              <w:right w:val="single" w:color="000000" w:sz="12" w:space="0"/>
            </w:tcBorders>
            <w:shd w:val="clear" w:color="auto" w:fill="FFFFFF"/>
            <w:vAlign w:val="center"/>
          </w:tcPr>
          <w:p w14:paraId="01702CD2">
            <w:pPr>
              <w:autoSpaceDE w:val="0"/>
              <w:autoSpaceDN w:val="0"/>
              <w:jc w:val="center"/>
              <w:rPr>
                <w:rFonts w:ascii="Times New Roman" w:hAnsi="Times New Roman" w:eastAsia="宋体" w:cs="Times New Roman"/>
                <w:color w:val="auto"/>
                <w:kern w:val="0"/>
                <w:szCs w:val="21"/>
                <w:u w:val="none" w:color="auto"/>
                <w:lang w:eastAsia="en-US"/>
              </w:rPr>
            </w:pPr>
          </w:p>
        </w:tc>
      </w:tr>
      <w:tr w14:paraId="1897BDCF">
        <w:tblPrEx>
          <w:tblCellMar>
            <w:top w:w="0" w:type="dxa"/>
            <w:left w:w="0" w:type="dxa"/>
            <w:bottom w:w="0" w:type="dxa"/>
            <w:right w:w="0" w:type="dxa"/>
          </w:tblCellMar>
        </w:tblPrEx>
        <w:trPr>
          <w:cantSplit/>
          <w:trHeight w:val="20" w:hRule="atLeast"/>
        </w:trPr>
        <w:tc>
          <w:tcPr>
            <w:tcW w:w="5171" w:type="dxa"/>
            <w:gridSpan w:val="2"/>
            <w:tcBorders>
              <w:top w:val="single" w:color="000000" w:sz="6" w:space="0"/>
              <w:left w:val="single" w:color="000000" w:sz="12" w:space="0"/>
              <w:bottom w:val="single" w:color="000000" w:sz="12" w:space="0"/>
              <w:right w:val="single" w:color="000000" w:sz="6" w:space="0"/>
            </w:tcBorders>
            <w:shd w:val="clear" w:color="auto" w:fill="FFFFFF"/>
            <w:vAlign w:val="center"/>
          </w:tcPr>
          <w:p w14:paraId="1E91E1FD">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多年主导风向、风向频率(%)</w:t>
            </w:r>
          </w:p>
        </w:tc>
        <w:tc>
          <w:tcPr>
            <w:tcW w:w="970"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0B5CFC00">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N</w:t>
            </w:r>
          </w:p>
          <w:p w14:paraId="5024696D">
            <w:pPr>
              <w:autoSpaceDE w:val="0"/>
              <w:autoSpaceDN w:val="0"/>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spacing w:val="-1"/>
                <w:kern w:val="0"/>
                <w:szCs w:val="21"/>
                <w:u w:val="none" w:color="auto"/>
                <w:lang w:val="en-US" w:eastAsia="zh-CN"/>
              </w:rPr>
              <w:t>17.1</w:t>
            </w:r>
          </w:p>
        </w:tc>
        <w:tc>
          <w:tcPr>
            <w:tcW w:w="181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310A516">
            <w:pPr>
              <w:autoSpaceDE w:val="0"/>
              <w:autoSpaceDN w:val="0"/>
              <w:jc w:val="center"/>
              <w:rPr>
                <w:rFonts w:ascii="Times New Roman" w:hAnsi="Times New Roman" w:eastAsia="宋体" w:cs="Times New Roman"/>
                <w:color w:val="auto"/>
                <w:kern w:val="0"/>
                <w:szCs w:val="21"/>
                <w:u w:val="none" w:color="auto"/>
                <w:lang w:eastAsia="en-US"/>
              </w:rPr>
            </w:pPr>
          </w:p>
        </w:tc>
        <w:tc>
          <w:tcPr>
            <w:tcW w:w="837" w:type="dxa"/>
            <w:tcBorders>
              <w:top w:val="single" w:color="000000" w:sz="6" w:space="0"/>
              <w:left w:val="single" w:color="000000" w:sz="6" w:space="0"/>
              <w:bottom w:val="single" w:color="000000" w:sz="12" w:space="0"/>
              <w:right w:val="single" w:color="000000" w:sz="12" w:space="0"/>
            </w:tcBorders>
            <w:shd w:val="clear" w:color="auto" w:fill="FFFFFF"/>
            <w:vAlign w:val="center"/>
          </w:tcPr>
          <w:p w14:paraId="7E60F943">
            <w:pPr>
              <w:autoSpaceDE w:val="0"/>
              <w:autoSpaceDN w:val="0"/>
              <w:jc w:val="center"/>
              <w:rPr>
                <w:rFonts w:ascii="Times New Roman" w:hAnsi="Times New Roman" w:eastAsia="宋体" w:cs="Times New Roman"/>
                <w:color w:val="auto"/>
                <w:kern w:val="0"/>
                <w:szCs w:val="21"/>
                <w:u w:val="none" w:color="auto"/>
                <w:lang w:eastAsia="en-US"/>
              </w:rPr>
            </w:pPr>
          </w:p>
        </w:tc>
      </w:tr>
    </w:tbl>
    <w:p w14:paraId="22CB9C16">
      <w:pPr>
        <w:autoSpaceDE w:val="0"/>
        <w:autoSpaceDN w:val="0"/>
        <w:adjustRightInd w:val="0"/>
        <w:jc w:val="center"/>
        <w:rPr>
          <w:rFonts w:ascii="Times New Roman" w:hAnsi="Times New Roman" w:eastAsia="宋体" w:cs="Times New Roman"/>
          <w:b/>
          <w:bCs/>
          <w:color w:val="auto"/>
          <w:kern w:val="0"/>
          <w:szCs w:val="24"/>
          <w:u w:val="none" w:color="auto"/>
        </w:rPr>
      </w:pPr>
    </w:p>
    <w:p w14:paraId="12BB40F8">
      <w:pPr>
        <w:pStyle w:val="35"/>
        <w:autoSpaceDE w:val="0"/>
        <w:autoSpaceDN w:val="0"/>
        <w:ind w:firstLine="210"/>
        <w:rPr>
          <w:rFonts w:ascii="Times New Roman" w:hAnsi="Times New Roman" w:cs="Times New Roman"/>
          <w:color w:val="auto"/>
          <w:kern w:val="0"/>
          <w:u w:val="none" w:color="auto"/>
        </w:rPr>
      </w:pPr>
      <w:r>
        <w:rPr>
          <w:rFonts w:ascii="Times New Roman" w:hAnsi="Times New Roman" w:cs="Times New Roman"/>
          <w:color w:val="auto"/>
          <w:kern w:val="0"/>
          <w:u w:val="none" w:color="auto"/>
        </w:rPr>
        <w:br w:type="page"/>
      </w:r>
    </w:p>
    <w:p w14:paraId="0EB9AE5A">
      <w:pPr>
        <w:autoSpaceDE w:val="0"/>
        <w:autoSpaceDN w:val="0"/>
        <w:adjustRightInd w:val="0"/>
        <w:spacing w:before="163" w:beforeLines="50"/>
        <w:jc w:val="center"/>
        <w:rPr>
          <w:rFonts w:ascii="Times New Roman" w:hAnsi="Times New Roman" w:eastAsia="宋体" w:cs="Times New Roman"/>
          <w:b/>
          <w:bCs/>
          <w:color w:val="auto"/>
          <w:kern w:val="0"/>
          <w:sz w:val="24"/>
          <w:szCs w:val="24"/>
          <w:u w:val="none" w:color="auto"/>
        </w:rPr>
      </w:pPr>
      <w:r>
        <w:rPr>
          <w:rFonts w:ascii="Times New Roman" w:hAnsi="Times New Roman" w:eastAsia="宋体" w:cs="Times New Roman"/>
          <w:b/>
          <w:bCs/>
          <w:color w:val="auto"/>
          <w:kern w:val="0"/>
          <w:sz w:val="24"/>
          <w:szCs w:val="24"/>
          <w:u w:val="none" w:color="auto"/>
        </w:rPr>
        <w:t>表</w:t>
      </w:r>
      <w:r>
        <w:rPr>
          <w:rFonts w:hint="eastAsia" w:ascii="Times New Roman" w:hAnsi="Times New Roman" w:eastAsia="宋体" w:cs="Times New Roman"/>
          <w:b/>
          <w:bCs/>
          <w:color w:val="auto"/>
          <w:kern w:val="0"/>
          <w:sz w:val="24"/>
          <w:szCs w:val="24"/>
          <w:u w:val="none" w:color="auto"/>
        </w:rPr>
        <w:t>4</w:t>
      </w:r>
      <w:r>
        <w:rPr>
          <w:rFonts w:ascii="Times New Roman" w:hAnsi="Times New Roman" w:eastAsia="宋体" w:cs="Times New Roman"/>
          <w:b/>
          <w:bCs/>
          <w:color w:val="auto"/>
          <w:kern w:val="0"/>
          <w:sz w:val="24"/>
          <w:szCs w:val="24"/>
          <w:u w:val="none" w:color="auto"/>
        </w:rPr>
        <w:t>.2-2 钦州气象站累年（200</w:t>
      </w:r>
      <w:r>
        <w:rPr>
          <w:rFonts w:hint="eastAsia" w:ascii="Times New Roman" w:hAnsi="Times New Roman" w:eastAsia="宋体" w:cs="Times New Roman"/>
          <w:b/>
          <w:bCs/>
          <w:color w:val="auto"/>
          <w:kern w:val="0"/>
          <w:sz w:val="24"/>
          <w:szCs w:val="24"/>
          <w:u w:val="none" w:color="auto"/>
          <w:lang w:val="en-US" w:eastAsia="zh-CN"/>
        </w:rPr>
        <w:t>4</w:t>
      </w:r>
      <w:r>
        <w:rPr>
          <w:rFonts w:ascii="Times New Roman" w:hAnsi="Times New Roman" w:eastAsia="宋体" w:cs="Times New Roman"/>
          <w:b/>
          <w:bCs/>
          <w:color w:val="auto"/>
          <w:kern w:val="0"/>
          <w:sz w:val="24"/>
          <w:szCs w:val="24"/>
          <w:u w:val="none" w:color="auto"/>
        </w:rPr>
        <w:t>-202</w:t>
      </w:r>
      <w:r>
        <w:rPr>
          <w:rFonts w:hint="eastAsia" w:ascii="Times New Roman" w:hAnsi="Times New Roman" w:eastAsia="宋体" w:cs="Times New Roman"/>
          <w:b/>
          <w:bCs/>
          <w:color w:val="auto"/>
          <w:kern w:val="0"/>
          <w:sz w:val="24"/>
          <w:szCs w:val="24"/>
          <w:u w:val="none" w:color="auto"/>
          <w:lang w:val="en-US" w:eastAsia="zh-CN"/>
        </w:rPr>
        <w:t>3</w:t>
      </w:r>
      <w:r>
        <w:rPr>
          <w:rFonts w:ascii="Times New Roman" w:hAnsi="Times New Roman" w:eastAsia="宋体" w:cs="Times New Roman"/>
          <w:b/>
          <w:bCs/>
          <w:color w:val="auto"/>
          <w:kern w:val="0"/>
          <w:sz w:val="24"/>
          <w:szCs w:val="24"/>
          <w:u w:val="none" w:color="auto"/>
        </w:rPr>
        <w:t>年）各月平均风速（m/s）</w:t>
      </w:r>
    </w:p>
    <w:tbl>
      <w:tblPr>
        <w:tblStyle w:val="115"/>
        <w:tblW w:w="8728" w:type="dxa"/>
        <w:tblInd w:w="0" w:type="dxa"/>
        <w:tblLayout w:type="fixed"/>
        <w:tblCellMar>
          <w:top w:w="0" w:type="dxa"/>
          <w:left w:w="0" w:type="dxa"/>
          <w:bottom w:w="0" w:type="dxa"/>
          <w:right w:w="0" w:type="dxa"/>
        </w:tblCellMar>
      </w:tblPr>
      <w:tblGrid>
        <w:gridCol w:w="1008"/>
        <w:gridCol w:w="649"/>
        <w:gridCol w:w="642"/>
        <w:gridCol w:w="643"/>
        <w:gridCol w:w="642"/>
        <w:gridCol w:w="641"/>
        <w:gridCol w:w="642"/>
        <w:gridCol w:w="648"/>
        <w:gridCol w:w="642"/>
        <w:gridCol w:w="642"/>
        <w:gridCol w:w="642"/>
        <w:gridCol w:w="639"/>
        <w:gridCol w:w="648"/>
      </w:tblGrid>
      <w:tr w14:paraId="7371F214">
        <w:tblPrEx>
          <w:tblCellMar>
            <w:top w:w="0" w:type="dxa"/>
            <w:left w:w="0" w:type="dxa"/>
            <w:bottom w:w="0" w:type="dxa"/>
            <w:right w:w="0" w:type="dxa"/>
          </w:tblCellMar>
        </w:tblPrEx>
        <w:trPr>
          <w:cantSplit/>
          <w:trHeight w:val="20" w:hRule="atLeast"/>
        </w:trPr>
        <w:tc>
          <w:tcPr>
            <w:tcW w:w="1008" w:type="dxa"/>
            <w:tcBorders>
              <w:top w:val="single" w:color="000000" w:sz="12" w:space="0"/>
              <w:left w:val="single" w:color="000000" w:sz="12" w:space="0"/>
              <w:bottom w:val="single" w:color="000000" w:sz="6" w:space="0"/>
              <w:right w:val="single" w:color="000000" w:sz="6" w:space="0"/>
            </w:tcBorders>
            <w:shd w:val="clear" w:color="auto" w:fill="FFFFFF"/>
            <w:vAlign w:val="center"/>
          </w:tcPr>
          <w:p w14:paraId="754E0113">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月份</w:t>
            </w:r>
          </w:p>
        </w:tc>
        <w:tc>
          <w:tcPr>
            <w:tcW w:w="649"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B34262F">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1</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90E8796">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2</w:t>
            </w:r>
          </w:p>
        </w:tc>
        <w:tc>
          <w:tcPr>
            <w:tcW w:w="643"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DB84603">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3</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D438A7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4</w:t>
            </w:r>
          </w:p>
        </w:tc>
        <w:tc>
          <w:tcPr>
            <w:tcW w:w="641"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3F5D7244">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5</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6757C4B">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6</w:t>
            </w:r>
          </w:p>
        </w:tc>
        <w:tc>
          <w:tcPr>
            <w:tcW w:w="648"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34FAAFCC">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7</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30C40794">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8</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0056D1D5">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9</w:t>
            </w:r>
          </w:p>
        </w:tc>
        <w:tc>
          <w:tcPr>
            <w:tcW w:w="642"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268E311E">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10</w:t>
            </w:r>
          </w:p>
        </w:tc>
        <w:tc>
          <w:tcPr>
            <w:tcW w:w="639"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E99BE37">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11</w:t>
            </w:r>
          </w:p>
        </w:tc>
        <w:tc>
          <w:tcPr>
            <w:tcW w:w="648" w:type="dxa"/>
            <w:tcBorders>
              <w:top w:val="single" w:color="000000" w:sz="12" w:space="0"/>
              <w:left w:val="single" w:color="000000" w:sz="6" w:space="0"/>
              <w:bottom w:val="single" w:color="000000" w:sz="6" w:space="0"/>
              <w:right w:val="single" w:color="000000" w:sz="12" w:space="0"/>
            </w:tcBorders>
            <w:shd w:val="clear" w:color="auto" w:fill="FFFFFF"/>
            <w:vAlign w:val="center"/>
          </w:tcPr>
          <w:p w14:paraId="26059381">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12</w:t>
            </w:r>
          </w:p>
        </w:tc>
      </w:tr>
      <w:tr w14:paraId="4C41486C">
        <w:tblPrEx>
          <w:tblCellMar>
            <w:top w:w="0" w:type="dxa"/>
            <w:left w:w="0" w:type="dxa"/>
            <w:bottom w:w="0" w:type="dxa"/>
            <w:right w:w="0" w:type="dxa"/>
          </w:tblCellMar>
        </w:tblPrEx>
        <w:trPr>
          <w:cantSplit/>
          <w:trHeight w:val="20" w:hRule="atLeast"/>
        </w:trPr>
        <w:tc>
          <w:tcPr>
            <w:tcW w:w="1008" w:type="dxa"/>
            <w:tcBorders>
              <w:top w:val="single" w:color="000000" w:sz="6" w:space="0"/>
              <w:left w:val="single" w:color="000000" w:sz="12" w:space="0"/>
              <w:bottom w:val="single" w:color="000000" w:sz="12" w:space="0"/>
              <w:right w:val="single" w:color="000000" w:sz="6" w:space="0"/>
            </w:tcBorders>
            <w:shd w:val="clear" w:color="auto" w:fill="FFFFFF"/>
            <w:vAlign w:val="center"/>
          </w:tcPr>
          <w:p w14:paraId="2E92386A">
            <w:pPr>
              <w:autoSpaceDE w:val="0"/>
              <w:autoSpaceDN w:val="0"/>
              <w:jc w:val="center"/>
              <w:rPr>
                <w:rFonts w:ascii="Times New Roman" w:hAnsi="Times New Roman" w:eastAsia="宋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平均风速</w:t>
            </w:r>
          </w:p>
        </w:tc>
        <w:tc>
          <w:tcPr>
            <w:tcW w:w="649"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80C21A4">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2.5</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30F4FBA1">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2.4</w:t>
            </w:r>
          </w:p>
        </w:tc>
        <w:tc>
          <w:tcPr>
            <w:tcW w:w="643"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191FA674">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2.3</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0A64958">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2.3</w:t>
            </w:r>
          </w:p>
        </w:tc>
        <w:tc>
          <w:tcPr>
            <w:tcW w:w="641"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5927759B">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2.5</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5447F64E">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2.3</w:t>
            </w:r>
          </w:p>
        </w:tc>
        <w:tc>
          <w:tcPr>
            <w:tcW w:w="648"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A02575D">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2.3</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4BDB7039">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41425F21">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2.1</w:t>
            </w:r>
          </w:p>
        </w:tc>
        <w:tc>
          <w:tcPr>
            <w:tcW w:w="642"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C76B7D5">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2.4</w:t>
            </w:r>
          </w:p>
        </w:tc>
        <w:tc>
          <w:tcPr>
            <w:tcW w:w="639"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1154E689">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2.3</w:t>
            </w:r>
          </w:p>
        </w:tc>
        <w:tc>
          <w:tcPr>
            <w:tcW w:w="648" w:type="dxa"/>
            <w:tcBorders>
              <w:top w:val="single" w:color="000000" w:sz="6" w:space="0"/>
              <w:left w:val="single" w:color="000000" w:sz="6" w:space="0"/>
              <w:bottom w:val="single" w:color="000000" w:sz="12" w:space="0"/>
              <w:right w:val="single" w:color="000000" w:sz="12" w:space="0"/>
            </w:tcBorders>
            <w:shd w:val="clear" w:color="auto" w:fill="FFFFFF"/>
            <w:vAlign w:val="center"/>
          </w:tcPr>
          <w:p w14:paraId="5369AF11">
            <w:pPr>
              <w:widowControl/>
              <w:jc w:val="center"/>
              <w:textAlignment w:val="center"/>
              <w:rPr>
                <w:rFonts w:ascii="Times New Roman" w:hAnsi="Times New Roman" w:eastAsia="宋体" w:cs="Times New Roman"/>
                <w:color w:val="auto"/>
                <w:kern w:val="0"/>
                <w:szCs w:val="21"/>
                <w:u w:val="none" w:color="auto"/>
                <w:lang w:eastAsia="en-US" w:bidi="ar"/>
              </w:rPr>
            </w:pPr>
            <w:r>
              <w:rPr>
                <w:rFonts w:hint="eastAsia" w:ascii="Times New Roman" w:hAnsi="Times New Roman" w:eastAsia="宋体" w:cs="Times New Roman"/>
                <w:color w:val="auto"/>
                <w:kern w:val="0"/>
                <w:szCs w:val="21"/>
                <w:u w:val="none" w:color="auto"/>
                <w:lang w:val="en-US" w:eastAsia="zh-CN" w:bidi="ar"/>
              </w:rPr>
              <w:t>2.6</w:t>
            </w:r>
          </w:p>
        </w:tc>
      </w:tr>
    </w:tbl>
    <w:p w14:paraId="49498B6E">
      <w:pPr>
        <w:autoSpaceDE w:val="0"/>
        <w:autoSpaceDN w:val="0"/>
        <w:adjustRightInd w:val="0"/>
        <w:spacing w:before="163" w:beforeLines="50"/>
        <w:jc w:val="center"/>
        <w:rPr>
          <w:rFonts w:ascii="Times New Roman" w:hAnsi="Times New Roman" w:eastAsia="宋体" w:cs="Times New Roman"/>
          <w:b/>
          <w:bCs/>
          <w:color w:val="auto"/>
          <w:kern w:val="0"/>
          <w:sz w:val="24"/>
          <w:szCs w:val="24"/>
          <w:u w:val="none" w:color="auto"/>
        </w:rPr>
      </w:pPr>
      <w:r>
        <w:rPr>
          <w:rFonts w:ascii="Times New Roman" w:hAnsi="Times New Roman" w:eastAsia="宋体" w:cs="Times New Roman"/>
          <w:b/>
          <w:bCs/>
          <w:color w:val="auto"/>
          <w:kern w:val="0"/>
          <w:sz w:val="24"/>
          <w:szCs w:val="24"/>
          <w:u w:val="none" w:color="auto"/>
        </w:rPr>
        <w:t>表</w:t>
      </w:r>
      <w:r>
        <w:rPr>
          <w:rFonts w:hint="eastAsia" w:ascii="Times New Roman" w:hAnsi="Times New Roman" w:eastAsia="宋体" w:cs="Times New Roman"/>
          <w:b/>
          <w:bCs/>
          <w:color w:val="auto"/>
          <w:kern w:val="0"/>
          <w:sz w:val="24"/>
          <w:szCs w:val="24"/>
          <w:u w:val="none" w:color="auto"/>
        </w:rPr>
        <w:t>4</w:t>
      </w:r>
      <w:r>
        <w:rPr>
          <w:rFonts w:ascii="Times New Roman" w:hAnsi="Times New Roman" w:eastAsia="宋体" w:cs="Times New Roman"/>
          <w:b/>
          <w:bCs/>
          <w:color w:val="auto"/>
          <w:kern w:val="0"/>
          <w:sz w:val="24"/>
          <w:szCs w:val="24"/>
          <w:u w:val="none" w:color="auto"/>
        </w:rPr>
        <w:t>.2-3 钦州气象站累年各风向频率（%）</w:t>
      </w:r>
    </w:p>
    <w:tbl>
      <w:tblPr>
        <w:tblStyle w:val="116"/>
        <w:tblW w:w="8728" w:type="dxa"/>
        <w:tblInd w:w="0" w:type="dxa"/>
        <w:tblLayout w:type="fixed"/>
        <w:tblCellMar>
          <w:top w:w="0" w:type="dxa"/>
          <w:left w:w="0" w:type="dxa"/>
          <w:bottom w:w="0" w:type="dxa"/>
          <w:right w:w="0" w:type="dxa"/>
        </w:tblCellMar>
      </w:tblPr>
      <w:tblGrid>
        <w:gridCol w:w="484"/>
        <w:gridCol w:w="575"/>
        <w:gridCol w:w="477"/>
        <w:gridCol w:w="477"/>
        <w:gridCol w:w="478"/>
        <w:gridCol w:w="477"/>
        <w:gridCol w:w="477"/>
        <w:gridCol w:w="478"/>
        <w:gridCol w:w="477"/>
        <w:gridCol w:w="477"/>
        <w:gridCol w:w="478"/>
        <w:gridCol w:w="477"/>
        <w:gridCol w:w="595"/>
        <w:gridCol w:w="358"/>
        <w:gridCol w:w="595"/>
        <w:gridCol w:w="356"/>
        <w:gridCol w:w="597"/>
        <w:gridCol w:w="395"/>
      </w:tblGrid>
      <w:tr w14:paraId="5E7CC25D">
        <w:tblPrEx>
          <w:tblCellMar>
            <w:top w:w="0" w:type="dxa"/>
            <w:left w:w="0" w:type="dxa"/>
            <w:bottom w:w="0" w:type="dxa"/>
            <w:right w:w="0" w:type="dxa"/>
          </w:tblCellMar>
        </w:tblPrEx>
        <w:trPr>
          <w:trHeight w:val="748" w:hRule="exact"/>
        </w:trPr>
        <w:tc>
          <w:tcPr>
            <w:tcW w:w="484" w:type="dxa"/>
            <w:tcBorders>
              <w:top w:val="single" w:color="000000" w:sz="12" w:space="0"/>
              <w:left w:val="single" w:color="000000" w:sz="12" w:space="0"/>
              <w:bottom w:val="single" w:color="000000" w:sz="6" w:space="0"/>
              <w:right w:val="single" w:color="000000" w:sz="6" w:space="0"/>
            </w:tcBorders>
            <w:shd w:val="clear" w:color="auto" w:fill="FFFFFF"/>
            <w:vAlign w:val="center"/>
          </w:tcPr>
          <w:p w14:paraId="1C293BDB">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黑体" w:cs="Times New Roman"/>
                <w:color w:val="auto"/>
                <w:kern w:val="0"/>
                <w:szCs w:val="21"/>
                <w:u w:val="none" w:color="auto"/>
                <w:lang w:eastAsia="en-US"/>
              </w:rPr>
              <w:t>风向</w:t>
            </w:r>
          </w:p>
        </w:tc>
        <w:tc>
          <w:tcPr>
            <w:tcW w:w="575"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13CB1CDA">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N</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59AFF5C2">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NNE</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539123A0">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NE</w:t>
            </w:r>
          </w:p>
        </w:tc>
        <w:tc>
          <w:tcPr>
            <w:tcW w:w="478"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7045108E">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ENE</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14E74416">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E</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3F99926D">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ESE</w:t>
            </w:r>
          </w:p>
        </w:tc>
        <w:tc>
          <w:tcPr>
            <w:tcW w:w="478"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55F9C864">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SE</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111A0F61">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SSE</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8228506">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S</w:t>
            </w:r>
          </w:p>
        </w:tc>
        <w:tc>
          <w:tcPr>
            <w:tcW w:w="478"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7542B15">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SSW</w:t>
            </w:r>
          </w:p>
        </w:tc>
        <w:tc>
          <w:tcPr>
            <w:tcW w:w="47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2A669B45">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SW</w:t>
            </w:r>
          </w:p>
        </w:tc>
        <w:tc>
          <w:tcPr>
            <w:tcW w:w="595"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9E0D240">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WSW</w:t>
            </w:r>
          </w:p>
        </w:tc>
        <w:tc>
          <w:tcPr>
            <w:tcW w:w="358"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6673963A">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W</w:t>
            </w:r>
          </w:p>
        </w:tc>
        <w:tc>
          <w:tcPr>
            <w:tcW w:w="595"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558CCB98">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WNW</w:t>
            </w:r>
          </w:p>
        </w:tc>
        <w:tc>
          <w:tcPr>
            <w:tcW w:w="356"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6C8B1295">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NW</w:t>
            </w:r>
          </w:p>
        </w:tc>
        <w:tc>
          <w:tcPr>
            <w:tcW w:w="597" w:type="dxa"/>
            <w:tcBorders>
              <w:top w:val="single" w:color="000000" w:sz="12" w:space="0"/>
              <w:left w:val="single" w:color="000000" w:sz="6" w:space="0"/>
              <w:bottom w:val="single" w:color="000000" w:sz="6" w:space="0"/>
              <w:right w:val="single" w:color="000000" w:sz="6" w:space="0"/>
            </w:tcBorders>
            <w:shd w:val="clear" w:color="auto" w:fill="FFFFFF"/>
            <w:vAlign w:val="center"/>
          </w:tcPr>
          <w:p w14:paraId="4E6D88A0">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spacing w:val="-1"/>
                <w:kern w:val="0"/>
                <w:szCs w:val="21"/>
                <w:u w:val="none" w:color="auto"/>
                <w:lang w:eastAsia="en-US"/>
              </w:rPr>
              <w:t>NNW</w:t>
            </w:r>
          </w:p>
        </w:tc>
        <w:tc>
          <w:tcPr>
            <w:tcW w:w="395" w:type="dxa"/>
            <w:tcBorders>
              <w:top w:val="single" w:color="000000" w:sz="12" w:space="0"/>
              <w:left w:val="single" w:color="000000" w:sz="6" w:space="0"/>
              <w:bottom w:val="single" w:color="000000" w:sz="6" w:space="0"/>
              <w:right w:val="single" w:color="000000" w:sz="12" w:space="0"/>
            </w:tcBorders>
            <w:shd w:val="clear" w:color="auto" w:fill="FFFFFF"/>
            <w:vAlign w:val="center"/>
          </w:tcPr>
          <w:p w14:paraId="616A54EA">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宋体" w:cs="Times New Roman"/>
                <w:color w:val="auto"/>
                <w:kern w:val="0"/>
                <w:szCs w:val="21"/>
                <w:u w:val="none" w:color="auto"/>
                <w:lang w:eastAsia="en-US"/>
              </w:rPr>
              <w:t>C</w:t>
            </w:r>
          </w:p>
        </w:tc>
      </w:tr>
      <w:tr w14:paraId="4BEC819A">
        <w:tblPrEx>
          <w:tblCellMar>
            <w:top w:w="0" w:type="dxa"/>
            <w:left w:w="0" w:type="dxa"/>
            <w:bottom w:w="0" w:type="dxa"/>
            <w:right w:w="0" w:type="dxa"/>
          </w:tblCellMar>
        </w:tblPrEx>
        <w:trPr>
          <w:trHeight w:val="404" w:hRule="exact"/>
        </w:trPr>
        <w:tc>
          <w:tcPr>
            <w:tcW w:w="484" w:type="dxa"/>
            <w:tcBorders>
              <w:top w:val="single" w:color="000000" w:sz="6" w:space="0"/>
              <w:left w:val="single" w:color="000000" w:sz="12" w:space="0"/>
              <w:bottom w:val="single" w:color="000000" w:sz="12" w:space="0"/>
              <w:right w:val="single" w:color="000000" w:sz="6" w:space="0"/>
            </w:tcBorders>
            <w:shd w:val="clear" w:color="auto" w:fill="FFFFFF"/>
            <w:vAlign w:val="center"/>
          </w:tcPr>
          <w:p w14:paraId="3D8AC1E0">
            <w:pPr>
              <w:autoSpaceDE w:val="0"/>
              <w:autoSpaceDN w:val="0"/>
              <w:jc w:val="center"/>
              <w:rPr>
                <w:rFonts w:ascii="Times New Roman" w:hAnsi="Times New Roman" w:eastAsia="黑体" w:cs="Times New Roman"/>
                <w:color w:val="auto"/>
                <w:kern w:val="0"/>
                <w:szCs w:val="21"/>
                <w:u w:val="none" w:color="auto"/>
                <w:lang w:eastAsia="en-US"/>
              </w:rPr>
            </w:pPr>
            <w:r>
              <w:rPr>
                <w:rFonts w:ascii="Times New Roman" w:hAnsi="Times New Roman" w:eastAsia="黑体" w:cs="Times New Roman"/>
                <w:color w:val="auto"/>
                <w:kern w:val="0"/>
                <w:szCs w:val="21"/>
                <w:u w:val="none" w:color="auto"/>
                <w:lang w:eastAsia="en-US"/>
              </w:rPr>
              <w:t>频率</w:t>
            </w:r>
          </w:p>
        </w:tc>
        <w:tc>
          <w:tcPr>
            <w:tcW w:w="575"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3EA724AB">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17.167</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1D956227">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10.617</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10D96A3D">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6.641</w:t>
            </w:r>
          </w:p>
        </w:tc>
        <w:tc>
          <w:tcPr>
            <w:tcW w:w="478"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B7F82EB">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3.5905</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92F95C2">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3.7315</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CBD5E11">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4.618</w:t>
            </w:r>
          </w:p>
        </w:tc>
        <w:tc>
          <w:tcPr>
            <w:tcW w:w="478"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0CE96034">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4.656</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E0698F1">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6.2015</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99754D2">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8.634</w:t>
            </w:r>
          </w:p>
        </w:tc>
        <w:tc>
          <w:tcPr>
            <w:tcW w:w="478"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04C49B50">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8.619</w:t>
            </w:r>
          </w:p>
        </w:tc>
        <w:tc>
          <w:tcPr>
            <w:tcW w:w="47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0FD3B5FA">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3.3525</w:t>
            </w:r>
          </w:p>
        </w:tc>
        <w:tc>
          <w:tcPr>
            <w:tcW w:w="595"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70F41413">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1.938</w:t>
            </w:r>
          </w:p>
        </w:tc>
        <w:tc>
          <w:tcPr>
            <w:tcW w:w="358"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61660B2">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1.0835</w:t>
            </w:r>
          </w:p>
        </w:tc>
        <w:tc>
          <w:tcPr>
            <w:tcW w:w="595"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69BB14E1">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1.779</w:t>
            </w:r>
          </w:p>
        </w:tc>
        <w:tc>
          <w:tcPr>
            <w:tcW w:w="356"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515B3347">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3.376</w:t>
            </w:r>
          </w:p>
        </w:tc>
        <w:tc>
          <w:tcPr>
            <w:tcW w:w="597" w:type="dxa"/>
            <w:tcBorders>
              <w:top w:val="single" w:color="000000" w:sz="6" w:space="0"/>
              <w:left w:val="single" w:color="000000" w:sz="6" w:space="0"/>
              <w:bottom w:val="single" w:color="000000" w:sz="12" w:space="0"/>
              <w:right w:val="single" w:color="000000" w:sz="6" w:space="0"/>
            </w:tcBorders>
            <w:shd w:val="clear" w:color="auto" w:fill="FFFFFF"/>
            <w:vAlign w:val="center"/>
          </w:tcPr>
          <w:p w14:paraId="2FF2F37E">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11.3235</w:t>
            </w:r>
          </w:p>
        </w:tc>
        <w:tc>
          <w:tcPr>
            <w:tcW w:w="395" w:type="dxa"/>
            <w:tcBorders>
              <w:top w:val="single" w:color="000000" w:sz="6" w:space="0"/>
              <w:left w:val="single" w:color="000000" w:sz="6" w:space="0"/>
              <w:bottom w:val="single" w:color="000000" w:sz="12" w:space="0"/>
              <w:right w:val="single" w:color="000000" w:sz="12" w:space="0"/>
            </w:tcBorders>
            <w:shd w:val="clear" w:color="auto" w:fill="FFFFFF"/>
            <w:vAlign w:val="center"/>
          </w:tcPr>
          <w:p w14:paraId="6E298BBC">
            <w:pPr>
              <w:widowControl/>
              <w:jc w:val="center"/>
              <w:textAlignment w:val="center"/>
              <w:rPr>
                <w:rFonts w:hint="eastAsia" w:ascii="Times New Roman" w:hAnsi="Times New Roman" w:eastAsia="宋体" w:cs="Times New Roman"/>
                <w:color w:val="auto"/>
                <w:kern w:val="0"/>
                <w:szCs w:val="21"/>
                <w:u w:val="none" w:color="auto"/>
                <w:lang w:val="en-US" w:eastAsia="en-US" w:bidi="ar"/>
              </w:rPr>
            </w:pPr>
            <w:r>
              <w:rPr>
                <w:rFonts w:hint="eastAsia" w:ascii="Times New Roman" w:hAnsi="Times New Roman" w:eastAsia="宋体" w:cs="Times New Roman"/>
                <w:color w:val="auto"/>
                <w:kern w:val="0"/>
                <w:szCs w:val="21"/>
                <w:u w:val="none" w:color="auto"/>
                <w:lang w:val="en-US" w:eastAsia="zh-CN" w:bidi="ar"/>
              </w:rPr>
              <w:t>2.247</w:t>
            </w:r>
          </w:p>
        </w:tc>
      </w:tr>
    </w:tbl>
    <w:p w14:paraId="5954D460">
      <w:pPr>
        <w:autoSpaceDE w:val="0"/>
        <w:autoSpaceDN w:val="0"/>
        <w:adjustRightInd w:val="0"/>
        <w:jc w:val="center"/>
        <w:rPr>
          <w:rFonts w:ascii="Times New Roman" w:hAnsi="Times New Roman" w:eastAsia="宋体" w:cs="Times New Roman"/>
          <w:b/>
          <w:bCs/>
          <w:color w:val="auto"/>
          <w:kern w:val="0"/>
          <w:sz w:val="20"/>
          <w:szCs w:val="24"/>
          <w:u w:val="none" w:color="auto"/>
        </w:rPr>
      </w:pPr>
      <w:r>
        <w:rPr>
          <w:color w:val="auto"/>
          <w:u w:val="none" w:color="auto"/>
        </w:rPr>
        <w:drawing>
          <wp:inline distT="0" distB="0" distL="0" distR="0">
            <wp:extent cx="4428490" cy="4266565"/>
            <wp:effectExtent l="0" t="0" r="635"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5"/>
                    <a:stretch>
                      <a:fillRect/>
                    </a:stretch>
                  </pic:blipFill>
                  <pic:spPr>
                    <a:xfrm>
                      <a:off x="0" y="0"/>
                      <a:ext cx="4428571" cy="4266667"/>
                    </a:xfrm>
                    <a:prstGeom prst="rect">
                      <a:avLst/>
                    </a:prstGeom>
                  </pic:spPr>
                </pic:pic>
              </a:graphicData>
            </a:graphic>
          </wp:inline>
        </w:drawing>
      </w:r>
    </w:p>
    <w:p w14:paraId="7DDBC315">
      <w:pPr>
        <w:autoSpaceDE w:val="0"/>
        <w:autoSpaceDN w:val="0"/>
        <w:adjustRightInd w:val="0"/>
        <w:spacing w:line="360" w:lineRule="auto"/>
        <w:jc w:val="center"/>
        <w:rPr>
          <w:rFonts w:ascii="Times New Roman" w:hAnsi="Times New Roman" w:eastAsia="宋体" w:cs="Times New Roman"/>
          <w:b/>
          <w:bCs/>
          <w:color w:val="auto"/>
          <w:kern w:val="0"/>
          <w:sz w:val="24"/>
          <w:szCs w:val="24"/>
          <w:u w:val="none" w:color="auto"/>
        </w:rPr>
      </w:pPr>
      <w:r>
        <w:rPr>
          <w:rFonts w:ascii="Times New Roman" w:hAnsi="Times New Roman" w:eastAsia="宋体" w:cs="Times New Roman"/>
          <w:b/>
          <w:bCs/>
          <w:color w:val="auto"/>
          <w:kern w:val="0"/>
          <w:sz w:val="24"/>
          <w:szCs w:val="24"/>
          <w:u w:val="none" w:color="auto"/>
        </w:rPr>
        <w:t>图</w:t>
      </w:r>
      <w:r>
        <w:rPr>
          <w:rFonts w:hint="eastAsia" w:ascii="Times New Roman" w:hAnsi="Times New Roman" w:eastAsia="宋体" w:cs="Times New Roman"/>
          <w:b/>
          <w:bCs/>
          <w:color w:val="auto"/>
          <w:kern w:val="0"/>
          <w:sz w:val="24"/>
          <w:szCs w:val="24"/>
          <w:u w:val="none" w:color="auto"/>
        </w:rPr>
        <w:t>4</w:t>
      </w:r>
      <w:r>
        <w:rPr>
          <w:rFonts w:ascii="Times New Roman" w:hAnsi="Times New Roman" w:eastAsia="宋体" w:cs="Times New Roman"/>
          <w:b/>
          <w:bCs/>
          <w:color w:val="auto"/>
          <w:kern w:val="0"/>
          <w:sz w:val="24"/>
          <w:szCs w:val="24"/>
          <w:u w:val="none" w:color="auto"/>
        </w:rPr>
        <w:t>.2-1 钦州近20年风向玫瑰图（统计年限：200</w:t>
      </w:r>
      <w:r>
        <w:rPr>
          <w:rFonts w:hint="eastAsia" w:ascii="Times New Roman" w:hAnsi="Times New Roman" w:eastAsia="宋体" w:cs="Times New Roman"/>
          <w:b/>
          <w:bCs/>
          <w:color w:val="auto"/>
          <w:kern w:val="0"/>
          <w:sz w:val="24"/>
          <w:szCs w:val="24"/>
          <w:u w:val="none" w:color="auto"/>
          <w:lang w:val="en-US" w:eastAsia="zh-CN"/>
        </w:rPr>
        <w:t>4</w:t>
      </w:r>
      <w:r>
        <w:rPr>
          <w:rFonts w:ascii="Times New Roman" w:hAnsi="Times New Roman" w:eastAsia="宋体" w:cs="Times New Roman"/>
          <w:b/>
          <w:bCs/>
          <w:color w:val="auto"/>
          <w:kern w:val="0"/>
          <w:sz w:val="24"/>
          <w:szCs w:val="24"/>
          <w:u w:val="none" w:color="auto"/>
        </w:rPr>
        <w:t>-202</w:t>
      </w:r>
      <w:r>
        <w:rPr>
          <w:rFonts w:hint="eastAsia" w:ascii="Times New Roman" w:hAnsi="Times New Roman" w:eastAsia="宋体" w:cs="Times New Roman"/>
          <w:b/>
          <w:bCs/>
          <w:color w:val="auto"/>
          <w:kern w:val="0"/>
          <w:sz w:val="24"/>
          <w:szCs w:val="24"/>
          <w:u w:val="none" w:color="auto"/>
          <w:lang w:val="en-US" w:eastAsia="zh-CN"/>
        </w:rPr>
        <w:t>3</w:t>
      </w:r>
      <w:r>
        <w:rPr>
          <w:rFonts w:ascii="Times New Roman" w:hAnsi="Times New Roman" w:eastAsia="宋体" w:cs="Times New Roman"/>
          <w:b/>
          <w:bCs/>
          <w:color w:val="auto"/>
          <w:kern w:val="0"/>
          <w:sz w:val="24"/>
          <w:szCs w:val="24"/>
          <w:u w:val="none" w:color="auto"/>
        </w:rPr>
        <w:t>年）</w:t>
      </w:r>
    </w:p>
    <w:p w14:paraId="0C11F2C8">
      <w:pPr>
        <w:autoSpaceDE w:val="0"/>
        <w:autoSpaceDN w:val="0"/>
        <w:adjustRightInd w:val="0"/>
        <w:jc w:val="center"/>
        <w:rPr>
          <w:rFonts w:ascii="Times New Roman" w:hAnsi="Times New Roman" w:eastAsia="宋体" w:cs="Times New Roman"/>
          <w:b/>
          <w:color w:val="auto"/>
          <w:kern w:val="0"/>
          <w:sz w:val="28"/>
          <w:szCs w:val="20"/>
          <w:u w:val="none" w:color="auto"/>
        </w:rPr>
      </w:pPr>
      <w:bookmarkStart w:id="226" w:name="_Toc3728236"/>
      <w:r>
        <w:rPr>
          <w:rFonts w:ascii="Times New Roman" w:hAnsi="Times New Roman" w:eastAsia="宋体" w:cs="Times New Roman"/>
          <w:b/>
          <w:color w:val="auto"/>
          <w:kern w:val="0"/>
          <w:sz w:val="28"/>
          <w:szCs w:val="20"/>
          <w:u w:val="none" w:color="auto"/>
        </w:rPr>
        <w:br w:type="page"/>
      </w:r>
    </w:p>
    <w:p w14:paraId="551A60F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4"/>
          <w:szCs w:val="20"/>
          <w:u w:val="none" w:color="auto"/>
        </w:rPr>
      </w:pP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.2.2预测因子与内容</w:t>
      </w:r>
      <w:bookmarkEnd w:id="226"/>
    </w:p>
    <w:p w14:paraId="33C55310">
      <w:pPr>
        <w:autoSpaceDE w:val="0"/>
        <w:autoSpaceDN w:val="0"/>
        <w:snapToGrid w:val="0"/>
        <w:spacing w:line="360" w:lineRule="auto"/>
        <w:ind w:firstLine="482"/>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1、排放源源强</w:t>
      </w:r>
    </w:p>
    <w:p w14:paraId="7131DF66">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根据前文工程污染源分析，确定本评价的大气排放源源强及排放参数，详细见表</w:t>
      </w:r>
      <w:r>
        <w:rPr>
          <w:rFonts w:hint="eastAsia" w:ascii="Times New Roman" w:hAnsi="Times New Roman" w:eastAsia="宋体" w:cs="Times New Roman"/>
          <w:color w:val="auto"/>
          <w:kern w:val="0"/>
          <w:sz w:val="24"/>
          <w:szCs w:val="24"/>
          <w:u w:val="none" w:color="auto"/>
        </w:rPr>
        <w:t>4</w:t>
      </w:r>
      <w:r>
        <w:rPr>
          <w:rFonts w:ascii="Times New Roman" w:hAnsi="Times New Roman" w:eastAsia="宋体" w:cs="Times New Roman"/>
          <w:color w:val="auto"/>
          <w:kern w:val="0"/>
          <w:sz w:val="24"/>
          <w:szCs w:val="24"/>
          <w:u w:val="none" w:color="auto"/>
        </w:rPr>
        <w:t>.2-10、</w:t>
      </w:r>
      <w:r>
        <w:rPr>
          <w:rFonts w:hint="eastAsia" w:ascii="Times New Roman" w:hAnsi="Times New Roman" w:eastAsia="宋体" w:cs="Times New Roman"/>
          <w:color w:val="auto"/>
          <w:kern w:val="0"/>
          <w:sz w:val="24"/>
          <w:szCs w:val="24"/>
          <w:u w:val="none" w:color="auto"/>
        </w:rPr>
        <w:t>4</w:t>
      </w:r>
      <w:r>
        <w:rPr>
          <w:rFonts w:ascii="Times New Roman" w:hAnsi="Times New Roman" w:eastAsia="宋体" w:cs="Times New Roman"/>
          <w:color w:val="auto"/>
          <w:kern w:val="0"/>
          <w:sz w:val="24"/>
          <w:szCs w:val="24"/>
          <w:u w:val="none" w:color="auto"/>
        </w:rPr>
        <w:t>.2-11。非正常工况是指非甲烷总烃处理装置出现故障，废气未经处理直接排放的情况。</w:t>
      </w:r>
    </w:p>
    <w:p w14:paraId="3DBE9B2F">
      <w:pPr>
        <w:autoSpaceDE w:val="0"/>
        <w:autoSpaceDN w:val="0"/>
        <w:spacing w:before="163" w:beforeLines="50"/>
        <w:contextualSpacing/>
        <w:jc w:val="center"/>
        <w:rPr>
          <w:rFonts w:ascii="Times New Roman" w:hAnsi="Times New Roman" w:eastAsia="宋体" w:cs="Times New Roman"/>
          <w:b/>
          <w:color w:val="auto"/>
          <w:kern w:val="0"/>
          <w:sz w:val="24"/>
          <w:szCs w:val="24"/>
          <w:u w:val="single" w:color="auto"/>
        </w:rPr>
      </w:pPr>
      <w:r>
        <w:rPr>
          <w:rFonts w:ascii="Times New Roman" w:hAnsi="Times New Roman" w:eastAsia="宋体" w:cs="Times New Roman"/>
          <w:b/>
          <w:color w:val="auto"/>
          <w:kern w:val="0"/>
          <w:sz w:val="24"/>
          <w:szCs w:val="24"/>
          <w:u w:val="single" w:color="auto"/>
        </w:rPr>
        <w:t>表</w:t>
      </w:r>
      <w:r>
        <w:rPr>
          <w:rFonts w:hint="eastAsia" w:ascii="Times New Roman" w:hAnsi="Times New Roman" w:eastAsia="宋体" w:cs="Times New Roman"/>
          <w:b/>
          <w:color w:val="auto"/>
          <w:kern w:val="0"/>
          <w:sz w:val="24"/>
          <w:szCs w:val="24"/>
          <w:u w:val="single" w:color="auto"/>
        </w:rPr>
        <w:t>4</w:t>
      </w:r>
      <w:r>
        <w:rPr>
          <w:rFonts w:ascii="Times New Roman" w:hAnsi="Times New Roman" w:eastAsia="宋体" w:cs="Times New Roman"/>
          <w:b/>
          <w:color w:val="auto"/>
          <w:kern w:val="0"/>
          <w:sz w:val="24"/>
          <w:szCs w:val="24"/>
          <w:u w:val="single" w:color="auto"/>
        </w:rPr>
        <w:t>.2-10 本项目正常工况下</w:t>
      </w:r>
      <w:r>
        <w:rPr>
          <w:rFonts w:hint="eastAsia" w:ascii="Times New Roman" w:hAnsi="Times New Roman" w:eastAsia="宋体" w:cs="Times New Roman"/>
          <w:b/>
          <w:color w:val="auto"/>
          <w:kern w:val="0"/>
          <w:sz w:val="24"/>
          <w:szCs w:val="24"/>
          <w:u w:val="single" w:color="auto"/>
          <w:lang w:val="en-US" w:eastAsia="zh-CN"/>
        </w:rPr>
        <w:t>源强</w:t>
      </w:r>
      <w:r>
        <w:rPr>
          <w:rFonts w:ascii="Times New Roman" w:hAnsi="Times New Roman" w:eastAsia="宋体" w:cs="Times New Roman"/>
          <w:b/>
          <w:color w:val="auto"/>
          <w:kern w:val="0"/>
          <w:sz w:val="24"/>
          <w:szCs w:val="24"/>
          <w:u w:val="single" w:color="auto"/>
        </w:rPr>
        <w:t>排放参数汇总表</w:t>
      </w:r>
    </w:p>
    <w:tbl>
      <w:tblPr>
        <w:tblStyle w:val="3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8"/>
        <w:gridCol w:w="834"/>
        <w:gridCol w:w="169"/>
        <w:gridCol w:w="1058"/>
        <w:gridCol w:w="74"/>
        <w:gridCol w:w="1092"/>
        <w:gridCol w:w="366"/>
        <w:gridCol w:w="663"/>
        <w:gridCol w:w="373"/>
        <w:gridCol w:w="656"/>
        <w:gridCol w:w="254"/>
        <w:gridCol w:w="776"/>
        <w:gridCol w:w="147"/>
        <w:gridCol w:w="1202"/>
      </w:tblGrid>
      <w:tr w14:paraId="73624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14"/>
            <w:vAlign w:val="center"/>
          </w:tcPr>
          <w:p w14:paraId="09853F47">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有组织废气</w:t>
            </w:r>
          </w:p>
        </w:tc>
      </w:tr>
      <w:tr w14:paraId="1052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restart"/>
            <w:vAlign w:val="center"/>
          </w:tcPr>
          <w:p w14:paraId="7B147D58">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排气筒编号</w:t>
            </w:r>
          </w:p>
        </w:tc>
        <w:tc>
          <w:tcPr>
            <w:tcW w:w="1003" w:type="dxa"/>
            <w:gridSpan w:val="2"/>
            <w:vMerge w:val="restart"/>
            <w:vAlign w:val="center"/>
          </w:tcPr>
          <w:p w14:paraId="54E9710B">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污染物</w:t>
            </w:r>
          </w:p>
        </w:tc>
        <w:tc>
          <w:tcPr>
            <w:tcW w:w="1058" w:type="dxa"/>
            <w:vMerge w:val="restart"/>
            <w:vAlign w:val="center"/>
          </w:tcPr>
          <w:p w14:paraId="38D053C6">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设计风量（m</w:t>
            </w:r>
            <w:r>
              <w:rPr>
                <w:rFonts w:ascii="Times New Roman" w:hAnsi="Times New Roman" w:eastAsia="宋体" w:cs="Times New Roman"/>
                <w:color w:val="auto"/>
                <w:szCs w:val="21"/>
                <w:u w:val="single" w:color="auto"/>
                <w:vertAlign w:val="superscript"/>
              </w:rPr>
              <w:t>3</w:t>
            </w:r>
            <w:r>
              <w:rPr>
                <w:rFonts w:ascii="Times New Roman" w:hAnsi="Times New Roman" w:eastAsia="宋体" w:cs="Times New Roman"/>
                <w:color w:val="auto"/>
                <w:szCs w:val="21"/>
                <w:u w:val="single" w:color="auto"/>
              </w:rPr>
              <w:t>/h）</w:t>
            </w:r>
          </w:p>
        </w:tc>
        <w:tc>
          <w:tcPr>
            <w:tcW w:w="1166" w:type="dxa"/>
            <w:gridSpan w:val="2"/>
            <w:vMerge w:val="restart"/>
            <w:vAlign w:val="center"/>
          </w:tcPr>
          <w:p w14:paraId="5662F11B">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速率（kg/h）</w:t>
            </w:r>
          </w:p>
        </w:tc>
        <w:tc>
          <w:tcPr>
            <w:tcW w:w="4437" w:type="dxa"/>
            <w:gridSpan w:val="8"/>
            <w:vAlign w:val="center"/>
          </w:tcPr>
          <w:p w14:paraId="52086B90">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排放参数</w:t>
            </w:r>
          </w:p>
        </w:tc>
      </w:tr>
      <w:tr w14:paraId="4B4CA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787B55C4">
            <w:pPr>
              <w:widowControl/>
              <w:snapToGrid w:val="0"/>
              <w:jc w:val="center"/>
              <w:rPr>
                <w:rFonts w:ascii="Times New Roman" w:hAnsi="Times New Roman" w:eastAsia="宋体" w:cs="Times New Roman"/>
                <w:color w:val="auto"/>
                <w:szCs w:val="21"/>
                <w:u w:val="single" w:color="auto"/>
              </w:rPr>
            </w:pPr>
          </w:p>
        </w:tc>
        <w:tc>
          <w:tcPr>
            <w:tcW w:w="1003" w:type="dxa"/>
            <w:gridSpan w:val="2"/>
            <w:vMerge w:val="continue"/>
            <w:vAlign w:val="center"/>
          </w:tcPr>
          <w:p w14:paraId="19F67E4E">
            <w:pPr>
              <w:widowControl/>
              <w:snapToGrid w:val="0"/>
              <w:jc w:val="center"/>
              <w:rPr>
                <w:rFonts w:ascii="Times New Roman" w:hAnsi="Times New Roman" w:eastAsia="宋体" w:cs="Times New Roman"/>
                <w:color w:val="auto"/>
                <w:szCs w:val="21"/>
                <w:u w:val="single" w:color="auto"/>
              </w:rPr>
            </w:pPr>
          </w:p>
        </w:tc>
        <w:tc>
          <w:tcPr>
            <w:tcW w:w="1058" w:type="dxa"/>
            <w:vMerge w:val="continue"/>
            <w:vAlign w:val="center"/>
          </w:tcPr>
          <w:p w14:paraId="7E7AD840">
            <w:pPr>
              <w:widowControl/>
              <w:snapToGrid w:val="0"/>
              <w:jc w:val="center"/>
              <w:rPr>
                <w:rFonts w:ascii="Times New Roman" w:hAnsi="Times New Roman" w:eastAsia="宋体" w:cs="Times New Roman"/>
                <w:color w:val="auto"/>
                <w:szCs w:val="21"/>
                <w:u w:val="single" w:color="auto"/>
              </w:rPr>
            </w:pPr>
          </w:p>
        </w:tc>
        <w:tc>
          <w:tcPr>
            <w:tcW w:w="1166" w:type="dxa"/>
            <w:gridSpan w:val="2"/>
            <w:vMerge w:val="continue"/>
            <w:vAlign w:val="center"/>
          </w:tcPr>
          <w:p w14:paraId="55261E94">
            <w:pPr>
              <w:widowControl/>
              <w:snapToGrid w:val="0"/>
              <w:jc w:val="center"/>
              <w:rPr>
                <w:rFonts w:ascii="Times New Roman" w:hAnsi="Times New Roman" w:eastAsia="宋体" w:cs="Times New Roman"/>
                <w:color w:val="auto"/>
                <w:szCs w:val="21"/>
                <w:u w:val="single" w:color="auto"/>
              </w:rPr>
            </w:pPr>
          </w:p>
        </w:tc>
        <w:tc>
          <w:tcPr>
            <w:tcW w:w="1029" w:type="dxa"/>
            <w:gridSpan w:val="2"/>
            <w:vAlign w:val="center"/>
          </w:tcPr>
          <w:p w14:paraId="45FC8006">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高度（m）</w:t>
            </w:r>
          </w:p>
        </w:tc>
        <w:tc>
          <w:tcPr>
            <w:tcW w:w="1029" w:type="dxa"/>
            <w:gridSpan w:val="2"/>
            <w:vAlign w:val="center"/>
          </w:tcPr>
          <w:p w14:paraId="288EF8C8">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内径（m）</w:t>
            </w:r>
          </w:p>
        </w:tc>
        <w:tc>
          <w:tcPr>
            <w:tcW w:w="1030" w:type="dxa"/>
            <w:gridSpan w:val="2"/>
            <w:vAlign w:val="center"/>
          </w:tcPr>
          <w:p w14:paraId="37C647B5">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温度（℃）</w:t>
            </w:r>
          </w:p>
        </w:tc>
        <w:tc>
          <w:tcPr>
            <w:tcW w:w="1349" w:type="dxa"/>
            <w:gridSpan w:val="2"/>
            <w:vAlign w:val="center"/>
          </w:tcPr>
          <w:p w14:paraId="51A3882D">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坐标（x,y,z）</w:t>
            </w:r>
          </w:p>
        </w:tc>
      </w:tr>
      <w:tr w14:paraId="0B332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Align w:val="center"/>
          </w:tcPr>
          <w:p w14:paraId="3704208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DA001</w:t>
            </w:r>
          </w:p>
        </w:tc>
        <w:tc>
          <w:tcPr>
            <w:tcW w:w="1003" w:type="dxa"/>
            <w:gridSpan w:val="2"/>
            <w:vAlign w:val="center"/>
          </w:tcPr>
          <w:p w14:paraId="3D906896">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058" w:type="dxa"/>
            <w:vAlign w:val="center"/>
          </w:tcPr>
          <w:p w14:paraId="49BC83B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6</w:t>
            </w:r>
            <w:r>
              <w:rPr>
                <w:rFonts w:hint="eastAsia" w:ascii="Times New Roman" w:hAnsi="Times New Roman" w:eastAsia="宋体" w:cs="Times New Roman"/>
                <w:color w:val="auto"/>
                <w:szCs w:val="21"/>
                <w:u w:val="single" w:color="auto"/>
              </w:rPr>
              <w:t>0000</w:t>
            </w:r>
          </w:p>
        </w:tc>
        <w:tc>
          <w:tcPr>
            <w:tcW w:w="1166" w:type="dxa"/>
            <w:gridSpan w:val="2"/>
            <w:vAlign w:val="center"/>
          </w:tcPr>
          <w:p w14:paraId="6F8CF2E9">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0.577</w:t>
            </w:r>
          </w:p>
        </w:tc>
        <w:tc>
          <w:tcPr>
            <w:tcW w:w="1029" w:type="dxa"/>
            <w:gridSpan w:val="2"/>
            <w:vAlign w:val="center"/>
          </w:tcPr>
          <w:p w14:paraId="7B0EE236">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gridSpan w:val="2"/>
            <w:vAlign w:val="center"/>
          </w:tcPr>
          <w:p w14:paraId="0C3B2F64">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w:t>
            </w:r>
          </w:p>
        </w:tc>
        <w:tc>
          <w:tcPr>
            <w:tcW w:w="1030" w:type="dxa"/>
            <w:gridSpan w:val="2"/>
            <w:vAlign w:val="center"/>
          </w:tcPr>
          <w:p w14:paraId="74118655">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gridSpan w:val="2"/>
            <w:vAlign w:val="center"/>
          </w:tcPr>
          <w:p w14:paraId="13B8D5A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-32,-1,0</w:t>
            </w:r>
          </w:p>
        </w:tc>
      </w:tr>
      <w:tr w14:paraId="0A31E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restart"/>
            <w:vAlign w:val="center"/>
          </w:tcPr>
          <w:p w14:paraId="0F6ADD7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DA002</w:t>
            </w:r>
          </w:p>
        </w:tc>
        <w:tc>
          <w:tcPr>
            <w:tcW w:w="1003" w:type="dxa"/>
            <w:gridSpan w:val="2"/>
            <w:vAlign w:val="center"/>
          </w:tcPr>
          <w:p w14:paraId="32FAC5A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058" w:type="dxa"/>
            <w:vAlign w:val="center"/>
          </w:tcPr>
          <w:p w14:paraId="74CF4AC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gridSpan w:val="2"/>
            <w:vAlign w:val="center"/>
          </w:tcPr>
          <w:p w14:paraId="4BCDA81B">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2.493</w:t>
            </w:r>
          </w:p>
        </w:tc>
        <w:tc>
          <w:tcPr>
            <w:tcW w:w="1029" w:type="dxa"/>
            <w:gridSpan w:val="2"/>
            <w:vAlign w:val="center"/>
          </w:tcPr>
          <w:p w14:paraId="3BF50551">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gridSpan w:val="2"/>
            <w:vAlign w:val="center"/>
          </w:tcPr>
          <w:p w14:paraId="4858587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1.3</w:t>
            </w:r>
          </w:p>
        </w:tc>
        <w:tc>
          <w:tcPr>
            <w:tcW w:w="1030" w:type="dxa"/>
            <w:gridSpan w:val="2"/>
            <w:vAlign w:val="center"/>
          </w:tcPr>
          <w:p w14:paraId="1B374027">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gridSpan w:val="2"/>
            <w:vAlign w:val="center"/>
          </w:tcPr>
          <w:p w14:paraId="4CCD1A0B">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23CC8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78DA4250">
            <w:pPr>
              <w:widowControl/>
              <w:snapToGrid w:val="0"/>
              <w:jc w:val="center"/>
              <w:rPr>
                <w:rFonts w:ascii="Times New Roman" w:hAnsi="Times New Roman" w:eastAsia="宋体" w:cs="Times New Roman"/>
                <w:color w:val="auto"/>
                <w:szCs w:val="21"/>
                <w:u w:val="single" w:color="auto"/>
              </w:rPr>
            </w:pPr>
          </w:p>
        </w:tc>
        <w:tc>
          <w:tcPr>
            <w:tcW w:w="1003" w:type="dxa"/>
            <w:gridSpan w:val="2"/>
            <w:vAlign w:val="center"/>
          </w:tcPr>
          <w:p w14:paraId="05FCC56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非甲烷总烃</w:t>
            </w:r>
          </w:p>
        </w:tc>
        <w:tc>
          <w:tcPr>
            <w:tcW w:w="1058" w:type="dxa"/>
            <w:vAlign w:val="center"/>
          </w:tcPr>
          <w:p w14:paraId="6F1A809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gridSpan w:val="2"/>
            <w:vAlign w:val="center"/>
          </w:tcPr>
          <w:p w14:paraId="20194C72">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0.8543</w:t>
            </w:r>
          </w:p>
        </w:tc>
        <w:tc>
          <w:tcPr>
            <w:tcW w:w="1029" w:type="dxa"/>
            <w:gridSpan w:val="2"/>
            <w:vAlign w:val="center"/>
          </w:tcPr>
          <w:p w14:paraId="40EB6278">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gridSpan w:val="2"/>
            <w:vAlign w:val="center"/>
          </w:tcPr>
          <w:p w14:paraId="24DF94D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1.3</w:t>
            </w:r>
          </w:p>
        </w:tc>
        <w:tc>
          <w:tcPr>
            <w:tcW w:w="1030" w:type="dxa"/>
            <w:gridSpan w:val="2"/>
            <w:vAlign w:val="center"/>
          </w:tcPr>
          <w:p w14:paraId="199EA557">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gridSpan w:val="2"/>
            <w:vAlign w:val="center"/>
          </w:tcPr>
          <w:p w14:paraId="250B11C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769E0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858" w:type="dxa"/>
            <w:vMerge w:val="continue"/>
            <w:vAlign w:val="center"/>
          </w:tcPr>
          <w:p w14:paraId="3AB137B8">
            <w:pPr>
              <w:widowControl/>
              <w:snapToGrid w:val="0"/>
              <w:jc w:val="center"/>
              <w:rPr>
                <w:rFonts w:ascii="Times New Roman" w:hAnsi="Times New Roman" w:eastAsia="宋体" w:cs="Times New Roman"/>
                <w:color w:val="auto"/>
                <w:szCs w:val="21"/>
                <w:u w:val="single" w:color="auto"/>
              </w:rPr>
            </w:pPr>
          </w:p>
        </w:tc>
        <w:tc>
          <w:tcPr>
            <w:tcW w:w="1003" w:type="dxa"/>
            <w:gridSpan w:val="2"/>
            <w:vAlign w:val="center"/>
          </w:tcPr>
          <w:p w14:paraId="72158BD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p>
        </w:tc>
        <w:tc>
          <w:tcPr>
            <w:tcW w:w="1058" w:type="dxa"/>
            <w:vAlign w:val="center"/>
          </w:tcPr>
          <w:p w14:paraId="70614E97">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gridSpan w:val="2"/>
            <w:vAlign w:val="center"/>
          </w:tcPr>
          <w:p w14:paraId="45E8FBAF">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0.001</w:t>
            </w:r>
          </w:p>
        </w:tc>
        <w:tc>
          <w:tcPr>
            <w:tcW w:w="1029" w:type="dxa"/>
            <w:gridSpan w:val="2"/>
            <w:vAlign w:val="center"/>
          </w:tcPr>
          <w:p w14:paraId="010ED6BC">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gridSpan w:val="2"/>
            <w:vAlign w:val="center"/>
          </w:tcPr>
          <w:p w14:paraId="7B1725BB">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1.3</w:t>
            </w:r>
          </w:p>
        </w:tc>
        <w:tc>
          <w:tcPr>
            <w:tcW w:w="1030" w:type="dxa"/>
            <w:gridSpan w:val="2"/>
            <w:vAlign w:val="center"/>
          </w:tcPr>
          <w:p w14:paraId="5A18EBA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gridSpan w:val="2"/>
            <w:vAlign w:val="center"/>
          </w:tcPr>
          <w:p w14:paraId="3CAED1E0">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67A37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2AAB97ED">
            <w:pPr>
              <w:widowControl/>
              <w:snapToGrid w:val="0"/>
              <w:jc w:val="center"/>
              <w:rPr>
                <w:rFonts w:ascii="Times New Roman" w:hAnsi="Times New Roman" w:eastAsia="宋体" w:cs="Times New Roman"/>
                <w:color w:val="auto"/>
                <w:szCs w:val="21"/>
                <w:u w:val="single" w:color="auto"/>
              </w:rPr>
            </w:pPr>
          </w:p>
        </w:tc>
        <w:tc>
          <w:tcPr>
            <w:tcW w:w="1003" w:type="dxa"/>
            <w:gridSpan w:val="2"/>
            <w:vAlign w:val="center"/>
          </w:tcPr>
          <w:p w14:paraId="1E4962D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p>
        </w:tc>
        <w:tc>
          <w:tcPr>
            <w:tcW w:w="1058" w:type="dxa"/>
            <w:vAlign w:val="center"/>
          </w:tcPr>
          <w:p w14:paraId="5EDA150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gridSpan w:val="2"/>
            <w:vAlign w:val="center"/>
          </w:tcPr>
          <w:p w14:paraId="36228675">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0.474</w:t>
            </w:r>
          </w:p>
        </w:tc>
        <w:tc>
          <w:tcPr>
            <w:tcW w:w="1029" w:type="dxa"/>
            <w:gridSpan w:val="2"/>
            <w:vAlign w:val="center"/>
          </w:tcPr>
          <w:p w14:paraId="3ACE690B">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gridSpan w:val="2"/>
            <w:vAlign w:val="center"/>
          </w:tcPr>
          <w:p w14:paraId="4D38EE7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1.3</w:t>
            </w:r>
          </w:p>
        </w:tc>
        <w:tc>
          <w:tcPr>
            <w:tcW w:w="1030" w:type="dxa"/>
            <w:gridSpan w:val="2"/>
            <w:vAlign w:val="center"/>
          </w:tcPr>
          <w:p w14:paraId="7C77671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gridSpan w:val="2"/>
            <w:vAlign w:val="center"/>
          </w:tcPr>
          <w:p w14:paraId="32C5B365">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75ECD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14"/>
            <w:vAlign w:val="center"/>
          </w:tcPr>
          <w:p w14:paraId="3BBA3A54">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无组织废气</w:t>
            </w:r>
          </w:p>
        </w:tc>
      </w:tr>
      <w:tr w14:paraId="6EEB0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Align w:val="center"/>
          </w:tcPr>
          <w:p w14:paraId="7C6AC859">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位置</w:t>
            </w:r>
          </w:p>
        </w:tc>
        <w:tc>
          <w:tcPr>
            <w:tcW w:w="1301" w:type="dxa"/>
            <w:gridSpan w:val="3"/>
            <w:vAlign w:val="center"/>
          </w:tcPr>
          <w:p w14:paraId="0BCF03E9">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污染因子</w:t>
            </w:r>
          </w:p>
        </w:tc>
        <w:tc>
          <w:tcPr>
            <w:tcW w:w="1458" w:type="dxa"/>
            <w:gridSpan w:val="2"/>
            <w:vAlign w:val="center"/>
          </w:tcPr>
          <w:p w14:paraId="06D4E019">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无组织排放速率（kg/h）</w:t>
            </w:r>
          </w:p>
        </w:tc>
        <w:tc>
          <w:tcPr>
            <w:tcW w:w="1036" w:type="dxa"/>
            <w:gridSpan w:val="2"/>
            <w:vAlign w:val="center"/>
          </w:tcPr>
          <w:p w14:paraId="67790504">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长（m）</w:t>
            </w:r>
          </w:p>
        </w:tc>
        <w:tc>
          <w:tcPr>
            <w:tcW w:w="910" w:type="dxa"/>
            <w:gridSpan w:val="2"/>
            <w:vAlign w:val="center"/>
          </w:tcPr>
          <w:p w14:paraId="7FF87831">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宽（m）</w:t>
            </w:r>
          </w:p>
        </w:tc>
        <w:tc>
          <w:tcPr>
            <w:tcW w:w="923" w:type="dxa"/>
            <w:gridSpan w:val="2"/>
            <w:vAlign w:val="center"/>
          </w:tcPr>
          <w:p w14:paraId="0B4ED295">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高（m）</w:t>
            </w:r>
          </w:p>
        </w:tc>
        <w:tc>
          <w:tcPr>
            <w:tcW w:w="1202" w:type="dxa"/>
            <w:vAlign w:val="center"/>
          </w:tcPr>
          <w:p w14:paraId="026FA5A3">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坐标（x,y,z）</w:t>
            </w:r>
          </w:p>
        </w:tc>
      </w:tr>
      <w:tr w14:paraId="504A0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Align w:val="center"/>
          </w:tcPr>
          <w:p w14:paraId="13F58F65">
            <w:pPr>
              <w:widowControl/>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lang w:eastAsia="zh-CN"/>
              </w:rPr>
              <w:t>车间</w:t>
            </w:r>
          </w:p>
        </w:tc>
        <w:tc>
          <w:tcPr>
            <w:tcW w:w="1301" w:type="dxa"/>
            <w:gridSpan w:val="3"/>
            <w:vAlign w:val="center"/>
          </w:tcPr>
          <w:p w14:paraId="5C79FB06">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458" w:type="dxa"/>
            <w:gridSpan w:val="2"/>
            <w:vAlign w:val="center"/>
          </w:tcPr>
          <w:p w14:paraId="6E215180">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2.911</w:t>
            </w:r>
          </w:p>
        </w:tc>
        <w:tc>
          <w:tcPr>
            <w:tcW w:w="1036" w:type="dxa"/>
            <w:gridSpan w:val="2"/>
            <w:vAlign w:val="center"/>
          </w:tcPr>
          <w:p w14:paraId="503FBFD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200.5</w:t>
            </w:r>
          </w:p>
        </w:tc>
        <w:tc>
          <w:tcPr>
            <w:tcW w:w="910" w:type="dxa"/>
            <w:gridSpan w:val="2"/>
            <w:vAlign w:val="center"/>
          </w:tcPr>
          <w:p w14:paraId="7CDD2CDF">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120.8</w:t>
            </w:r>
          </w:p>
        </w:tc>
        <w:tc>
          <w:tcPr>
            <w:tcW w:w="923" w:type="dxa"/>
            <w:gridSpan w:val="2"/>
            <w:vAlign w:val="center"/>
          </w:tcPr>
          <w:p w14:paraId="342C296C">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w:t>
            </w:r>
          </w:p>
        </w:tc>
        <w:tc>
          <w:tcPr>
            <w:tcW w:w="1202" w:type="dxa"/>
            <w:vAlign w:val="center"/>
          </w:tcPr>
          <w:p w14:paraId="541D9CC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112,-129,0</w:t>
            </w:r>
          </w:p>
        </w:tc>
      </w:tr>
      <w:tr w14:paraId="7FC8B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Merge w:val="restart"/>
            <w:vAlign w:val="center"/>
          </w:tcPr>
          <w:p w14:paraId="7F35DA13">
            <w:pPr>
              <w:widowControl/>
              <w:snapToGrid w:val="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喷涂</w:t>
            </w:r>
            <w:r>
              <w:rPr>
                <w:rFonts w:hint="eastAsia" w:ascii="Times New Roman" w:hAnsi="Times New Roman" w:eastAsia="宋体" w:cs="Times New Roman"/>
                <w:color w:val="auto"/>
                <w:szCs w:val="21"/>
                <w:u w:val="single" w:color="auto"/>
                <w:lang w:eastAsia="zh-CN"/>
              </w:rPr>
              <w:t>车间</w:t>
            </w:r>
          </w:p>
        </w:tc>
        <w:tc>
          <w:tcPr>
            <w:tcW w:w="1301" w:type="dxa"/>
            <w:gridSpan w:val="3"/>
            <w:vAlign w:val="center"/>
          </w:tcPr>
          <w:p w14:paraId="513623E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TSP</w:t>
            </w:r>
          </w:p>
        </w:tc>
        <w:tc>
          <w:tcPr>
            <w:tcW w:w="1458" w:type="dxa"/>
            <w:gridSpan w:val="2"/>
            <w:vAlign w:val="center"/>
          </w:tcPr>
          <w:p w14:paraId="68229142">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0.667</w:t>
            </w:r>
          </w:p>
        </w:tc>
        <w:tc>
          <w:tcPr>
            <w:tcW w:w="1036" w:type="dxa"/>
            <w:gridSpan w:val="2"/>
            <w:vAlign w:val="center"/>
          </w:tcPr>
          <w:p w14:paraId="5226029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130.5</w:t>
            </w:r>
          </w:p>
        </w:tc>
        <w:tc>
          <w:tcPr>
            <w:tcW w:w="910" w:type="dxa"/>
            <w:gridSpan w:val="2"/>
            <w:vAlign w:val="center"/>
          </w:tcPr>
          <w:p w14:paraId="3B38A88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90.5</w:t>
            </w:r>
          </w:p>
        </w:tc>
        <w:tc>
          <w:tcPr>
            <w:tcW w:w="923" w:type="dxa"/>
            <w:gridSpan w:val="2"/>
            <w:vAlign w:val="center"/>
          </w:tcPr>
          <w:p w14:paraId="5E8EE8CA">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10.6</w:t>
            </w:r>
          </w:p>
        </w:tc>
        <w:tc>
          <w:tcPr>
            <w:tcW w:w="1202" w:type="dxa"/>
            <w:vAlign w:val="center"/>
          </w:tcPr>
          <w:p w14:paraId="22BB07D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4,-127,0</w:t>
            </w:r>
          </w:p>
        </w:tc>
      </w:tr>
      <w:tr w14:paraId="68B53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Merge w:val="continue"/>
            <w:vAlign w:val="center"/>
          </w:tcPr>
          <w:p w14:paraId="22E9B83E">
            <w:pPr>
              <w:widowControl/>
              <w:snapToGrid w:val="0"/>
              <w:jc w:val="center"/>
              <w:rPr>
                <w:rFonts w:ascii="Times New Roman" w:hAnsi="Times New Roman" w:eastAsia="宋体" w:cs="Times New Roman"/>
                <w:color w:val="auto"/>
                <w:szCs w:val="21"/>
                <w:u w:val="single" w:color="auto"/>
              </w:rPr>
            </w:pPr>
          </w:p>
        </w:tc>
        <w:tc>
          <w:tcPr>
            <w:tcW w:w="1301" w:type="dxa"/>
            <w:gridSpan w:val="3"/>
            <w:vAlign w:val="center"/>
          </w:tcPr>
          <w:p w14:paraId="694C86C8">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非甲烷总烃</w:t>
            </w:r>
          </w:p>
        </w:tc>
        <w:tc>
          <w:tcPr>
            <w:tcW w:w="1458" w:type="dxa"/>
            <w:gridSpan w:val="2"/>
            <w:vAlign w:val="center"/>
          </w:tcPr>
          <w:p w14:paraId="1CAE4FD0">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0.9490802</w:t>
            </w:r>
          </w:p>
        </w:tc>
        <w:tc>
          <w:tcPr>
            <w:tcW w:w="1036" w:type="dxa"/>
            <w:gridSpan w:val="2"/>
            <w:vAlign w:val="center"/>
          </w:tcPr>
          <w:p w14:paraId="31A70C8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130.5</w:t>
            </w:r>
          </w:p>
        </w:tc>
        <w:tc>
          <w:tcPr>
            <w:tcW w:w="910" w:type="dxa"/>
            <w:gridSpan w:val="2"/>
            <w:vAlign w:val="center"/>
          </w:tcPr>
          <w:p w14:paraId="6EAD1DB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90.5</w:t>
            </w:r>
          </w:p>
        </w:tc>
        <w:tc>
          <w:tcPr>
            <w:tcW w:w="923" w:type="dxa"/>
            <w:gridSpan w:val="2"/>
            <w:vAlign w:val="center"/>
          </w:tcPr>
          <w:p w14:paraId="5E3A1BB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10.6</w:t>
            </w:r>
          </w:p>
        </w:tc>
        <w:tc>
          <w:tcPr>
            <w:tcW w:w="1202" w:type="dxa"/>
            <w:vAlign w:val="center"/>
          </w:tcPr>
          <w:p w14:paraId="0C4E768D">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4,-127,0</w:t>
            </w:r>
          </w:p>
        </w:tc>
      </w:tr>
      <w:tr w14:paraId="73182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Merge w:val="continue"/>
            <w:vAlign w:val="center"/>
          </w:tcPr>
          <w:p w14:paraId="2F10174C">
            <w:pPr>
              <w:widowControl/>
              <w:snapToGrid w:val="0"/>
              <w:jc w:val="center"/>
              <w:rPr>
                <w:rFonts w:ascii="Times New Roman" w:hAnsi="Times New Roman" w:eastAsia="宋体" w:cs="Times New Roman"/>
                <w:color w:val="auto"/>
                <w:szCs w:val="21"/>
                <w:u w:val="single" w:color="auto"/>
              </w:rPr>
            </w:pPr>
          </w:p>
        </w:tc>
        <w:tc>
          <w:tcPr>
            <w:tcW w:w="1301" w:type="dxa"/>
            <w:gridSpan w:val="3"/>
            <w:vAlign w:val="center"/>
          </w:tcPr>
          <w:p w14:paraId="577D208F">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p>
        </w:tc>
        <w:tc>
          <w:tcPr>
            <w:tcW w:w="1458" w:type="dxa"/>
            <w:gridSpan w:val="2"/>
            <w:vAlign w:val="center"/>
          </w:tcPr>
          <w:p w14:paraId="16FEA822">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0.001</w:t>
            </w:r>
          </w:p>
        </w:tc>
        <w:tc>
          <w:tcPr>
            <w:tcW w:w="1036" w:type="dxa"/>
            <w:gridSpan w:val="2"/>
            <w:vAlign w:val="center"/>
          </w:tcPr>
          <w:p w14:paraId="6F6344F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130.5</w:t>
            </w:r>
          </w:p>
        </w:tc>
        <w:tc>
          <w:tcPr>
            <w:tcW w:w="910" w:type="dxa"/>
            <w:gridSpan w:val="2"/>
            <w:vAlign w:val="center"/>
          </w:tcPr>
          <w:p w14:paraId="027A3706">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90.5</w:t>
            </w:r>
          </w:p>
        </w:tc>
        <w:tc>
          <w:tcPr>
            <w:tcW w:w="923" w:type="dxa"/>
            <w:gridSpan w:val="2"/>
            <w:vAlign w:val="center"/>
          </w:tcPr>
          <w:p w14:paraId="783F1EB5">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10.6</w:t>
            </w:r>
          </w:p>
        </w:tc>
        <w:tc>
          <w:tcPr>
            <w:tcW w:w="1202" w:type="dxa"/>
            <w:vAlign w:val="center"/>
          </w:tcPr>
          <w:p w14:paraId="07401A96">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4,-127,0</w:t>
            </w:r>
          </w:p>
        </w:tc>
      </w:tr>
      <w:tr w14:paraId="3B6B1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gridSpan w:val="2"/>
            <w:vMerge w:val="continue"/>
            <w:vAlign w:val="center"/>
          </w:tcPr>
          <w:p w14:paraId="5E705C6F">
            <w:pPr>
              <w:widowControl/>
              <w:snapToGrid w:val="0"/>
              <w:jc w:val="center"/>
              <w:rPr>
                <w:rFonts w:ascii="Times New Roman" w:hAnsi="Times New Roman" w:eastAsia="宋体" w:cs="Times New Roman"/>
                <w:color w:val="auto"/>
                <w:szCs w:val="21"/>
                <w:u w:val="single" w:color="auto"/>
              </w:rPr>
            </w:pPr>
          </w:p>
        </w:tc>
        <w:tc>
          <w:tcPr>
            <w:tcW w:w="1301" w:type="dxa"/>
            <w:gridSpan w:val="3"/>
            <w:vAlign w:val="center"/>
          </w:tcPr>
          <w:p w14:paraId="6314358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p>
        </w:tc>
        <w:tc>
          <w:tcPr>
            <w:tcW w:w="1458" w:type="dxa"/>
            <w:gridSpan w:val="2"/>
            <w:vAlign w:val="center"/>
          </w:tcPr>
          <w:p w14:paraId="139ECBEC">
            <w:pPr>
              <w:widowControl/>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0.526</w:t>
            </w:r>
          </w:p>
        </w:tc>
        <w:tc>
          <w:tcPr>
            <w:tcW w:w="1036" w:type="dxa"/>
            <w:gridSpan w:val="2"/>
            <w:vAlign w:val="center"/>
          </w:tcPr>
          <w:p w14:paraId="333E7870">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130.5</w:t>
            </w:r>
          </w:p>
        </w:tc>
        <w:tc>
          <w:tcPr>
            <w:tcW w:w="910" w:type="dxa"/>
            <w:gridSpan w:val="2"/>
            <w:vAlign w:val="center"/>
          </w:tcPr>
          <w:p w14:paraId="4045FA9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90.5</w:t>
            </w:r>
          </w:p>
        </w:tc>
        <w:tc>
          <w:tcPr>
            <w:tcW w:w="923" w:type="dxa"/>
            <w:gridSpan w:val="2"/>
            <w:vAlign w:val="center"/>
          </w:tcPr>
          <w:p w14:paraId="3BD42A9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10.6</w:t>
            </w:r>
          </w:p>
        </w:tc>
        <w:tc>
          <w:tcPr>
            <w:tcW w:w="1202" w:type="dxa"/>
            <w:vAlign w:val="center"/>
          </w:tcPr>
          <w:p w14:paraId="1249A29C">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4,-127,0</w:t>
            </w:r>
          </w:p>
        </w:tc>
      </w:tr>
    </w:tbl>
    <w:p w14:paraId="59C73780">
      <w:pPr>
        <w:spacing w:line="360" w:lineRule="auto"/>
        <w:ind w:firstLine="420" w:firstLineChars="200"/>
        <w:rPr>
          <w:rFonts w:ascii="Times New Roman" w:hAnsi="Times New Roman"/>
          <w:color w:val="auto"/>
          <w:szCs w:val="21"/>
          <w:u w:val="single" w:color="auto"/>
        </w:rPr>
      </w:pPr>
      <w:r>
        <w:rPr>
          <w:rFonts w:hint="eastAsia" w:ascii="Times New Roman" w:hAnsi="Times New Roman"/>
          <w:color w:val="auto"/>
          <w:szCs w:val="21"/>
          <w:u w:val="single" w:color="auto"/>
        </w:rPr>
        <w:t>注：项目源强均按废气最大排放速率取值，</w:t>
      </w:r>
      <w:r>
        <w:rPr>
          <w:rFonts w:hint="eastAsia" w:ascii="Times New Roman" w:hAnsi="Times New Roman"/>
          <w:color w:val="auto"/>
          <w:szCs w:val="21"/>
          <w:u w:val="single" w:color="auto"/>
          <w:lang w:val="en-US" w:eastAsia="zh-CN"/>
        </w:rPr>
        <w:t>装焊</w:t>
      </w:r>
      <w:r>
        <w:rPr>
          <w:rFonts w:hint="eastAsia" w:ascii="Times New Roman" w:hAnsi="Times New Roman"/>
          <w:color w:val="auto"/>
          <w:szCs w:val="21"/>
          <w:u w:val="single" w:color="auto"/>
          <w:lang w:eastAsia="zh-CN"/>
        </w:rPr>
        <w:t>车间</w:t>
      </w:r>
      <w:r>
        <w:rPr>
          <w:rFonts w:hint="eastAsia" w:ascii="Times New Roman" w:hAnsi="Times New Roman"/>
          <w:color w:val="auto"/>
          <w:szCs w:val="21"/>
          <w:u w:val="single" w:color="auto"/>
        </w:rPr>
        <w:t>的PM</w:t>
      </w:r>
      <w:r>
        <w:rPr>
          <w:rFonts w:hint="eastAsia" w:ascii="Times New Roman" w:hAnsi="Times New Roman"/>
          <w:color w:val="auto"/>
          <w:szCs w:val="21"/>
          <w:u w:val="single" w:color="auto"/>
          <w:vertAlign w:val="subscript"/>
        </w:rPr>
        <w:t>10</w:t>
      </w:r>
      <w:r>
        <w:rPr>
          <w:rFonts w:hint="eastAsia" w:ascii="Times New Roman" w:hAnsi="Times New Roman"/>
          <w:color w:val="auto"/>
          <w:szCs w:val="21"/>
          <w:u w:val="single" w:color="auto"/>
        </w:rPr>
        <w:t>源强为切割废气+焊接废气=</w:t>
      </w:r>
      <w:r>
        <w:rPr>
          <w:rFonts w:hint="eastAsia" w:ascii="Times New Roman" w:hAnsi="Times New Roman"/>
          <w:color w:val="auto"/>
          <w:szCs w:val="21"/>
          <w:u w:val="single" w:color="auto"/>
          <w:lang w:val="en-US" w:eastAsia="zh-CN"/>
        </w:rPr>
        <w:t>2.616</w:t>
      </w:r>
      <w:r>
        <w:rPr>
          <w:rFonts w:hint="eastAsia" w:ascii="Times New Roman" w:hAnsi="Times New Roman"/>
          <w:color w:val="auto"/>
          <w:szCs w:val="21"/>
          <w:u w:val="single" w:color="auto"/>
        </w:rPr>
        <w:t>+0.</w:t>
      </w:r>
      <w:r>
        <w:rPr>
          <w:rFonts w:hint="eastAsia" w:ascii="Times New Roman" w:hAnsi="Times New Roman"/>
          <w:color w:val="auto"/>
          <w:szCs w:val="21"/>
          <w:u w:val="single" w:color="auto"/>
          <w:lang w:val="en-US" w:eastAsia="zh-CN"/>
        </w:rPr>
        <w:t>293</w:t>
      </w:r>
      <w:r>
        <w:rPr>
          <w:rFonts w:hint="eastAsia" w:ascii="Times New Roman" w:hAnsi="Times New Roman"/>
          <w:color w:val="auto"/>
          <w:szCs w:val="21"/>
          <w:u w:val="single" w:color="auto"/>
        </w:rPr>
        <w:t>=</w:t>
      </w:r>
      <w:r>
        <w:rPr>
          <w:rFonts w:hint="eastAsia" w:ascii="Times New Roman" w:hAnsi="Times New Roman"/>
          <w:color w:val="auto"/>
          <w:szCs w:val="21"/>
          <w:u w:val="single" w:color="auto"/>
          <w:lang w:val="en-US" w:eastAsia="zh-CN"/>
        </w:rPr>
        <w:t>2.909</w:t>
      </w:r>
      <w:r>
        <w:rPr>
          <w:rFonts w:hint="eastAsia" w:ascii="Times New Roman" w:hAnsi="Times New Roman"/>
          <w:color w:val="auto"/>
          <w:szCs w:val="21"/>
          <w:u w:val="single" w:color="auto"/>
        </w:rPr>
        <w:t>；</w:t>
      </w:r>
      <w:r>
        <w:rPr>
          <w:rFonts w:hint="eastAsia" w:ascii="Times New Roman" w:hAnsi="Times New Roman"/>
          <w:color w:val="auto"/>
          <w:szCs w:val="21"/>
          <w:u w:val="single" w:color="auto"/>
          <w:lang w:val="en-US" w:eastAsia="zh-CN"/>
        </w:rPr>
        <w:t>喷涂</w:t>
      </w:r>
      <w:r>
        <w:rPr>
          <w:rFonts w:hint="eastAsia" w:ascii="Times New Roman" w:hAnsi="Times New Roman"/>
          <w:color w:val="auto"/>
          <w:szCs w:val="21"/>
          <w:u w:val="single" w:color="auto"/>
          <w:lang w:eastAsia="zh-CN"/>
        </w:rPr>
        <w:t>车间</w:t>
      </w:r>
      <w:r>
        <w:rPr>
          <w:rFonts w:hint="eastAsia" w:ascii="Times New Roman" w:hAnsi="Times New Roman"/>
          <w:color w:val="auto"/>
          <w:szCs w:val="21"/>
          <w:u w:val="single" w:color="auto"/>
        </w:rPr>
        <w:t>的TSP源强为抛丸喷砂废气+喷漆废气=</w:t>
      </w:r>
      <w:r>
        <w:rPr>
          <w:rFonts w:hint="eastAsia" w:ascii="Times New Roman" w:hAnsi="Times New Roman"/>
          <w:color w:val="auto"/>
          <w:szCs w:val="21"/>
          <w:u w:val="single" w:color="auto"/>
          <w:lang w:val="en-US" w:eastAsia="zh-CN"/>
        </w:rPr>
        <w:t>0.321</w:t>
      </w:r>
      <w:r>
        <w:rPr>
          <w:rFonts w:hint="eastAsia" w:ascii="Times New Roman" w:hAnsi="Times New Roman"/>
          <w:color w:val="auto"/>
          <w:szCs w:val="21"/>
          <w:u w:val="single" w:color="auto"/>
        </w:rPr>
        <w:t>+0.</w:t>
      </w:r>
      <w:r>
        <w:rPr>
          <w:rFonts w:hint="eastAsia" w:ascii="Times New Roman" w:hAnsi="Times New Roman"/>
          <w:color w:val="auto"/>
          <w:szCs w:val="21"/>
          <w:u w:val="single" w:color="auto"/>
          <w:lang w:val="en-US" w:eastAsia="zh-CN"/>
        </w:rPr>
        <w:t>346</w:t>
      </w:r>
      <w:r>
        <w:rPr>
          <w:rFonts w:hint="eastAsia" w:ascii="Times New Roman" w:hAnsi="Times New Roman"/>
          <w:color w:val="auto"/>
          <w:szCs w:val="21"/>
          <w:u w:val="single" w:color="auto"/>
        </w:rPr>
        <w:t>=</w:t>
      </w:r>
      <w:r>
        <w:rPr>
          <w:rFonts w:hint="eastAsia" w:ascii="Times New Roman" w:hAnsi="Times New Roman"/>
          <w:color w:val="auto"/>
          <w:szCs w:val="21"/>
          <w:u w:val="single" w:color="auto"/>
          <w:lang w:val="en-US" w:eastAsia="zh-CN"/>
        </w:rPr>
        <w:t>0.667</w:t>
      </w:r>
      <w:r>
        <w:rPr>
          <w:rFonts w:hint="eastAsia" w:ascii="Times New Roman" w:hAnsi="Times New Roman"/>
          <w:color w:val="auto"/>
          <w:szCs w:val="21"/>
          <w:u w:val="single" w:color="auto"/>
        </w:rPr>
        <w:t>；面源高度取厂房高度一半。</w:t>
      </w:r>
    </w:p>
    <w:p w14:paraId="0830232C">
      <w:pPr>
        <w:autoSpaceDE w:val="0"/>
        <w:autoSpaceDN w:val="0"/>
        <w:spacing w:before="163" w:beforeLines="50"/>
        <w:contextualSpacing/>
        <w:jc w:val="center"/>
        <w:rPr>
          <w:rFonts w:ascii="Times New Roman" w:hAnsi="Times New Roman" w:eastAsia="宋体" w:cs="Times New Roman"/>
          <w:b/>
          <w:color w:val="auto"/>
          <w:kern w:val="0"/>
          <w:sz w:val="24"/>
          <w:szCs w:val="24"/>
          <w:u w:val="single" w:color="auto"/>
        </w:rPr>
      </w:pPr>
      <w:r>
        <w:rPr>
          <w:rFonts w:ascii="Times New Roman" w:hAnsi="Times New Roman" w:eastAsia="宋体" w:cs="Times New Roman"/>
          <w:b/>
          <w:color w:val="auto"/>
          <w:kern w:val="0"/>
          <w:sz w:val="24"/>
          <w:szCs w:val="24"/>
          <w:u w:val="single" w:color="auto"/>
        </w:rPr>
        <w:t>表</w:t>
      </w:r>
      <w:r>
        <w:rPr>
          <w:rFonts w:hint="eastAsia" w:ascii="Times New Roman" w:hAnsi="Times New Roman" w:eastAsia="宋体" w:cs="Times New Roman"/>
          <w:b/>
          <w:color w:val="auto"/>
          <w:kern w:val="0"/>
          <w:sz w:val="24"/>
          <w:szCs w:val="24"/>
          <w:u w:val="single" w:color="auto"/>
        </w:rPr>
        <w:t>4</w:t>
      </w:r>
      <w:r>
        <w:rPr>
          <w:rFonts w:ascii="Times New Roman" w:hAnsi="Times New Roman" w:eastAsia="宋体" w:cs="Times New Roman"/>
          <w:b/>
          <w:color w:val="auto"/>
          <w:kern w:val="0"/>
          <w:sz w:val="24"/>
          <w:szCs w:val="24"/>
          <w:u w:val="single" w:color="auto"/>
        </w:rPr>
        <w:t>.2-11 非正常工况下本项目</w:t>
      </w:r>
      <w:r>
        <w:rPr>
          <w:rFonts w:hint="eastAsia" w:ascii="Times New Roman" w:hAnsi="Times New Roman" w:eastAsia="宋体" w:cs="Times New Roman"/>
          <w:b/>
          <w:color w:val="auto"/>
          <w:kern w:val="0"/>
          <w:sz w:val="24"/>
          <w:szCs w:val="24"/>
          <w:u w:val="single" w:color="auto"/>
          <w:lang w:val="en-US" w:eastAsia="zh-CN"/>
        </w:rPr>
        <w:t>源强</w:t>
      </w:r>
      <w:r>
        <w:rPr>
          <w:rFonts w:ascii="Times New Roman" w:hAnsi="Times New Roman" w:eastAsia="宋体" w:cs="Times New Roman"/>
          <w:b/>
          <w:color w:val="auto"/>
          <w:kern w:val="0"/>
          <w:sz w:val="24"/>
          <w:szCs w:val="24"/>
          <w:u w:val="single" w:color="auto"/>
        </w:rPr>
        <w:t>排放参数</w:t>
      </w:r>
    </w:p>
    <w:tbl>
      <w:tblPr>
        <w:tblStyle w:val="3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8"/>
        <w:gridCol w:w="1003"/>
        <w:gridCol w:w="1058"/>
        <w:gridCol w:w="1166"/>
        <w:gridCol w:w="1029"/>
        <w:gridCol w:w="1029"/>
        <w:gridCol w:w="1030"/>
        <w:gridCol w:w="1349"/>
      </w:tblGrid>
      <w:tr w14:paraId="6108A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8"/>
            <w:vAlign w:val="center"/>
          </w:tcPr>
          <w:p w14:paraId="7792D823">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有组织废气</w:t>
            </w:r>
          </w:p>
        </w:tc>
      </w:tr>
      <w:tr w14:paraId="761DC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restart"/>
            <w:vAlign w:val="center"/>
          </w:tcPr>
          <w:p w14:paraId="70EC4C86">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排气筒编号</w:t>
            </w:r>
          </w:p>
        </w:tc>
        <w:tc>
          <w:tcPr>
            <w:tcW w:w="1003" w:type="dxa"/>
            <w:vMerge w:val="restart"/>
            <w:vAlign w:val="center"/>
          </w:tcPr>
          <w:p w14:paraId="5029766D">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污染物</w:t>
            </w:r>
          </w:p>
        </w:tc>
        <w:tc>
          <w:tcPr>
            <w:tcW w:w="1058" w:type="dxa"/>
            <w:vMerge w:val="restart"/>
            <w:vAlign w:val="center"/>
          </w:tcPr>
          <w:p w14:paraId="5D2ED7F6">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设计风量（m</w:t>
            </w:r>
            <w:r>
              <w:rPr>
                <w:rFonts w:ascii="Times New Roman" w:hAnsi="Times New Roman" w:eastAsia="宋体" w:cs="Times New Roman"/>
                <w:color w:val="auto"/>
                <w:szCs w:val="21"/>
                <w:u w:val="single" w:color="auto"/>
                <w:vertAlign w:val="superscript"/>
              </w:rPr>
              <w:t>3</w:t>
            </w:r>
            <w:r>
              <w:rPr>
                <w:rFonts w:ascii="Times New Roman" w:hAnsi="Times New Roman" w:eastAsia="宋体" w:cs="Times New Roman"/>
                <w:color w:val="auto"/>
                <w:szCs w:val="21"/>
                <w:u w:val="single" w:color="auto"/>
              </w:rPr>
              <w:t>/h）</w:t>
            </w:r>
          </w:p>
        </w:tc>
        <w:tc>
          <w:tcPr>
            <w:tcW w:w="1166" w:type="dxa"/>
            <w:vMerge w:val="restart"/>
            <w:vAlign w:val="center"/>
          </w:tcPr>
          <w:p w14:paraId="26823ED7">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速率（kg/h）</w:t>
            </w:r>
          </w:p>
        </w:tc>
        <w:tc>
          <w:tcPr>
            <w:tcW w:w="4437" w:type="dxa"/>
            <w:gridSpan w:val="4"/>
            <w:vAlign w:val="center"/>
          </w:tcPr>
          <w:p w14:paraId="5616C8B3">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排放参数</w:t>
            </w:r>
          </w:p>
        </w:tc>
      </w:tr>
      <w:tr w14:paraId="4DBDB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4E98446C">
            <w:pPr>
              <w:widowControl/>
              <w:snapToGrid w:val="0"/>
              <w:jc w:val="center"/>
              <w:rPr>
                <w:rFonts w:ascii="Times New Roman" w:hAnsi="Times New Roman" w:eastAsia="宋体" w:cs="Times New Roman"/>
                <w:color w:val="auto"/>
                <w:szCs w:val="21"/>
                <w:u w:val="single" w:color="auto"/>
              </w:rPr>
            </w:pPr>
          </w:p>
        </w:tc>
        <w:tc>
          <w:tcPr>
            <w:tcW w:w="1003" w:type="dxa"/>
            <w:vMerge w:val="continue"/>
            <w:vAlign w:val="center"/>
          </w:tcPr>
          <w:p w14:paraId="76D44260">
            <w:pPr>
              <w:widowControl/>
              <w:snapToGrid w:val="0"/>
              <w:jc w:val="center"/>
              <w:rPr>
                <w:rFonts w:ascii="Times New Roman" w:hAnsi="Times New Roman" w:eastAsia="宋体" w:cs="Times New Roman"/>
                <w:color w:val="auto"/>
                <w:szCs w:val="21"/>
                <w:u w:val="single" w:color="auto"/>
              </w:rPr>
            </w:pPr>
          </w:p>
        </w:tc>
        <w:tc>
          <w:tcPr>
            <w:tcW w:w="1058" w:type="dxa"/>
            <w:vMerge w:val="continue"/>
            <w:vAlign w:val="center"/>
          </w:tcPr>
          <w:p w14:paraId="187FC737">
            <w:pPr>
              <w:widowControl/>
              <w:snapToGrid w:val="0"/>
              <w:jc w:val="center"/>
              <w:rPr>
                <w:rFonts w:ascii="Times New Roman" w:hAnsi="Times New Roman" w:eastAsia="宋体" w:cs="Times New Roman"/>
                <w:color w:val="auto"/>
                <w:szCs w:val="21"/>
                <w:u w:val="single" w:color="auto"/>
              </w:rPr>
            </w:pPr>
          </w:p>
        </w:tc>
        <w:tc>
          <w:tcPr>
            <w:tcW w:w="1166" w:type="dxa"/>
            <w:vMerge w:val="continue"/>
            <w:vAlign w:val="center"/>
          </w:tcPr>
          <w:p w14:paraId="5B8F64B7">
            <w:pPr>
              <w:widowControl/>
              <w:snapToGrid w:val="0"/>
              <w:jc w:val="center"/>
              <w:rPr>
                <w:rFonts w:ascii="Times New Roman" w:hAnsi="Times New Roman" w:eastAsia="宋体" w:cs="Times New Roman"/>
                <w:color w:val="auto"/>
                <w:szCs w:val="21"/>
                <w:u w:val="single" w:color="auto"/>
              </w:rPr>
            </w:pPr>
          </w:p>
        </w:tc>
        <w:tc>
          <w:tcPr>
            <w:tcW w:w="1029" w:type="dxa"/>
            <w:vAlign w:val="center"/>
          </w:tcPr>
          <w:p w14:paraId="1C84AEB3">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高度（m）</w:t>
            </w:r>
          </w:p>
        </w:tc>
        <w:tc>
          <w:tcPr>
            <w:tcW w:w="1029" w:type="dxa"/>
            <w:vAlign w:val="center"/>
          </w:tcPr>
          <w:p w14:paraId="52D3577E">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内径（m）</w:t>
            </w:r>
          </w:p>
        </w:tc>
        <w:tc>
          <w:tcPr>
            <w:tcW w:w="1030" w:type="dxa"/>
            <w:vAlign w:val="center"/>
          </w:tcPr>
          <w:p w14:paraId="7B45F516">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温度（℃）</w:t>
            </w:r>
          </w:p>
        </w:tc>
        <w:tc>
          <w:tcPr>
            <w:tcW w:w="1349" w:type="dxa"/>
            <w:vAlign w:val="center"/>
          </w:tcPr>
          <w:p w14:paraId="14BAEB48">
            <w:pPr>
              <w:widowControl/>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坐标（x,y,z）</w:t>
            </w:r>
          </w:p>
        </w:tc>
      </w:tr>
      <w:tr w14:paraId="09410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Align w:val="center"/>
          </w:tcPr>
          <w:p w14:paraId="3D01BFD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DA001</w:t>
            </w:r>
          </w:p>
        </w:tc>
        <w:tc>
          <w:tcPr>
            <w:tcW w:w="1003" w:type="dxa"/>
            <w:vAlign w:val="center"/>
          </w:tcPr>
          <w:p w14:paraId="0A6A8EC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058" w:type="dxa"/>
            <w:vAlign w:val="center"/>
          </w:tcPr>
          <w:p w14:paraId="364663D8">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6</w:t>
            </w:r>
            <w:r>
              <w:rPr>
                <w:rFonts w:hint="eastAsia" w:ascii="Times New Roman" w:hAnsi="Times New Roman" w:eastAsia="宋体" w:cs="Times New Roman"/>
                <w:color w:val="auto"/>
                <w:szCs w:val="21"/>
                <w:u w:val="single" w:color="auto"/>
              </w:rPr>
              <w:t>0000</w:t>
            </w:r>
          </w:p>
        </w:tc>
        <w:tc>
          <w:tcPr>
            <w:tcW w:w="1166" w:type="dxa"/>
            <w:vAlign w:val="center"/>
          </w:tcPr>
          <w:p w14:paraId="24C7D07E">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28.868</w:t>
            </w:r>
          </w:p>
        </w:tc>
        <w:tc>
          <w:tcPr>
            <w:tcW w:w="1029" w:type="dxa"/>
            <w:vAlign w:val="center"/>
          </w:tcPr>
          <w:p w14:paraId="28669184">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vAlign w:val="center"/>
          </w:tcPr>
          <w:p w14:paraId="67B964A9">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1.2</w:t>
            </w:r>
          </w:p>
        </w:tc>
        <w:tc>
          <w:tcPr>
            <w:tcW w:w="1030" w:type="dxa"/>
            <w:vAlign w:val="center"/>
          </w:tcPr>
          <w:p w14:paraId="02CFE704">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vAlign w:val="center"/>
          </w:tcPr>
          <w:p w14:paraId="123B286D">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-32,-1,0</w:t>
            </w:r>
          </w:p>
        </w:tc>
      </w:tr>
      <w:tr w14:paraId="7BF59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restart"/>
            <w:vAlign w:val="center"/>
          </w:tcPr>
          <w:p w14:paraId="1F4F9390">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DA002</w:t>
            </w:r>
          </w:p>
        </w:tc>
        <w:tc>
          <w:tcPr>
            <w:tcW w:w="1003" w:type="dxa"/>
            <w:vAlign w:val="center"/>
          </w:tcPr>
          <w:p w14:paraId="60B9749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PM</w:t>
            </w:r>
            <w:r>
              <w:rPr>
                <w:rFonts w:hint="eastAsia" w:ascii="Times New Roman" w:hAnsi="Times New Roman" w:eastAsia="宋体" w:cs="Times New Roman"/>
                <w:color w:val="auto"/>
                <w:szCs w:val="21"/>
                <w:u w:val="single" w:color="auto"/>
                <w:vertAlign w:val="subscript"/>
              </w:rPr>
              <w:t>10</w:t>
            </w:r>
          </w:p>
        </w:tc>
        <w:tc>
          <w:tcPr>
            <w:tcW w:w="1058" w:type="dxa"/>
            <w:vAlign w:val="center"/>
          </w:tcPr>
          <w:p w14:paraId="615771C3">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vAlign w:val="center"/>
          </w:tcPr>
          <w:p w14:paraId="65BC38D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12.463</w:t>
            </w:r>
          </w:p>
        </w:tc>
        <w:tc>
          <w:tcPr>
            <w:tcW w:w="1029" w:type="dxa"/>
            <w:vAlign w:val="center"/>
          </w:tcPr>
          <w:p w14:paraId="1A649D81">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vAlign w:val="center"/>
          </w:tcPr>
          <w:p w14:paraId="0395E260">
            <w:pPr>
              <w:widowControl/>
              <w:snapToGrid w:val="0"/>
              <w:jc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szCs w:val="21"/>
                <w:u w:val="single" w:color="auto"/>
                <w:lang w:val="en-US" w:eastAsia="zh-CN"/>
              </w:rPr>
              <w:t>1.3</w:t>
            </w:r>
          </w:p>
        </w:tc>
        <w:tc>
          <w:tcPr>
            <w:tcW w:w="1030" w:type="dxa"/>
            <w:vAlign w:val="center"/>
          </w:tcPr>
          <w:p w14:paraId="3AD99C16">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vAlign w:val="center"/>
          </w:tcPr>
          <w:p w14:paraId="60B6187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5FD65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5BF35D34">
            <w:pPr>
              <w:widowControl/>
              <w:snapToGrid w:val="0"/>
              <w:jc w:val="center"/>
              <w:rPr>
                <w:rFonts w:ascii="Times New Roman" w:hAnsi="Times New Roman" w:eastAsia="宋体" w:cs="Times New Roman"/>
                <w:color w:val="auto"/>
                <w:szCs w:val="21"/>
                <w:u w:val="single" w:color="auto"/>
              </w:rPr>
            </w:pPr>
          </w:p>
        </w:tc>
        <w:tc>
          <w:tcPr>
            <w:tcW w:w="1003" w:type="dxa"/>
            <w:vAlign w:val="center"/>
          </w:tcPr>
          <w:p w14:paraId="0A433EC0">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非甲烷总烃</w:t>
            </w:r>
          </w:p>
        </w:tc>
        <w:tc>
          <w:tcPr>
            <w:tcW w:w="1058" w:type="dxa"/>
            <w:vAlign w:val="center"/>
          </w:tcPr>
          <w:p w14:paraId="39C72151">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vAlign w:val="center"/>
          </w:tcPr>
          <w:p w14:paraId="7549844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8.546</w:t>
            </w:r>
          </w:p>
        </w:tc>
        <w:tc>
          <w:tcPr>
            <w:tcW w:w="1029" w:type="dxa"/>
            <w:vAlign w:val="center"/>
          </w:tcPr>
          <w:p w14:paraId="310FDDC7">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vAlign w:val="center"/>
          </w:tcPr>
          <w:p w14:paraId="684C98D0">
            <w:pPr>
              <w:widowControl/>
              <w:snapToGrid w:val="0"/>
              <w:jc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szCs w:val="21"/>
                <w:u w:val="single" w:color="auto"/>
                <w:lang w:val="en-US" w:eastAsia="zh-CN"/>
              </w:rPr>
              <w:t>1.3</w:t>
            </w:r>
          </w:p>
        </w:tc>
        <w:tc>
          <w:tcPr>
            <w:tcW w:w="1030" w:type="dxa"/>
            <w:vAlign w:val="center"/>
          </w:tcPr>
          <w:p w14:paraId="6E2C73D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vAlign w:val="center"/>
          </w:tcPr>
          <w:p w14:paraId="45087A3E">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20518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858" w:type="dxa"/>
            <w:vMerge w:val="continue"/>
            <w:vAlign w:val="center"/>
          </w:tcPr>
          <w:p w14:paraId="70CEE606">
            <w:pPr>
              <w:widowControl/>
              <w:snapToGrid w:val="0"/>
              <w:jc w:val="center"/>
              <w:rPr>
                <w:rFonts w:ascii="Times New Roman" w:hAnsi="Times New Roman" w:eastAsia="宋体" w:cs="Times New Roman"/>
                <w:color w:val="auto"/>
                <w:szCs w:val="21"/>
                <w:u w:val="single" w:color="auto"/>
              </w:rPr>
            </w:pPr>
          </w:p>
        </w:tc>
        <w:tc>
          <w:tcPr>
            <w:tcW w:w="1003" w:type="dxa"/>
            <w:vAlign w:val="center"/>
          </w:tcPr>
          <w:p w14:paraId="3A52E4D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p>
        </w:tc>
        <w:tc>
          <w:tcPr>
            <w:tcW w:w="1058" w:type="dxa"/>
            <w:vAlign w:val="center"/>
          </w:tcPr>
          <w:p w14:paraId="6925D79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vAlign w:val="center"/>
          </w:tcPr>
          <w:p w14:paraId="71B0F2ED">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0.012</w:t>
            </w:r>
          </w:p>
        </w:tc>
        <w:tc>
          <w:tcPr>
            <w:tcW w:w="1029" w:type="dxa"/>
            <w:vAlign w:val="center"/>
          </w:tcPr>
          <w:p w14:paraId="7B362AF1">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vAlign w:val="center"/>
          </w:tcPr>
          <w:p w14:paraId="671EC746">
            <w:pPr>
              <w:widowControl/>
              <w:snapToGrid w:val="0"/>
              <w:jc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szCs w:val="21"/>
                <w:u w:val="single" w:color="auto"/>
                <w:lang w:val="en-US" w:eastAsia="zh-CN"/>
              </w:rPr>
              <w:t>1.3</w:t>
            </w:r>
          </w:p>
        </w:tc>
        <w:tc>
          <w:tcPr>
            <w:tcW w:w="1030" w:type="dxa"/>
            <w:vAlign w:val="center"/>
          </w:tcPr>
          <w:p w14:paraId="6E81458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vAlign w:val="center"/>
          </w:tcPr>
          <w:p w14:paraId="269D0282">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r w14:paraId="12762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vMerge w:val="continue"/>
            <w:vAlign w:val="center"/>
          </w:tcPr>
          <w:p w14:paraId="77FAFBC5">
            <w:pPr>
              <w:widowControl/>
              <w:snapToGrid w:val="0"/>
              <w:jc w:val="center"/>
              <w:rPr>
                <w:rFonts w:ascii="Times New Roman" w:hAnsi="Times New Roman" w:eastAsia="宋体" w:cs="Times New Roman"/>
                <w:color w:val="auto"/>
                <w:szCs w:val="21"/>
                <w:u w:val="single" w:color="auto"/>
              </w:rPr>
            </w:pPr>
          </w:p>
        </w:tc>
        <w:tc>
          <w:tcPr>
            <w:tcW w:w="1003" w:type="dxa"/>
            <w:vAlign w:val="center"/>
          </w:tcPr>
          <w:p w14:paraId="63BFEECF">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p>
        </w:tc>
        <w:tc>
          <w:tcPr>
            <w:tcW w:w="1058" w:type="dxa"/>
            <w:vAlign w:val="center"/>
          </w:tcPr>
          <w:p w14:paraId="7E3E992B">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72</w:t>
            </w:r>
            <w:r>
              <w:rPr>
                <w:rFonts w:hint="eastAsia" w:ascii="Times New Roman" w:hAnsi="Times New Roman" w:eastAsia="宋体" w:cs="Times New Roman"/>
                <w:color w:val="auto"/>
                <w:szCs w:val="21"/>
                <w:u w:val="single" w:color="auto"/>
              </w:rPr>
              <w:t>000</w:t>
            </w:r>
          </w:p>
        </w:tc>
        <w:tc>
          <w:tcPr>
            <w:tcW w:w="1166" w:type="dxa"/>
            <w:vAlign w:val="center"/>
          </w:tcPr>
          <w:p w14:paraId="6A20DCC6">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4.733</w:t>
            </w:r>
          </w:p>
        </w:tc>
        <w:tc>
          <w:tcPr>
            <w:tcW w:w="1029" w:type="dxa"/>
            <w:vAlign w:val="center"/>
          </w:tcPr>
          <w:p w14:paraId="6BFB3BF9">
            <w:pPr>
              <w:widowControl/>
              <w:snapToGrid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1029" w:type="dxa"/>
            <w:vAlign w:val="center"/>
          </w:tcPr>
          <w:p w14:paraId="76BE75EE">
            <w:pPr>
              <w:widowControl/>
              <w:snapToGrid w:val="0"/>
              <w:jc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color w:val="auto"/>
                <w:szCs w:val="21"/>
                <w:u w:val="single" w:color="auto"/>
                <w:lang w:val="en-US" w:eastAsia="zh-CN"/>
              </w:rPr>
              <w:t>1.3</w:t>
            </w:r>
          </w:p>
        </w:tc>
        <w:tc>
          <w:tcPr>
            <w:tcW w:w="1030" w:type="dxa"/>
            <w:vAlign w:val="center"/>
          </w:tcPr>
          <w:p w14:paraId="335670CA">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25</w:t>
            </w:r>
          </w:p>
        </w:tc>
        <w:tc>
          <w:tcPr>
            <w:tcW w:w="1349" w:type="dxa"/>
            <w:vAlign w:val="center"/>
          </w:tcPr>
          <w:p w14:paraId="3A213219">
            <w:pPr>
              <w:widowControl/>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-50,-115,0</w:t>
            </w:r>
          </w:p>
        </w:tc>
      </w:tr>
    </w:tbl>
    <w:p w14:paraId="224E576B">
      <w:pPr>
        <w:autoSpaceDE w:val="0"/>
        <w:autoSpaceDN w:val="0"/>
        <w:snapToGrid w:val="0"/>
        <w:spacing w:line="360" w:lineRule="auto"/>
        <w:ind w:firstLine="482"/>
        <w:rPr>
          <w:rFonts w:ascii="Times New Roman" w:hAnsi="Times New Roman" w:eastAsia="宋体" w:cs="Times New Roman"/>
          <w:b/>
          <w:color w:val="auto"/>
          <w:kern w:val="0"/>
          <w:sz w:val="24"/>
          <w:szCs w:val="20"/>
          <w:u w:val="none" w:color="auto"/>
        </w:rPr>
      </w:pPr>
      <w:bookmarkStart w:id="227" w:name="_Toc3728237"/>
      <w:r>
        <w:rPr>
          <w:rFonts w:hint="eastAsia" w:ascii="Times New Roman" w:hAnsi="Times New Roman" w:eastAsia="宋体" w:cs="Times New Roman"/>
          <w:b/>
          <w:color w:val="auto"/>
          <w:kern w:val="0"/>
          <w:sz w:val="24"/>
          <w:szCs w:val="20"/>
          <w:u w:val="none" w:color="auto"/>
          <w:lang w:val="en-US" w:eastAsia="zh-CN"/>
        </w:rPr>
        <w:t>2</w:t>
      </w:r>
      <w:r>
        <w:rPr>
          <w:rFonts w:ascii="Times New Roman" w:hAnsi="Times New Roman" w:eastAsia="宋体" w:cs="Times New Roman"/>
          <w:b/>
          <w:color w:val="auto"/>
          <w:kern w:val="0"/>
          <w:sz w:val="24"/>
          <w:szCs w:val="20"/>
          <w:u w:val="none" w:color="auto"/>
        </w:rPr>
        <w:t>、</w:t>
      </w:r>
      <w:r>
        <w:rPr>
          <w:rFonts w:hint="eastAsia" w:ascii="Times New Roman" w:hAnsi="Times New Roman" w:eastAsia="宋体" w:cs="Times New Roman"/>
          <w:b/>
          <w:color w:val="auto"/>
          <w:kern w:val="0"/>
          <w:sz w:val="24"/>
          <w:szCs w:val="20"/>
          <w:u w:val="none" w:color="auto"/>
        </w:rPr>
        <w:t>已批在建源强</w:t>
      </w:r>
    </w:p>
    <w:p w14:paraId="0DCC8A3E">
      <w:pPr>
        <w:pStyle w:val="48"/>
        <w:jc w:val="left"/>
        <w:rPr>
          <w:rFonts w:hint="default" w:ascii="Times New Roman" w:hAnsi="Times New Roman" w:eastAsia="宋体"/>
          <w:color w:val="auto"/>
          <w:kern w:val="0"/>
          <w:szCs w:val="20"/>
          <w:u w:val="none" w:color="auto"/>
        </w:rPr>
      </w:pPr>
      <w:r>
        <w:rPr>
          <w:rFonts w:ascii="Times New Roman" w:hAnsi="Times New Roman" w:eastAsia="宋体"/>
          <w:color w:val="auto"/>
          <w:kern w:val="0"/>
          <w:szCs w:val="20"/>
          <w:u w:val="none" w:color="auto"/>
        </w:rPr>
        <w:t>项目周边区域已批在建、拟建污染源强见表4.2-12和表4.2-13。</w:t>
      </w:r>
    </w:p>
    <w:p w14:paraId="2C438E0C">
      <w:pPr>
        <w:pStyle w:val="59"/>
        <w:rPr>
          <w:rFonts w:ascii="Times New Roman"/>
          <w:color w:val="auto"/>
          <w:kern w:val="0"/>
          <w:sz w:val="24"/>
          <w:szCs w:val="20"/>
          <w:u w:val="none" w:color="auto"/>
        </w:rPr>
        <w:sectPr>
          <w:pgSz w:w="11907" w:h="16839"/>
          <w:pgMar w:top="1440" w:right="1350" w:bottom="1440" w:left="1797" w:header="851" w:footer="851" w:gutter="0"/>
          <w:pgBorders>
            <w:top w:val="none" w:sz="0" w:space="0"/>
            <w:left w:val="none" w:sz="0" w:space="0"/>
            <w:bottom w:val="none" w:sz="0" w:space="0"/>
            <w:right w:val="none" w:sz="0" w:space="0"/>
          </w:pgBorders>
          <w:pgNumType w:fmt="decimal"/>
          <w:cols w:space="720" w:num="1"/>
          <w:docGrid w:type="lines" w:linePitch="326" w:charSpace="0"/>
        </w:sectPr>
      </w:pPr>
    </w:p>
    <w:p w14:paraId="2DB55E35">
      <w:pPr>
        <w:autoSpaceDE w:val="0"/>
        <w:autoSpaceDN w:val="0"/>
        <w:snapToGrid w:val="0"/>
        <w:jc w:val="center"/>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表4.2-12 区域在建、拟建污染源点源参数表</w:t>
      </w:r>
    </w:p>
    <w:p w14:paraId="23A86FCC">
      <w:pPr>
        <w:spacing w:line="71" w:lineRule="exact"/>
        <w:jc w:val="left"/>
        <w:rPr>
          <w:color w:val="auto"/>
          <w:u w:val="none" w:color="auto"/>
        </w:rPr>
      </w:pP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2108"/>
        <w:gridCol w:w="1054"/>
        <w:gridCol w:w="1069"/>
        <w:gridCol w:w="853"/>
        <w:gridCol w:w="853"/>
        <w:gridCol w:w="930"/>
        <w:gridCol w:w="1409"/>
        <w:gridCol w:w="1009"/>
        <w:gridCol w:w="1188"/>
        <w:gridCol w:w="1457"/>
        <w:gridCol w:w="1457"/>
        <w:gridCol w:w="20"/>
      </w:tblGrid>
      <w:tr w14:paraId="19BF2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11" w:type="pct"/>
            <w:gridSpan w:val="2"/>
            <w:vMerge w:val="restart"/>
            <w:vAlign w:val="center"/>
          </w:tcPr>
          <w:p w14:paraId="04A7A716">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名称</w:t>
            </w:r>
          </w:p>
        </w:tc>
        <w:tc>
          <w:tcPr>
            <w:tcW w:w="749" w:type="pct"/>
            <w:gridSpan w:val="2"/>
            <w:vAlign w:val="center"/>
          </w:tcPr>
          <w:p w14:paraId="5AF38613">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排气筒底</w:t>
            </w:r>
          </w:p>
          <w:p w14:paraId="636845DF">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部中心坐</w:t>
            </w:r>
          </w:p>
          <w:p w14:paraId="1C672870">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标/m</w:t>
            </w:r>
          </w:p>
        </w:tc>
        <w:tc>
          <w:tcPr>
            <w:tcW w:w="301" w:type="pct"/>
            <w:vMerge w:val="restart"/>
            <w:vAlign w:val="center"/>
          </w:tcPr>
          <w:p w14:paraId="175CE915">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排气</w:t>
            </w:r>
          </w:p>
          <w:p w14:paraId="30327488">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筒底</w:t>
            </w:r>
          </w:p>
          <w:p w14:paraId="1CCA8083">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部海</w:t>
            </w:r>
          </w:p>
          <w:p w14:paraId="0AE9A3DA">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拔高</w:t>
            </w:r>
          </w:p>
          <w:p w14:paraId="2D683B30">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度/m</w:t>
            </w:r>
          </w:p>
        </w:tc>
        <w:tc>
          <w:tcPr>
            <w:tcW w:w="301" w:type="pct"/>
            <w:vMerge w:val="restart"/>
            <w:vAlign w:val="center"/>
          </w:tcPr>
          <w:p w14:paraId="648485DB">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排气</w:t>
            </w:r>
          </w:p>
          <w:p w14:paraId="1D41015F">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筒高</w:t>
            </w:r>
          </w:p>
          <w:p w14:paraId="5971C1EC">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度/m</w:t>
            </w:r>
          </w:p>
        </w:tc>
        <w:tc>
          <w:tcPr>
            <w:tcW w:w="328" w:type="pct"/>
            <w:vMerge w:val="restart"/>
            <w:vAlign w:val="center"/>
          </w:tcPr>
          <w:p w14:paraId="52C045FC">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排气</w:t>
            </w:r>
          </w:p>
          <w:p w14:paraId="6F7A7D00">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筒出</w:t>
            </w:r>
          </w:p>
          <w:p w14:paraId="08A79BEE">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口内</w:t>
            </w:r>
          </w:p>
          <w:p w14:paraId="3C69842E">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径/m</w:t>
            </w:r>
          </w:p>
        </w:tc>
        <w:tc>
          <w:tcPr>
            <w:tcW w:w="497" w:type="pct"/>
            <w:vMerge w:val="restart"/>
            <w:vAlign w:val="center"/>
          </w:tcPr>
          <w:p w14:paraId="6D1BF5A6">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烟气量</w:t>
            </w:r>
          </w:p>
          <w:p w14:paraId="3638710D">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m</w:t>
            </w:r>
            <w:r>
              <w:rPr>
                <w:rFonts w:hint="default" w:ascii="Times New Roman" w:hAnsi="Times New Roman" w:eastAsia="宋体" w:cs="Times New Roman"/>
                <w:b/>
                <w:color w:val="auto"/>
                <w:spacing w:val="10"/>
                <w:sz w:val="21"/>
                <w:szCs w:val="21"/>
                <w:u w:val="none" w:color="auto"/>
                <w:vertAlign w:val="superscript"/>
              </w:rPr>
              <w:t>3</w:t>
            </w:r>
            <w:r>
              <w:rPr>
                <w:rFonts w:hint="default" w:ascii="Times New Roman" w:hAnsi="Times New Roman" w:eastAsia="宋体" w:cs="Times New Roman"/>
                <w:b/>
                <w:color w:val="auto"/>
                <w:spacing w:val="10"/>
                <w:sz w:val="21"/>
                <w:szCs w:val="21"/>
                <w:u w:val="none" w:color="auto"/>
              </w:rPr>
              <w:t>/h</w:t>
            </w:r>
          </w:p>
        </w:tc>
        <w:tc>
          <w:tcPr>
            <w:tcW w:w="356" w:type="pct"/>
            <w:vMerge w:val="restart"/>
            <w:vAlign w:val="center"/>
          </w:tcPr>
          <w:p w14:paraId="7D4EBF6E">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烟气</w:t>
            </w:r>
          </w:p>
          <w:p w14:paraId="5AF17AFB">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温度</w:t>
            </w:r>
          </w:p>
          <w:p w14:paraId="1843528F">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w:t>
            </w:r>
          </w:p>
        </w:tc>
        <w:tc>
          <w:tcPr>
            <w:tcW w:w="419" w:type="pct"/>
            <w:vMerge w:val="restart"/>
            <w:vAlign w:val="center"/>
          </w:tcPr>
          <w:p w14:paraId="4A22FBEE">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年排</w:t>
            </w:r>
          </w:p>
          <w:p w14:paraId="2EB38F72">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放小</w:t>
            </w:r>
          </w:p>
          <w:p w14:paraId="5E86B300">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时数</w:t>
            </w:r>
          </w:p>
          <w:p w14:paraId="74FD42F5">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/h</w:t>
            </w:r>
          </w:p>
        </w:tc>
        <w:tc>
          <w:tcPr>
            <w:tcW w:w="1035" w:type="pct"/>
            <w:gridSpan w:val="3"/>
            <w:vAlign w:val="center"/>
          </w:tcPr>
          <w:p w14:paraId="4ED6FA33">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污染物排放速率/（kg/h）</w:t>
            </w:r>
          </w:p>
        </w:tc>
      </w:tr>
      <w:tr w14:paraId="0FB51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1011" w:type="pct"/>
            <w:gridSpan w:val="2"/>
            <w:vMerge w:val="continue"/>
            <w:vAlign w:val="center"/>
          </w:tcPr>
          <w:p w14:paraId="240880AF">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372" w:type="pct"/>
            <w:vAlign w:val="center"/>
          </w:tcPr>
          <w:p w14:paraId="710BCB07">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X</w:t>
            </w:r>
          </w:p>
        </w:tc>
        <w:tc>
          <w:tcPr>
            <w:tcW w:w="377" w:type="pct"/>
            <w:vAlign w:val="center"/>
          </w:tcPr>
          <w:p w14:paraId="4AE64144">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eastAsia="宋体" w:cs="Times New Roman"/>
                <w:b/>
                <w:color w:val="auto"/>
                <w:spacing w:val="10"/>
                <w:sz w:val="21"/>
                <w:szCs w:val="21"/>
                <w:u w:val="none" w:color="auto"/>
              </w:rPr>
              <w:t>Y</w:t>
            </w:r>
          </w:p>
        </w:tc>
        <w:tc>
          <w:tcPr>
            <w:tcW w:w="301" w:type="pct"/>
            <w:vMerge w:val="continue"/>
            <w:vAlign w:val="center"/>
          </w:tcPr>
          <w:p w14:paraId="274C34D5">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301" w:type="pct"/>
            <w:vMerge w:val="continue"/>
            <w:vAlign w:val="center"/>
          </w:tcPr>
          <w:p w14:paraId="412F19F6">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328" w:type="pct"/>
            <w:vMerge w:val="continue"/>
            <w:vAlign w:val="center"/>
          </w:tcPr>
          <w:p w14:paraId="623B6650">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497" w:type="pct"/>
            <w:vMerge w:val="continue"/>
            <w:vAlign w:val="center"/>
          </w:tcPr>
          <w:p w14:paraId="18D76299">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356" w:type="pct"/>
            <w:vMerge w:val="continue"/>
            <w:vAlign w:val="center"/>
          </w:tcPr>
          <w:p w14:paraId="26D25F9A">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419" w:type="pct"/>
            <w:vMerge w:val="continue"/>
            <w:vAlign w:val="center"/>
          </w:tcPr>
          <w:p w14:paraId="3CB54129">
            <w:pPr>
              <w:widowControl/>
              <w:adjustRightInd w:val="0"/>
              <w:snapToGrid w:val="0"/>
              <w:jc w:val="center"/>
              <w:rPr>
                <w:rFonts w:hint="default" w:ascii="Times New Roman" w:hAnsi="Times New Roman" w:eastAsia="宋体" w:cs="Times New Roman"/>
                <w:b/>
                <w:color w:val="auto"/>
                <w:spacing w:val="10"/>
                <w:sz w:val="21"/>
                <w:szCs w:val="21"/>
                <w:u w:val="none" w:color="auto"/>
              </w:rPr>
            </w:pPr>
          </w:p>
        </w:tc>
        <w:tc>
          <w:tcPr>
            <w:tcW w:w="514" w:type="pct"/>
            <w:vAlign w:val="center"/>
          </w:tcPr>
          <w:p w14:paraId="21C1009B">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cs="Times New Roman" w:eastAsiaTheme="minorEastAsia"/>
                <w:b/>
                <w:color w:val="auto"/>
                <w:sz w:val="21"/>
                <w:szCs w:val="21"/>
                <w:u w:val="none" w:color="auto"/>
              </w:rPr>
              <w:t>PM</w:t>
            </w:r>
            <w:r>
              <w:rPr>
                <w:rFonts w:hint="default" w:ascii="Times New Roman" w:hAnsi="Times New Roman" w:cs="Times New Roman" w:eastAsiaTheme="minorEastAsia"/>
                <w:b/>
                <w:color w:val="auto"/>
                <w:sz w:val="21"/>
                <w:szCs w:val="21"/>
                <w:u w:val="none" w:color="auto"/>
                <w:vertAlign w:val="subscript"/>
              </w:rPr>
              <w:t>10</w:t>
            </w:r>
          </w:p>
        </w:tc>
        <w:tc>
          <w:tcPr>
            <w:tcW w:w="514" w:type="pct"/>
            <w:vAlign w:val="center"/>
          </w:tcPr>
          <w:p w14:paraId="01F5C1C5">
            <w:pPr>
              <w:autoSpaceDE w:val="0"/>
              <w:autoSpaceDN w:val="0"/>
              <w:adjustRightInd w:val="0"/>
              <w:snapToGrid w:val="0"/>
              <w:jc w:val="center"/>
              <w:textAlignment w:val="bottom"/>
              <w:rPr>
                <w:rFonts w:hint="default" w:ascii="Times New Roman" w:hAnsi="Times New Roman" w:eastAsia="宋体" w:cs="Times New Roman"/>
                <w:b/>
                <w:color w:val="auto"/>
                <w:spacing w:val="10"/>
                <w:sz w:val="21"/>
                <w:szCs w:val="21"/>
                <w:u w:val="none" w:color="auto"/>
              </w:rPr>
            </w:pPr>
            <w:r>
              <w:rPr>
                <w:rFonts w:hint="default" w:ascii="Times New Roman" w:hAnsi="Times New Roman" w:cs="Times New Roman" w:eastAsiaTheme="minorEastAsia"/>
                <w:b/>
                <w:color w:val="auto"/>
                <w:sz w:val="21"/>
                <w:szCs w:val="21"/>
                <w:u w:val="none" w:color="auto"/>
              </w:rPr>
              <w:t>VOCs</w:t>
            </w:r>
          </w:p>
        </w:tc>
      </w:tr>
      <w:tr w14:paraId="13324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restart"/>
            <w:vAlign w:val="center"/>
          </w:tcPr>
          <w:p w14:paraId="66F2623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广西中伟新能源项目一期新能源材料一体化项目</w:t>
            </w:r>
          </w:p>
        </w:tc>
        <w:tc>
          <w:tcPr>
            <w:tcW w:w="743" w:type="pct"/>
            <w:vAlign w:val="center"/>
          </w:tcPr>
          <w:p w14:paraId="014C456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DA087磨煤废气</w:t>
            </w:r>
          </w:p>
        </w:tc>
        <w:tc>
          <w:tcPr>
            <w:tcW w:w="372" w:type="pct"/>
            <w:vAlign w:val="center"/>
          </w:tcPr>
          <w:p w14:paraId="432C0F43">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-200</w:t>
            </w:r>
          </w:p>
        </w:tc>
        <w:tc>
          <w:tcPr>
            <w:tcW w:w="377" w:type="pct"/>
            <w:vAlign w:val="center"/>
          </w:tcPr>
          <w:p w14:paraId="6AB6A34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-50</w:t>
            </w:r>
          </w:p>
        </w:tc>
        <w:tc>
          <w:tcPr>
            <w:tcW w:w="301" w:type="pct"/>
            <w:vAlign w:val="center"/>
          </w:tcPr>
          <w:p w14:paraId="5FD8E4C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5B77039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18</w:t>
            </w:r>
          </w:p>
        </w:tc>
        <w:tc>
          <w:tcPr>
            <w:tcW w:w="328" w:type="pct"/>
            <w:vAlign w:val="center"/>
          </w:tcPr>
          <w:p w14:paraId="3F58CBE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1.0</w:t>
            </w:r>
          </w:p>
        </w:tc>
        <w:tc>
          <w:tcPr>
            <w:tcW w:w="497" w:type="pct"/>
            <w:vAlign w:val="center"/>
          </w:tcPr>
          <w:p w14:paraId="3FDFD25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59133</w:t>
            </w:r>
          </w:p>
        </w:tc>
        <w:tc>
          <w:tcPr>
            <w:tcW w:w="356" w:type="pct"/>
            <w:vAlign w:val="center"/>
          </w:tcPr>
          <w:p w14:paraId="17B80678">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200</w:t>
            </w:r>
          </w:p>
        </w:tc>
        <w:tc>
          <w:tcPr>
            <w:tcW w:w="419" w:type="pct"/>
            <w:vAlign w:val="center"/>
          </w:tcPr>
          <w:p w14:paraId="321469C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4BA8C11C">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0.0887</w:t>
            </w:r>
          </w:p>
        </w:tc>
        <w:tc>
          <w:tcPr>
            <w:tcW w:w="514" w:type="pct"/>
            <w:vAlign w:val="center"/>
          </w:tcPr>
          <w:p w14:paraId="461E4569">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7A79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4300E680">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77739EE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DA088落料粉尘</w:t>
            </w:r>
          </w:p>
        </w:tc>
        <w:tc>
          <w:tcPr>
            <w:tcW w:w="372" w:type="pct"/>
            <w:vAlign w:val="center"/>
          </w:tcPr>
          <w:p w14:paraId="61DE9854">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-141</w:t>
            </w:r>
          </w:p>
        </w:tc>
        <w:tc>
          <w:tcPr>
            <w:tcW w:w="377" w:type="pct"/>
            <w:vAlign w:val="center"/>
          </w:tcPr>
          <w:p w14:paraId="0852CCC4">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-64</w:t>
            </w:r>
          </w:p>
        </w:tc>
        <w:tc>
          <w:tcPr>
            <w:tcW w:w="301" w:type="pct"/>
            <w:vAlign w:val="center"/>
          </w:tcPr>
          <w:p w14:paraId="069AE3AF">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23560D5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15</w:t>
            </w:r>
          </w:p>
        </w:tc>
        <w:tc>
          <w:tcPr>
            <w:tcW w:w="328" w:type="pct"/>
            <w:vAlign w:val="center"/>
          </w:tcPr>
          <w:p w14:paraId="25F292DE">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0.8</w:t>
            </w:r>
          </w:p>
        </w:tc>
        <w:tc>
          <w:tcPr>
            <w:tcW w:w="497" w:type="pct"/>
            <w:vAlign w:val="center"/>
          </w:tcPr>
          <w:p w14:paraId="6F01CF33">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13000</w:t>
            </w:r>
          </w:p>
        </w:tc>
        <w:tc>
          <w:tcPr>
            <w:tcW w:w="356" w:type="pct"/>
            <w:vAlign w:val="center"/>
          </w:tcPr>
          <w:p w14:paraId="1009C74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1A3B73BF">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3258416A">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0.0442</w:t>
            </w:r>
          </w:p>
        </w:tc>
        <w:tc>
          <w:tcPr>
            <w:tcW w:w="514" w:type="pct"/>
            <w:vAlign w:val="center"/>
          </w:tcPr>
          <w:p w14:paraId="0954A0AD">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1FBF7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789697D8">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146CCEC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DA089转运粉尘</w:t>
            </w:r>
          </w:p>
        </w:tc>
        <w:tc>
          <w:tcPr>
            <w:tcW w:w="372" w:type="pct"/>
            <w:vAlign w:val="center"/>
          </w:tcPr>
          <w:p w14:paraId="24A67D95">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-165</w:t>
            </w:r>
          </w:p>
        </w:tc>
        <w:tc>
          <w:tcPr>
            <w:tcW w:w="377" w:type="pct"/>
            <w:vAlign w:val="center"/>
          </w:tcPr>
          <w:p w14:paraId="4286B7CD">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-106</w:t>
            </w:r>
          </w:p>
        </w:tc>
        <w:tc>
          <w:tcPr>
            <w:tcW w:w="301" w:type="pct"/>
            <w:vAlign w:val="center"/>
          </w:tcPr>
          <w:p w14:paraId="4D328C1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4E8401F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69FD484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0.8</w:t>
            </w:r>
          </w:p>
        </w:tc>
        <w:tc>
          <w:tcPr>
            <w:tcW w:w="497" w:type="pct"/>
            <w:vAlign w:val="center"/>
          </w:tcPr>
          <w:p w14:paraId="1D4AFC8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25800</w:t>
            </w:r>
          </w:p>
        </w:tc>
        <w:tc>
          <w:tcPr>
            <w:tcW w:w="356" w:type="pct"/>
            <w:vAlign w:val="center"/>
          </w:tcPr>
          <w:p w14:paraId="6E37C3F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7F22F48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3F8990A1">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0.0774</w:t>
            </w:r>
          </w:p>
        </w:tc>
        <w:tc>
          <w:tcPr>
            <w:tcW w:w="514" w:type="pct"/>
            <w:vAlign w:val="center"/>
          </w:tcPr>
          <w:p w14:paraId="0E44CF2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21A49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3886E1B8">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60ADD59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DA090落料粉尘</w:t>
            </w:r>
          </w:p>
        </w:tc>
        <w:tc>
          <w:tcPr>
            <w:tcW w:w="372" w:type="pct"/>
            <w:vAlign w:val="center"/>
          </w:tcPr>
          <w:p w14:paraId="6A2E266E">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-146</w:t>
            </w:r>
          </w:p>
        </w:tc>
        <w:tc>
          <w:tcPr>
            <w:tcW w:w="377" w:type="pct"/>
            <w:vAlign w:val="center"/>
          </w:tcPr>
          <w:p w14:paraId="0EE2FD2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-116</w:t>
            </w:r>
          </w:p>
        </w:tc>
        <w:tc>
          <w:tcPr>
            <w:tcW w:w="301" w:type="pct"/>
            <w:vAlign w:val="center"/>
          </w:tcPr>
          <w:p w14:paraId="3BAA222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595A5D0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328" w:type="pct"/>
            <w:vAlign w:val="center"/>
          </w:tcPr>
          <w:p w14:paraId="17D66118">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0.8</w:t>
            </w:r>
          </w:p>
        </w:tc>
        <w:tc>
          <w:tcPr>
            <w:tcW w:w="497" w:type="pct"/>
            <w:vAlign w:val="center"/>
          </w:tcPr>
          <w:p w14:paraId="0123E25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21875</w:t>
            </w:r>
          </w:p>
        </w:tc>
        <w:tc>
          <w:tcPr>
            <w:tcW w:w="356" w:type="pct"/>
            <w:vAlign w:val="center"/>
          </w:tcPr>
          <w:p w14:paraId="307C071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76E8716B">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42DA39F7">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0.070</w:t>
            </w:r>
          </w:p>
        </w:tc>
        <w:tc>
          <w:tcPr>
            <w:tcW w:w="514" w:type="pct"/>
            <w:vAlign w:val="center"/>
          </w:tcPr>
          <w:p w14:paraId="4D4CE6D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5E8D6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79318846">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0B1C559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DA095制酸尾气</w:t>
            </w:r>
          </w:p>
        </w:tc>
        <w:tc>
          <w:tcPr>
            <w:tcW w:w="372" w:type="pct"/>
            <w:vAlign w:val="center"/>
          </w:tcPr>
          <w:p w14:paraId="3FA2BDCC">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-179</w:t>
            </w:r>
          </w:p>
        </w:tc>
        <w:tc>
          <w:tcPr>
            <w:tcW w:w="377" w:type="pct"/>
            <w:vAlign w:val="center"/>
          </w:tcPr>
          <w:p w14:paraId="33FCEEC4">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-245</w:t>
            </w:r>
          </w:p>
        </w:tc>
        <w:tc>
          <w:tcPr>
            <w:tcW w:w="301" w:type="pct"/>
            <w:vAlign w:val="center"/>
          </w:tcPr>
          <w:p w14:paraId="30F1E60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5E660BF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50</w:t>
            </w:r>
          </w:p>
        </w:tc>
        <w:tc>
          <w:tcPr>
            <w:tcW w:w="328" w:type="pct"/>
            <w:vAlign w:val="center"/>
          </w:tcPr>
          <w:p w14:paraId="18A668A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1.2</w:t>
            </w:r>
          </w:p>
        </w:tc>
        <w:tc>
          <w:tcPr>
            <w:tcW w:w="497" w:type="pct"/>
            <w:vAlign w:val="center"/>
          </w:tcPr>
          <w:p w14:paraId="26D3050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37278</w:t>
            </w:r>
          </w:p>
        </w:tc>
        <w:tc>
          <w:tcPr>
            <w:tcW w:w="356" w:type="pct"/>
            <w:vAlign w:val="center"/>
          </w:tcPr>
          <w:p w14:paraId="195065F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40</w:t>
            </w:r>
          </w:p>
        </w:tc>
        <w:tc>
          <w:tcPr>
            <w:tcW w:w="419" w:type="pct"/>
            <w:vAlign w:val="center"/>
          </w:tcPr>
          <w:p w14:paraId="626A3E7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65302FE1">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0.0375</w:t>
            </w:r>
          </w:p>
        </w:tc>
        <w:tc>
          <w:tcPr>
            <w:tcW w:w="514" w:type="pct"/>
            <w:vAlign w:val="center"/>
          </w:tcPr>
          <w:p w14:paraId="6E41B27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3400B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3EBFB900">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0A79C37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DA094贫化炉烟气</w:t>
            </w:r>
          </w:p>
        </w:tc>
        <w:tc>
          <w:tcPr>
            <w:tcW w:w="372" w:type="pct"/>
            <w:vAlign w:val="center"/>
          </w:tcPr>
          <w:p w14:paraId="6980F77A">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-55</w:t>
            </w:r>
          </w:p>
        </w:tc>
        <w:tc>
          <w:tcPr>
            <w:tcW w:w="377" w:type="pct"/>
            <w:vAlign w:val="center"/>
          </w:tcPr>
          <w:p w14:paraId="2C8FB02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-131</w:t>
            </w:r>
          </w:p>
        </w:tc>
        <w:tc>
          <w:tcPr>
            <w:tcW w:w="301" w:type="pct"/>
            <w:vAlign w:val="center"/>
          </w:tcPr>
          <w:p w14:paraId="7F8EABB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2BB3FD8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50</w:t>
            </w:r>
          </w:p>
        </w:tc>
        <w:tc>
          <w:tcPr>
            <w:tcW w:w="328" w:type="pct"/>
            <w:vAlign w:val="center"/>
          </w:tcPr>
          <w:p w14:paraId="24D8946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1.5</w:t>
            </w:r>
          </w:p>
        </w:tc>
        <w:tc>
          <w:tcPr>
            <w:tcW w:w="497" w:type="pct"/>
            <w:vAlign w:val="center"/>
          </w:tcPr>
          <w:p w14:paraId="4A61C4A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43813</w:t>
            </w:r>
          </w:p>
        </w:tc>
        <w:tc>
          <w:tcPr>
            <w:tcW w:w="356" w:type="pct"/>
            <w:vAlign w:val="center"/>
          </w:tcPr>
          <w:p w14:paraId="7CA12F7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180</w:t>
            </w:r>
          </w:p>
        </w:tc>
        <w:tc>
          <w:tcPr>
            <w:tcW w:w="419" w:type="pct"/>
            <w:vAlign w:val="center"/>
          </w:tcPr>
          <w:p w14:paraId="42BFAFE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4C916BA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0.2063</w:t>
            </w:r>
          </w:p>
        </w:tc>
        <w:tc>
          <w:tcPr>
            <w:tcW w:w="514" w:type="pct"/>
            <w:vAlign w:val="center"/>
          </w:tcPr>
          <w:p w14:paraId="124627D9">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6B336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5E7C6022">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708F907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DA093水淬废气</w:t>
            </w:r>
          </w:p>
        </w:tc>
        <w:tc>
          <w:tcPr>
            <w:tcW w:w="372" w:type="pct"/>
            <w:vAlign w:val="center"/>
          </w:tcPr>
          <w:p w14:paraId="50131471">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-18</w:t>
            </w:r>
          </w:p>
        </w:tc>
        <w:tc>
          <w:tcPr>
            <w:tcW w:w="377" w:type="pct"/>
            <w:vAlign w:val="center"/>
          </w:tcPr>
          <w:p w14:paraId="3DE7F28F">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-134</w:t>
            </w:r>
          </w:p>
        </w:tc>
        <w:tc>
          <w:tcPr>
            <w:tcW w:w="301" w:type="pct"/>
            <w:vAlign w:val="center"/>
          </w:tcPr>
          <w:p w14:paraId="655A111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4196B663">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30</w:t>
            </w:r>
          </w:p>
        </w:tc>
        <w:tc>
          <w:tcPr>
            <w:tcW w:w="328" w:type="pct"/>
            <w:vAlign w:val="center"/>
          </w:tcPr>
          <w:p w14:paraId="34DDB8BB">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0.9</w:t>
            </w:r>
          </w:p>
        </w:tc>
        <w:tc>
          <w:tcPr>
            <w:tcW w:w="497" w:type="pct"/>
            <w:vAlign w:val="center"/>
          </w:tcPr>
          <w:p w14:paraId="4E68218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70588</w:t>
            </w:r>
          </w:p>
        </w:tc>
        <w:tc>
          <w:tcPr>
            <w:tcW w:w="356" w:type="pct"/>
            <w:vAlign w:val="center"/>
          </w:tcPr>
          <w:p w14:paraId="43EE5FF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200</w:t>
            </w:r>
          </w:p>
        </w:tc>
        <w:tc>
          <w:tcPr>
            <w:tcW w:w="419" w:type="pct"/>
            <w:vAlign w:val="center"/>
          </w:tcPr>
          <w:p w14:paraId="39F61F0B">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10D16C2A">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0.120</w:t>
            </w:r>
          </w:p>
        </w:tc>
        <w:tc>
          <w:tcPr>
            <w:tcW w:w="514" w:type="pct"/>
            <w:vAlign w:val="center"/>
          </w:tcPr>
          <w:p w14:paraId="35C8F8D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1D80F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199E6E9E">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1576CA2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DA056球磨废气</w:t>
            </w:r>
          </w:p>
        </w:tc>
        <w:tc>
          <w:tcPr>
            <w:tcW w:w="372" w:type="pct"/>
            <w:vAlign w:val="center"/>
          </w:tcPr>
          <w:p w14:paraId="6EF6B12F">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-210</w:t>
            </w:r>
          </w:p>
        </w:tc>
        <w:tc>
          <w:tcPr>
            <w:tcW w:w="377" w:type="pct"/>
            <w:vAlign w:val="center"/>
          </w:tcPr>
          <w:p w14:paraId="14EF9B32">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150</w:t>
            </w:r>
          </w:p>
        </w:tc>
        <w:tc>
          <w:tcPr>
            <w:tcW w:w="301" w:type="pct"/>
            <w:vAlign w:val="center"/>
          </w:tcPr>
          <w:p w14:paraId="1C410F1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0ED9B41B">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38E7207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0.5</w:t>
            </w:r>
          </w:p>
        </w:tc>
        <w:tc>
          <w:tcPr>
            <w:tcW w:w="497" w:type="pct"/>
            <w:vAlign w:val="center"/>
          </w:tcPr>
          <w:p w14:paraId="31B62DD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20000</w:t>
            </w:r>
          </w:p>
        </w:tc>
        <w:tc>
          <w:tcPr>
            <w:tcW w:w="356" w:type="pct"/>
            <w:vAlign w:val="center"/>
          </w:tcPr>
          <w:p w14:paraId="1F3EECC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20334DB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188D9F6D">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0.05</w:t>
            </w:r>
          </w:p>
        </w:tc>
        <w:tc>
          <w:tcPr>
            <w:tcW w:w="514" w:type="pct"/>
            <w:vAlign w:val="center"/>
          </w:tcPr>
          <w:p w14:paraId="3FAA3EE8">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776A5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2E70F560">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05AFEA1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DA057球磨废气</w:t>
            </w:r>
          </w:p>
        </w:tc>
        <w:tc>
          <w:tcPr>
            <w:tcW w:w="372" w:type="pct"/>
            <w:vAlign w:val="center"/>
          </w:tcPr>
          <w:p w14:paraId="4C5A0021">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-154</w:t>
            </w:r>
          </w:p>
        </w:tc>
        <w:tc>
          <w:tcPr>
            <w:tcW w:w="377" w:type="pct"/>
            <w:vAlign w:val="center"/>
          </w:tcPr>
          <w:p w14:paraId="70AA6796">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147</w:t>
            </w:r>
          </w:p>
        </w:tc>
        <w:tc>
          <w:tcPr>
            <w:tcW w:w="301" w:type="pct"/>
            <w:vAlign w:val="center"/>
          </w:tcPr>
          <w:p w14:paraId="4FEF2FD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69559324">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62286F3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0.5</w:t>
            </w:r>
          </w:p>
        </w:tc>
        <w:tc>
          <w:tcPr>
            <w:tcW w:w="497" w:type="pct"/>
            <w:vAlign w:val="center"/>
          </w:tcPr>
          <w:p w14:paraId="6DDBC4C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20000</w:t>
            </w:r>
          </w:p>
        </w:tc>
        <w:tc>
          <w:tcPr>
            <w:tcW w:w="356" w:type="pct"/>
            <w:vAlign w:val="center"/>
          </w:tcPr>
          <w:p w14:paraId="0F5D60A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765F1F4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261758E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0.05</w:t>
            </w:r>
          </w:p>
        </w:tc>
        <w:tc>
          <w:tcPr>
            <w:tcW w:w="514" w:type="pct"/>
            <w:vAlign w:val="center"/>
          </w:tcPr>
          <w:p w14:paraId="37976316">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38638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68261226">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7981A3FE">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DA141浆化废气</w:t>
            </w:r>
          </w:p>
        </w:tc>
        <w:tc>
          <w:tcPr>
            <w:tcW w:w="372" w:type="pct"/>
            <w:vAlign w:val="center"/>
          </w:tcPr>
          <w:p w14:paraId="2DA3401F">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-190</w:t>
            </w:r>
          </w:p>
        </w:tc>
        <w:tc>
          <w:tcPr>
            <w:tcW w:w="377" w:type="pct"/>
            <w:vAlign w:val="center"/>
          </w:tcPr>
          <w:p w14:paraId="7445728A">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136</w:t>
            </w:r>
          </w:p>
        </w:tc>
        <w:tc>
          <w:tcPr>
            <w:tcW w:w="301" w:type="pct"/>
            <w:vAlign w:val="center"/>
          </w:tcPr>
          <w:p w14:paraId="643E1FA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358C4403">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6232658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0.5</w:t>
            </w:r>
          </w:p>
        </w:tc>
        <w:tc>
          <w:tcPr>
            <w:tcW w:w="497" w:type="pct"/>
            <w:vAlign w:val="center"/>
          </w:tcPr>
          <w:p w14:paraId="084B0F64">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22000</w:t>
            </w:r>
          </w:p>
        </w:tc>
        <w:tc>
          <w:tcPr>
            <w:tcW w:w="356" w:type="pct"/>
            <w:vAlign w:val="center"/>
          </w:tcPr>
          <w:p w14:paraId="5ABA4C3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1604C76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12464457">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0.0354</w:t>
            </w:r>
          </w:p>
        </w:tc>
        <w:tc>
          <w:tcPr>
            <w:tcW w:w="514" w:type="pct"/>
            <w:vAlign w:val="center"/>
          </w:tcPr>
          <w:p w14:paraId="55AC4F8E">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452F8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05AD8EFC">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7007877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DA027萃取废气</w:t>
            </w:r>
          </w:p>
        </w:tc>
        <w:tc>
          <w:tcPr>
            <w:tcW w:w="372" w:type="pct"/>
            <w:vAlign w:val="center"/>
          </w:tcPr>
          <w:p w14:paraId="01A3B0E9">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-177</w:t>
            </w:r>
          </w:p>
        </w:tc>
        <w:tc>
          <w:tcPr>
            <w:tcW w:w="377" w:type="pct"/>
            <w:vAlign w:val="center"/>
          </w:tcPr>
          <w:p w14:paraId="55C2FB64">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338</w:t>
            </w:r>
          </w:p>
        </w:tc>
        <w:tc>
          <w:tcPr>
            <w:tcW w:w="301" w:type="pct"/>
            <w:vAlign w:val="center"/>
          </w:tcPr>
          <w:p w14:paraId="0EA0CC4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66C105B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5E70814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0.8</w:t>
            </w:r>
          </w:p>
        </w:tc>
        <w:tc>
          <w:tcPr>
            <w:tcW w:w="497" w:type="pct"/>
            <w:vAlign w:val="center"/>
          </w:tcPr>
          <w:p w14:paraId="14FDE31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35000</w:t>
            </w:r>
          </w:p>
        </w:tc>
        <w:tc>
          <w:tcPr>
            <w:tcW w:w="356" w:type="pct"/>
            <w:vAlign w:val="center"/>
          </w:tcPr>
          <w:p w14:paraId="555863E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2013DBD3">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610BD57B">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c>
          <w:tcPr>
            <w:tcW w:w="514" w:type="pct"/>
            <w:vAlign w:val="center"/>
          </w:tcPr>
          <w:p w14:paraId="21329D7C">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0.0063</w:t>
            </w:r>
          </w:p>
        </w:tc>
      </w:tr>
      <w:tr w14:paraId="2E9DC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02DCE16D">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12734794">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DA028萃取废气</w:t>
            </w:r>
          </w:p>
        </w:tc>
        <w:tc>
          <w:tcPr>
            <w:tcW w:w="372" w:type="pct"/>
            <w:vAlign w:val="center"/>
          </w:tcPr>
          <w:p w14:paraId="42B2F5A5">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-237</w:t>
            </w:r>
          </w:p>
        </w:tc>
        <w:tc>
          <w:tcPr>
            <w:tcW w:w="377" w:type="pct"/>
            <w:vAlign w:val="center"/>
          </w:tcPr>
          <w:p w14:paraId="69FB644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color w:val="auto"/>
                <w:sz w:val="21"/>
                <w:szCs w:val="21"/>
                <w:u w:val="none" w:color="auto"/>
              </w:rPr>
              <w:t>542</w:t>
            </w:r>
          </w:p>
        </w:tc>
        <w:tc>
          <w:tcPr>
            <w:tcW w:w="301" w:type="pct"/>
            <w:vAlign w:val="center"/>
          </w:tcPr>
          <w:p w14:paraId="0161DF34">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4476E96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20</w:t>
            </w:r>
          </w:p>
        </w:tc>
        <w:tc>
          <w:tcPr>
            <w:tcW w:w="328" w:type="pct"/>
            <w:vAlign w:val="center"/>
          </w:tcPr>
          <w:p w14:paraId="6434B68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0.8</w:t>
            </w:r>
          </w:p>
        </w:tc>
        <w:tc>
          <w:tcPr>
            <w:tcW w:w="497" w:type="pct"/>
            <w:vAlign w:val="center"/>
          </w:tcPr>
          <w:p w14:paraId="45B923DE">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35000</w:t>
            </w:r>
          </w:p>
        </w:tc>
        <w:tc>
          <w:tcPr>
            <w:tcW w:w="356" w:type="pct"/>
            <w:vAlign w:val="center"/>
          </w:tcPr>
          <w:p w14:paraId="3B976DE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271A276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5C4965F2">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c>
          <w:tcPr>
            <w:tcW w:w="514" w:type="pct"/>
            <w:vAlign w:val="center"/>
          </w:tcPr>
          <w:p w14:paraId="3525806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0.0063</w:t>
            </w:r>
          </w:p>
        </w:tc>
      </w:tr>
      <w:tr w14:paraId="47286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6C8F1C3C">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60B9C36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DA053镍蒸发结晶废气</w:t>
            </w:r>
          </w:p>
        </w:tc>
        <w:tc>
          <w:tcPr>
            <w:tcW w:w="372" w:type="pct"/>
            <w:vAlign w:val="center"/>
          </w:tcPr>
          <w:p w14:paraId="633E820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-242</w:t>
            </w:r>
          </w:p>
        </w:tc>
        <w:tc>
          <w:tcPr>
            <w:tcW w:w="377" w:type="pct"/>
            <w:vAlign w:val="center"/>
          </w:tcPr>
          <w:p w14:paraId="0A8CC8C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460</w:t>
            </w:r>
          </w:p>
        </w:tc>
        <w:tc>
          <w:tcPr>
            <w:tcW w:w="301" w:type="pct"/>
            <w:vAlign w:val="center"/>
          </w:tcPr>
          <w:p w14:paraId="565D0FB9">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54137CE5">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328" w:type="pct"/>
            <w:vAlign w:val="center"/>
          </w:tcPr>
          <w:p w14:paraId="5A9E3783">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1.5</w:t>
            </w:r>
          </w:p>
        </w:tc>
        <w:tc>
          <w:tcPr>
            <w:tcW w:w="497" w:type="pct"/>
            <w:vAlign w:val="center"/>
          </w:tcPr>
          <w:p w14:paraId="05952F1B">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82000</w:t>
            </w:r>
          </w:p>
        </w:tc>
        <w:tc>
          <w:tcPr>
            <w:tcW w:w="356" w:type="pct"/>
            <w:vAlign w:val="center"/>
          </w:tcPr>
          <w:p w14:paraId="4217D8CE">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419" w:type="pct"/>
            <w:vAlign w:val="center"/>
          </w:tcPr>
          <w:p w14:paraId="625D11B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4699DE70">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0.3889</w:t>
            </w:r>
          </w:p>
        </w:tc>
        <w:tc>
          <w:tcPr>
            <w:tcW w:w="514" w:type="pct"/>
            <w:vAlign w:val="center"/>
          </w:tcPr>
          <w:p w14:paraId="16EA9F4F">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2675C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5A8B21DC">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5778287A">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DA054镍蒸发结晶废气</w:t>
            </w:r>
          </w:p>
        </w:tc>
        <w:tc>
          <w:tcPr>
            <w:tcW w:w="372" w:type="pct"/>
            <w:vAlign w:val="center"/>
          </w:tcPr>
          <w:p w14:paraId="62D6111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-252</w:t>
            </w:r>
          </w:p>
        </w:tc>
        <w:tc>
          <w:tcPr>
            <w:tcW w:w="377" w:type="pct"/>
            <w:vAlign w:val="center"/>
          </w:tcPr>
          <w:p w14:paraId="4B8A1D5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400</w:t>
            </w:r>
          </w:p>
        </w:tc>
        <w:tc>
          <w:tcPr>
            <w:tcW w:w="301" w:type="pct"/>
            <w:vAlign w:val="center"/>
          </w:tcPr>
          <w:p w14:paraId="28DBFFF0">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62AE3501">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328" w:type="pct"/>
            <w:vAlign w:val="center"/>
          </w:tcPr>
          <w:p w14:paraId="05FFF72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1.5</w:t>
            </w:r>
          </w:p>
        </w:tc>
        <w:tc>
          <w:tcPr>
            <w:tcW w:w="497" w:type="pct"/>
            <w:vAlign w:val="center"/>
          </w:tcPr>
          <w:p w14:paraId="1A166349">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82000</w:t>
            </w:r>
          </w:p>
        </w:tc>
        <w:tc>
          <w:tcPr>
            <w:tcW w:w="356" w:type="pct"/>
            <w:vAlign w:val="center"/>
          </w:tcPr>
          <w:p w14:paraId="3FD3AD3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419" w:type="pct"/>
            <w:vAlign w:val="center"/>
          </w:tcPr>
          <w:p w14:paraId="2A7243B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7B71F40D">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0.3889</w:t>
            </w:r>
          </w:p>
        </w:tc>
        <w:tc>
          <w:tcPr>
            <w:tcW w:w="514" w:type="pct"/>
            <w:vAlign w:val="center"/>
          </w:tcPr>
          <w:p w14:paraId="19DE8AE5">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1C59C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639A3C48">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0BF9A548">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DA143镍蒸发结晶废气</w:t>
            </w:r>
          </w:p>
        </w:tc>
        <w:tc>
          <w:tcPr>
            <w:tcW w:w="372" w:type="pct"/>
            <w:vAlign w:val="center"/>
          </w:tcPr>
          <w:p w14:paraId="19DED96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-33</w:t>
            </w:r>
          </w:p>
        </w:tc>
        <w:tc>
          <w:tcPr>
            <w:tcW w:w="377" w:type="pct"/>
            <w:vAlign w:val="center"/>
          </w:tcPr>
          <w:p w14:paraId="6D0E500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-228</w:t>
            </w:r>
          </w:p>
        </w:tc>
        <w:tc>
          <w:tcPr>
            <w:tcW w:w="301" w:type="pct"/>
            <w:vAlign w:val="center"/>
          </w:tcPr>
          <w:p w14:paraId="76C03852">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67967FDF">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328" w:type="pct"/>
            <w:vAlign w:val="center"/>
          </w:tcPr>
          <w:p w14:paraId="72D4C6EE">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1.5</w:t>
            </w:r>
          </w:p>
        </w:tc>
        <w:tc>
          <w:tcPr>
            <w:tcW w:w="497" w:type="pct"/>
            <w:vAlign w:val="center"/>
          </w:tcPr>
          <w:p w14:paraId="4B95214D">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82000</w:t>
            </w:r>
          </w:p>
        </w:tc>
        <w:tc>
          <w:tcPr>
            <w:tcW w:w="356" w:type="pct"/>
            <w:vAlign w:val="center"/>
          </w:tcPr>
          <w:p w14:paraId="4E78EEB6">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35</w:t>
            </w:r>
          </w:p>
        </w:tc>
        <w:tc>
          <w:tcPr>
            <w:tcW w:w="419" w:type="pct"/>
            <w:vAlign w:val="center"/>
          </w:tcPr>
          <w:p w14:paraId="6CFD67D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3355B069">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0.3889</w:t>
            </w:r>
          </w:p>
        </w:tc>
        <w:tc>
          <w:tcPr>
            <w:tcW w:w="514" w:type="pct"/>
            <w:vAlign w:val="center"/>
          </w:tcPr>
          <w:p w14:paraId="1B12A72E">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r>
      <w:tr w14:paraId="39CE7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283" w:hRule="atLeast"/>
        </w:trPr>
        <w:tc>
          <w:tcPr>
            <w:tcW w:w="267" w:type="pct"/>
            <w:vMerge w:val="continue"/>
            <w:vAlign w:val="center"/>
          </w:tcPr>
          <w:p w14:paraId="589D5214">
            <w:pPr>
              <w:widowControl/>
              <w:adjustRightInd w:val="0"/>
              <w:snapToGrid w:val="0"/>
              <w:jc w:val="center"/>
              <w:rPr>
                <w:rFonts w:hint="default" w:ascii="Times New Roman" w:hAnsi="Times New Roman" w:eastAsia="宋体" w:cs="Times New Roman"/>
                <w:color w:val="auto"/>
                <w:spacing w:val="10"/>
                <w:sz w:val="21"/>
                <w:szCs w:val="21"/>
                <w:u w:val="none" w:color="auto"/>
              </w:rPr>
            </w:pPr>
          </w:p>
        </w:tc>
        <w:tc>
          <w:tcPr>
            <w:tcW w:w="743" w:type="pct"/>
            <w:vAlign w:val="center"/>
          </w:tcPr>
          <w:p w14:paraId="209A9888">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DA131萃取废气</w:t>
            </w:r>
          </w:p>
        </w:tc>
        <w:tc>
          <w:tcPr>
            <w:tcW w:w="372" w:type="pct"/>
            <w:vAlign w:val="center"/>
          </w:tcPr>
          <w:p w14:paraId="1328E0B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-33</w:t>
            </w:r>
          </w:p>
        </w:tc>
        <w:tc>
          <w:tcPr>
            <w:tcW w:w="377" w:type="pct"/>
            <w:vAlign w:val="center"/>
          </w:tcPr>
          <w:p w14:paraId="56036C65">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-273</w:t>
            </w:r>
          </w:p>
        </w:tc>
        <w:tc>
          <w:tcPr>
            <w:tcW w:w="301" w:type="pct"/>
            <w:vAlign w:val="center"/>
          </w:tcPr>
          <w:p w14:paraId="4B18311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cs="Times New Roman" w:eastAsiaTheme="minorEastAsia"/>
                <w:color w:val="auto"/>
                <w:sz w:val="21"/>
                <w:szCs w:val="21"/>
                <w:u w:val="none" w:color="auto"/>
              </w:rPr>
              <w:t>6</w:t>
            </w:r>
          </w:p>
        </w:tc>
        <w:tc>
          <w:tcPr>
            <w:tcW w:w="301" w:type="pct"/>
            <w:vAlign w:val="center"/>
          </w:tcPr>
          <w:p w14:paraId="5BA4832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328" w:type="pct"/>
            <w:vAlign w:val="center"/>
          </w:tcPr>
          <w:p w14:paraId="2999C63D">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0.4</w:t>
            </w:r>
          </w:p>
        </w:tc>
        <w:tc>
          <w:tcPr>
            <w:tcW w:w="497" w:type="pct"/>
            <w:vAlign w:val="center"/>
          </w:tcPr>
          <w:p w14:paraId="0758DDF1">
            <w:pPr>
              <w:widowControl/>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3529</w:t>
            </w:r>
          </w:p>
        </w:tc>
        <w:tc>
          <w:tcPr>
            <w:tcW w:w="356" w:type="pct"/>
            <w:vAlign w:val="center"/>
          </w:tcPr>
          <w:p w14:paraId="09E28FE7">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25</w:t>
            </w:r>
          </w:p>
        </w:tc>
        <w:tc>
          <w:tcPr>
            <w:tcW w:w="419" w:type="pct"/>
            <w:vAlign w:val="center"/>
          </w:tcPr>
          <w:p w14:paraId="308FD16C">
            <w:pPr>
              <w:widowControl/>
              <w:adjustRightInd w:val="0"/>
              <w:snapToGrid w:val="0"/>
              <w:jc w:val="center"/>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7920</w:t>
            </w:r>
          </w:p>
        </w:tc>
        <w:tc>
          <w:tcPr>
            <w:tcW w:w="514" w:type="pct"/>
            <w:vAlign w:val="center"/>
          </w:tcPr>
          <w:p w14:paraId="0B7916CE">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p>
        </w:tc>
        <w:tc>
          <w:tcPr>
            <w:tcW w:w="514" w:type="pct"/>
            <w:vAlign w:val="center"/>
          </w:tcPr>
          <w:p w14:paraId="010E8EEC">
            <w:pPr>
              <w:autoSpaceDE w:val="0"/>
              <w:autoSpaceDN w:val="0"/>
              <w:adjustRightInd w:val="0"/>
              <w:snapToGrid w:val="0"/>
              <w:jc w:val="center"/>
              <w:textAlignment w:val="bottom"/>
              <w:rPr>
                <w:rFonts w:hint="default" w:ascii="Times New Roman" w:hAnsi="Times New Roman" w:eastAsia="宋体" w:cs="Times New Roman"/>
                <w:color w:val="auto"/>
                <w:spacing w:val="10"/>
                <w:sz w:val="21"/>
                <w:szCs w:val="21"/>
                <w:u w:val="none" w:color="auto"/>
              </w:rPr>
            </w:pPr>
            <w:r>
              <w:rPr>
                <w:rFonts w:hint="default" w:ascii="Times New Roman" w:hAnsi="Times New Roman" w:eastAsia="宋体" w:cs="Times New Roman"/>
                <w:color w:val="auto"/>
                <w:spacing w:val="10"/>
                <w:sz w:val="21"/>
                <w:szCs w:val="21"/>
                <w:u w:val="none" w:color="auto"/>
              </w:rPr>
              <w:t>0.002</w:t>
            </w:r>
          </w:p>
        </w:tc>
      </w:tr>
    </w:tbl>
    <w:p w14:paraId="42B8F392">
      <w:pPr>
        <w:autoSpaceDE w:val="0"/>
        <w:autoSpaceDN w:val="0"/>
        <w:snapToGrid w:val="0"/>
        <w:jc w:val="center"/>
        <w:rPr>
          <w:rFonts w:ascii="Times New Roman" w:hAnsi="Times New Roman" w:eastAsia="宋体" w:cs="Times New Roman"/>
          <w:color w:val="auto"/>
          <w:sz w:val="24"/>
          <w:szCs w:val="24"/>
          <w:u w:val="none" w:color="auto"/>
        </w:rPr>
      </w:pPr>
    </w:p>
    <w:p w14:paraId="40A052E6">
      <w:pPr>
        <w:autoSpaceDE w:val="0"/>
        <w:autoSpaceDN w:val="0"/>
        <w:snapToGrid w:val="0"/>
        <w:jc w:val="center"/>
        <w:rPr>
          <w:rFonts w:hint="eastAsia" w:ascii="Times New Roman" w:hAnsi="Times New Roman" w:eastAsia="宋体" w:cs="Times New Roman"/>
          <w:color w:val="auto"/>
          <w:sz w:val="24"/>
          <w:szCs w:val="24"/>
          <w:u w:val="none" w:color="auto"/>
        </w:rPr>
      </w:pPr>
    </w:p>
    <w:p w14:paraId="025324DE">
      <w:pPr>
        <w:autoSpaceDE w:val="0"/>
        <w:autoSpaceDN w:val="0"/>
        <w:snapToGrid w:val="0"/>
        <w:jc w:val="center"/>
        <w:rPr>
          <w:rFonts w:hint="eastAsia" w:ascii="Times New Roman" w:hAnsi="Times New Roman" w:eastAsia="宋体" w:cs="Times New Roman"/>
          <w:color w:val="auto"/>
          <w:sz w:val="24"/>
          <w:szCs w:val="24"/>
          <w:u w:val="none" w:color="auto"/>
        </w:rPr>
      </w:pPr>
    </w:p>
    <w:p w14:paraId="77758E13">
      <w:pPr>
        <w:autoSpaceDE w:val="0"/>
        <w:autoSpaceDN w:val="0"/>
        <w:snapToGrid w:val="0"/>
        <w:jc w:val="center"/>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表4.2-13  区域在建、拟建污染源面源参数表</w:t>
      </w:r>
    </w:p>
    <w:tbl>
      <w:tblPr>
        <w:tblStyle w:val="3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32"/>
        <w:gridCol w:w="2735"/>
        <w:gridCol w:w="1185"/>
        <w:gridCol w:w="1194"/>
        <w:gridCol w:w="815"/>
        <w:gridCol w:w="815"/>
        <w:gridCol w:w="815"/>
        <w:gridCol w:w="815"/>
        <w:gridCol w:w="816"/>
        <w:gridCol w:w="912"/>
        <w:gridCol w:w="1172"/>
      </w:tblGrid>
      <w:tr w14:paraId="3DF58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951" w:type="pct"/>
            <w:gridSpan w:val="2"/>
            <w:vMerge w:val="restart"/>
            <w:vAlign w:val="center"/>
          </w:tcPr>
          <w:p w14:paraId="4905F393">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污染源名称</w:t>
            </w:r>
          </w:p>
        </w:tc>
        <w:tc>
          <w:tcPr>
            <w:tcW w:w="849" w:type="pct"/>
            <w:gridSpan w:val="2"/>
            <w:vAlign w:val="center"/>
          </w:tcPr>
          <w:p w14:paraId="3E65DF67">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面源顶点坐标</w:t>
            </w:r>
          </w:p>
        </w:tc>
        <w:tc>
          <w:tcPr>
            <w:tcW w:w="291" w:type="pct"/>
            <w:vMerge w:val="restart"/>
            <w:vAlign w:val="center"/>
          </w:tcPr>
          <w:p w14:paraId="06B606B4">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面源长</w:t>
            </w:r>
          </w:p>
          <w:p w14:paraId="6778CC58">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度(m)</w:t>
            </w:r>
          </w:p>
        </w:tc>
        <w:tc>
          <w:tcPr>
            <w:tcW w:w="291" w:type="pct"/>
            <w:vMerge w:val="restart"/>
            <w:vAlign w:val="center"/>
          </w:tcPr>
          <w:p w14:paraId="2B9CF79A">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面源宽</w:t>
            </w:r>
          </w:p>
          <w:p w14:paraId="0F0834B1">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度(m)</w:t>
            </w:r>
          </w:p>
        </w:tc>
        <w:tc>
          <w:tcPr>
            <w:tcW w:w="291" w:type="pct"/>
            <w:vMerge w:val="restart"/>
            <w:vAlign w:val="center"/>
          </w:tcPr>
          <w:p w14:paraId="3A8A5213">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与正北</w:t>
            </w:r>
          </w:p>
          <w:p w14:paraId="5ADEB7D3">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向夹角</w:t>
            </w:r>
          </w:p>
        </w:tc>
        <w:tc>
          <w:tcPr>
            <w:tcW w:w="291" w:type="pct"/>
            <w:vMerge w:val="restart"/>
            <w:vAlign w:val="center"/>
          </w:tcPr>
          <w:p w14:paraId="54C54863">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初始排</w:t>
            </w:r>
          </w:p>
          <w:p w14:paraId="32E0E4EE">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放高度</w:t>
            </w:r>
          </w:p>
          <w:p w14:paraId="5B1CBB24">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（m）</w:t>
            </w:r>
          </w:p>
        </w:tc>
        <w:tc>
          <w:tcPr>
            <w:tcW w:w="291" w:type="pct"/>
            <w:vMerge w:val="restart"/>
            <w:vAlign w:val="center"/>
          </w:tcPr>
          <w:p w14:paraId="534D0679">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年排放</w:t>
            </w:r>
          </w:p>
          <w:p w14:paraId="706BB410">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小时数</w:t>
            </w:r>
          </w:p>
          <w:p w14:paraId="37987022">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（h）</w:t>
            </w:r>
          </w:p>
        </w:tc>
        <w:tc>
          <w:tcPr>
            <w:tcW w:w="743" w:type="pct"/>
            <w:gridSpan w:val="2"/>
            <w:vAlign w:val="center"/>
          </w:tcPr>
          <w:p w14:paraId="03BF1CD6">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评价因子排放速率(kg/h)</w:t>
            </w:r>
          </w:p>
        </w:tc>
      </w:tr>
      <w:tr w14:paraId="3C629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951" w:type="pct"/>
            <w:gridSpan w:val="2"/>
            <w:vMerge w:val="continue"/>
            <w:vAlign w:val="center"/>
          </w:tcPr>
          <w:p w14:paraId="6C70FBBA">
            <w:pPr>
              <w:widowControl/>
              <w:adjustRightInd w:val="0"/>
              <w:snapToGrid w:val="0"/>
              <w:jc w:val="center"/>
              <w:rPr>
                <w:rFonts w:ascii="Arial" w:hAnsi="Arial" w:eastAsia="宋体" w:cs="Arial"/>
                <w:b/>
                <w:color w:val="auto"/>
                <w:sz w:val="21"/>
                <w:szCs w:val="21"/>
                <w:u w:val="none" w:color="auto"/>
              </w:rPr>
            </w:pPr>
          </w:p>
        </w:tc>
        <w:tc>
          <w:tcPr>
            <w:tcW w:w="423" w:type="pct"/>
            <w:vAlign w:val="center"/>
          </w:tcPr>
          <w:p w14:paraId="4A3DBD5C">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X坐标(m)</w:t>
            </w:r>
          </w:p>
        </w:tc>
        <w:tc>
          <w:tcPr>
            <w:tcW w:w="425" w:type="pct"/>
            <w:vAlign w:val="center"/>
          </w:tcPr>
          <w:p w14:paraId="4060CFA6">
            <w:pPr>
              <w:pStyle w:val="159"/>
              <w:adjustRightInd w:val="0"/>
              <w:snapToGrid w:val="0"/>
              <w:ind w:firstLine="0" w:firstLineChars="0"/>
              <w:jc w:val="center"/>
              <w:rPr>
                <w:rFonts w:ascii="Arial" w:hAnsi="Arial" w:cs="Arial"/>
                <w:b/>
                <w:color w:val="auto"/>
                <w:sz w:val="21"/>
                <w:szCs w:val="21"/>
                <w:u w:val="none" w:color="auto"/>
              </w:rPr>
            </w:pPr>
            <w:r>
              <w:rPr>
                <w:rFonts w:ascii="Arial" w:hAnsi="Arial" w:cs="Arial"/>
                <w:b/>
                <w:color w:val="auto"/>
                <w:sz w:val="21"/>
                <w:szCs w:val="21"/>
                <w:u w:val="none" w:color="auto"/>
              </w:rPr>
              <w:t>Y坐标(m)</w:t>
            </w:r>
          </w:p>
        </w:tc>
        <w:tc>
          <w:tcPr>
            <w:tcW w:w="291" w:type="pct"/>
            <w:vMerge w:val="continue"/>
            <w:vAlign w:val="center"/>
          </w:tcPr>
          <w:p w14:paraId="27837030">
            <w:pPr>
              <w:widowControl/>
              <w:adjustRightInd w:val="0"/>
              <w:snapToGrid w:val="0"/>
              <w:jc w:val="center"/>
              <w:rPr>
                <w:rFonts w:ascii="Arial" w:hAnsi="Arial" w:eastAsia="宋体" w:cs="Arial"/>
                <w:b/>
                <w:color w:val="auto"/>
                <w:sz w:val="21"/>
                <w:szCs w:val="21"/>
                <w:u w:val="none" w:color="auto"/>
              </w:rPr>
            </w:pPr>
          </w:p>
        </w:tc>
        <w:tc>
          <w:tcPr>
            <w:tcW w:w="291" w:type="pct"/>
            <w:vMerge w:val="continue"/>
            <w:vAlign w:val="center"/>
          </w:tcPr>
          <w:p w14:paraId="0E67D9A4">
            <w:pPr>
              <w:widowControl/>
              <w:adjustRightInd w:val="0"/>
              <w:snapToGrid w:val="0"/>
              <w:jc w:val="center"/>
              <w:rPr>
                <w:rFonts w:ascii="Arial" w:hAnsi="Arial" w:eastAsia="宋体" w:cs="Arial"/>
                <w:b/>
                <w:color w:val="auto"/>
                <w:sz w:val="21"/>
                <w:szCs w:val="21"/>
                <w:u w:val="none" w:color="auto"/>
              </w:rPr>
            </w:pPr>
          </w:p>
        </w:tc>
        <w:tc>
          <w:tcPr>
            <w:tcW w:w="291" w:type="pct"/>
            <w:vMerge w:val="continue"/>
            <w:vAlign w:val="center"/>
          </w:tcPr>
          <w:p w14:paraId="027EF193">
            <w:pPr>
              <w:widowControl/>
              <w:adjustRightInd w:val="0"/>
              <w:snapToGrid w:val="0"/>
              <w:jc w:val="center"/>
              <w:rPr>
                <w:rFonts w:ascii="Arial" w:hAnsi="Arial" w:eastAsia="宋体" w:cs="Arial"/>
                <w:b/>
                <w:color w:val="auto"/>
                <w:sz w:val="21"/>
                <w:szCs w:val="21"/>
                <w:u w:val="none" w:color="auto"/>
              </w:rPr>
            </w:pPr>
          </w:p>
        </w:tc>
        <w:tc>
          <w:tcPr>
            <w:tcW w:w="291" w:type="pct"/>
            <w:vMerge w:val="continue"/>
            <w:vAlign w:val="center"/>
          </w:tcPr>
          <w:p w14:paraId="3B714C70">
            <w:pPr>
              <w:widowControl/>
              <w:adjustRightInd w:val="0"/>
              <w:snapToGrid w:val="0"/>
              <w:jc w:val="center"/>
              <w:rPr>
                <w:rFonts w:ascii="Arial" w:hAnsi="Arial" w:eastAsia="宋体" w:cs="Arial"/>
                <w:b/>
                <w:color w:val="auto"/>
                <w:sz w:val="21"/>
                <w:szCs w:val="21"/>
                <w:u w:val="none" w:color="auto"/>
              </w:rPr>
            </w:pPr>
          </w:p>
        </w:tc>
        <w:tc>
          <w:tcPr>
            <w:tcW w:w="291" w:type="pct"/>
            <w:vMerge w:val="continue"/>
            <w:vAlign w:val="center"/>
          </w:tcPr>
          <w:p w14:paraId="1C333F63">
            <w:pPr>
              <w:widowControl/>
              <w:adjustRightInd w:val="0"/>
              <w:snapToGrid w:val="0"/>
              <w:jc w:val="center"/>
              <w:rPr>
                <w:rFonts w:ascii="Arial" w:hAnsi="Arial" w:eastAsia="宋体" w:cs="Arial"/>
                <w:b/>
                <w:color w:val="auto"/>
                <w:sz w:val="21"/>
                <w:szCs w:val="21"/>
                <w:u w:val="none" w:color="auto"/>
              </w:rPr>
            </w:pPr>
          </w:p>
        </w:tc>
        <w:tc>
          <w:tcPr>
            <w:tcW w:w="325" w:type="pct"/>
            <w:vAlign w:val="center"/>
          </w:tcPr>
          <w:p w14:paraId="159B84B2">
            <w:pPr>
              <w:autoSpaceDE w:val="0"/>
              <w:autoSpaceDN w:val="0"/>
              <w:adjustRightInd w:val="0"/>
              <w:snapToGrid w:val="0"/>
              <w:jc w:val="center"/>
              <w:textAlignment w:val="bottom"/>
              <w:rPr>
                <w:rFonts w:ascii="Arial" w:hAnsi="Arial" w:eastAsia="宋体" w:cs="Arial"/>
                <w:b/>
                <w:color w:val="auto"/>
                <w:spacing w:val="10"/>
                <w:sz w:val="21"/>
                <w:szCs w:val="21"/>
                <w:u w:val="none" w:color="auto"/>
              </w:rPr>
            </w:pPr>
            <w:r>
              <w:rPr>
                <w:rFonts w:ascii="Arial" w:hAnsi="Arial" w:eastAsia="宋体" w:cs="Arial"/>
                <w:b/>
                <w:color w:val="auto"/>
                <w:spacing w:val="10"/>
                <w:sz w:val="21"/>
                <w:szCs w:val="21"/>
                <w:u w:val="none" w:color="auto"/>
              </w:rPr>
              <w:t>TSP</w:t>
            </w:r>
          </w:p>
        </w:tc>
        <w:tc>
          <w:tcPr>
            <w:tcW w:w="417" w:type="pct"/>
            <w:vAlign w:val="center"/>
          </w:tcPr>
          <w:p w14:paraId="34C49C16">
            <w:pPr>
              <w:autoSpaceDE w:val="0"/>
              <w:autoSpaceDN w:val="0"/>
              <w:adjustRightInd w:val="0"/>
              <w:snapToGrid w:val="0"/>
              <w:jc w:val="center"/>
              <w:textAlignment w:val="bottom"/>
              <w:rPr>
                <w:rFonts w:ascii="Arial" w:hAnsi="Arial" w:eastAsia="宋体" w:cs="Arial"/>
                <w:b/>
                <w:color w:val="auto"/>
                <w:spacing w:val="10"/>
                <w:sz w:val="21"/>
                <w:szCs w:val="21"/>
                <w:u w:val="none" w:color="auto"/>
              </w:rPr>
            </w:pPr>
            <w:r>
              <w:rPr>
                <w:rFonts w:hint="eastAsia" w:ascii="Arial" w:hAnsi="Arial" w:eastAsia="宋体" w:cs="Arial"/>
                <w:b/>
                <w:color w:val="auto"/>
                <w:spacing w:val="10"/>
                <w:sz w:val="21"/>
                <w:szCs w:val="21"/>
                <w:u w:val="none" w:color="auto"/>
              </w:rPr>
              <w:t>TVOC</w:t>
            </w:r>
          </w:p>
        </w:tc>
      </w:tr>
      <w:tr w14:paraId="4BA40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9" w:hRule="atLeast"/>
          <w:jc w:val="center"/>
        </w:trPr>
        <w:tc>
          <w:tcPr>
            <w:tcW w:w="975" w:type="pct"/>
            <w:vMerge w:val="restart"/>
            <w:vAlign w:val="center"/>
          </w:tcPr>
          <w:p w14:paraId="3B148605">
            <w:pPr>
              <w:adjustRightInd w:val="0"/>
              <w:jc w:val="center"/>
              <w:rPr>
                <w:rFonts w:ascii="Times New Roman" w:hAnsi="Times New Roman" w:eastAsia="宋体" w:cs="Times New Roman"/>
                <w:color w:val="auto"/>
                <w:spacing w:val="-9"/>
                <w:szCs w:val="21"/>
                <w:u w:val="none" w:color="auto"/>
              </w:rPr>
            </w:pPr>
            <w:r>
              <w:rPr>
                <w:rFonts w:hint="default" w:ascii="Times New Roman" w:hAnsi="Times New Roman" w:eastAsia="宋体" w:cs="Times New Roman"/>
                <w:color w:val="auto"/>
                <w:spacing w:val="-9"/>
                <w:szCs w:val="21"/>
                <w:u w:val="none" w:color="auto"/>
              </w:rPr>
              <w:t>广西中伟新能源项目一期新能源材料一体化项目</w:t>
            </w:r>
          </w:p>
        </w:tc>
        <w:tc>
          <w:tcPr>
            <w:tcW w:w="976" w:type="pct"/>
            <w:vAlign w:val="center"/>
          </w:tcPr>
          <w:p w14:paraId="06BA378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原料库（Q1）</w:t>
            </w:r>
          </w:p>
        </w:tc>
        <w:tc>
          <w:tcPr>
            <w:tcW w:w="423" w:type="pct"/>
            <w:vAlign w:val="center"/>
          </w:tcPr>
          <w:p w14:paraId="35DCF26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-51</w:t>
            </w:r>
          </w:p>
        </w:tc>
        <w:tc>
          <w:tcPr>
            <w:tcW w:w="425" w:type="pct"/>
            <w:vAlign w:val="center"/>
          </w:tcPr>
          <w:p w14:paraId="295BD45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w:t>
            </w:r>
          </w:p>
        </w:tc>
        <w:tc>
          <w:tcPr>
            <w:tcW w:w="291" w:type="pct"/>
            <w:vAlign w:val="center"/>
          </w:tcPr>
          <w:p w14:paraId="3BA61E64">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139</w:t>
            </w:r>
          </w:p>
        </w:tc>
        <w:tc>
          <w:tcPr>
            <w:tcW w:w="291" w:type="pct"/>
            <w:vAlign w:val="center"/>
          </w:tcPr>
          <w:p w14:paraId="751FF36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69</w:t>
            </w:r>
          </w:p>
        </w:tc>
        <w:tc>
          <w:tcPr>
            <w:tcW w:w="291" w:type="pct"/>
            <w:vAlign w:val="center"/>
          </w:tcPr>
          <w:p w14:paraId="16C5F6AF">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1A9DCA3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18.6</w:t>
            </w:r>
          </w:p>
        </w:tc>
        <w:tc>
          <w:tcPr>
            <w:tcW w:w="291" w:type="pct"/>
            <w:vAlign w:val="center"/>
          </w:tcPr>
          <w:p w14:paraId="21DBDED4">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57457FD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0.10</w:t>
            </w:r>
            <w:r>
              <w:rPr>
                <w:rFonts w:hint="eastAsia" w:ascii="Times New Roman" w:hAnsi="Times New Roman" w:eastAsia="宋体" w:cs="Times New Roman"/>
                <w:color w:val="auto"/>
                <w:spacing w:val="-9"/>
                <w:szCs w:val="21"/>
                <w:u w:val="none" w:color="auto"/>
              </w:rPr>
              <w:t>81</w:t>
            </w:r>
          </w:p>
        </w:tc>
        <w:tc>
          <w:tcPr>
            <w:tcW w:w="417" w:type="pct"/>
            <w:vAlign w:val="center"/>
          </w:tcPr>
          <w:p w14:paraId="57D56B3B">
            <w:pPr>
              <w:adjustRightInd w:val="0"/>
              <w:jc w:val="center"/>
              <w:rPr>
                <w:rFonts w:ascii="Times New Roman" w:hAnsi="Times New Roman" w:eastAsia="宋体" w:cs="Times New Roman"/>
                <w:color w:val="auto"/>
                <w:spacing w:val="-9"/>
                <w:szCs w:val="21"/>
                <w:u w:val="none" w:color="auto"/>
              </w:rPr>
            </w:pPr>
          </w:p>
        </w:tc>
      </w:tr>
      <w:tr w14:paraId="784EC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3B7E240B">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5CAD911D">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煤棚（Q6-3）</w:t>
            </w:r>
          </w:p>
        </w:tc>
        <w:tc>
          <w:tcPr>
            <w:tcW w:w="423" w:type="pct"/>
            <w:vAlign w:val="center"/>
          </w:tcPr>
          <w:p w14:paraId="3EA0B6E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-240</w:t>
            </w:r>
          </w:p>
        </w:tc>
        <w:tc>
          <w:tcPr>
            <w:tcW w:w="425" w:type="pct"/>
            <w:vAlign w:val="center"/>
          </w:tcPr>
          <w:p w14:paraId="3DA02EA6">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-167</w:t>
            </w:r>
          </w:p>
        </w:tc>
        <w:tc>
          <w:tcPr>
            <w:tcW w:w="291" w:type="pct"/>
            <w:vAlign w:val="center"/>
          </w:tcPr>
          <w:p w14:paraId="4920FE6F">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105.8</w:t>
            </w:r>
          </w:p>
        </w:tc>
        <w:tc>
          <w:tcPr>
            <w:tcW w:w="291" w:type="pct"/>
            <w:vAlign w:val="center"/>
          </w:tcPr>
          <w:p w14:paraId="09C630D5">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31.2</w:t>
            </w:r>
          </w:p>
        </w:tc>
        <w:tc>
          <w:tcPr>
            <w:tcW w:w="291" w:type="pct"/>
            <w:vAlign w:val="center"/>
          </w:tcPr>
          <w:p w14:paraId="6D8F24D2">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516081C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20</w:t>
            </w:r>
          </w:p>
        </w:tc>
        <w:tc>
          <w:tcPr>
            <w:tcW w:w="291" w:type="pct"/>
            <w:vAlign w:val="center"/>
          </w:tcPr>
          <w:p w14:paraId="44BABCC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189853FF">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0.00</w:t>
            </w:r>
            <w:r>
              <w:rPr>
                <w:rFonts w:hint="eastAsia" w:ascii="Times New Roman" w:hAnsi="Times New Roman" w:eastAsia="宋体" w:cs="Times New Roman"/>
                <w:color w:val="auto"/>
                <w:spacing w:val="-9"/>
                <w:szCs w:val="21"/>
                <w:u w:val="none" w:color="auto"/>
              </w:rPr>
              <w:t>76</w:t>
            </w:r>
          </w:p>
        </w:tc>
        <w:tc>
          <w:tcPr>
            <w:tcW w:w="417" w:type="pct"/>
            <w:vAlign w:val="center"/>
          </w:tcPr>
          <w:p w14:paraId="43518268">
            <w:pPr>
              <w:adjustRightInd w:val="0"/>
              <w:jc w:val="center"/>
              <w:rPr>
                <w:rFonts w:ascii="Times New Roman" w:hAnsi="Times New Roman" w:eastAsia="宋体" w:cs="Times New Roman"/>
                <w:color w:val="auto"/>
                <w:spacing w:val="-9"/>
                <w:szCs w:val="21"/>
                <w:u w:val="none" w:color="auto"/>
              </w:rPr>
            </w:pPr>
          </w:p>
        </w:tc>
      </w:tr>
      <w:tr w14:paraId="2F022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5AC72C8F">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31C38CB5">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成品仓库</w:t>
            </w:r>
          </w:p>
        </w:tc>
        <w:tc>
          <w:tcPr>
            <w:tcW w:w="423" w:type="pct"/>
            <w:vAlign w:val="center"/>
          </w:tcPr>
          <w:p w14:paraId="7EEB843F">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-240</w:t>
            </w:r>
          </w:p>
        </w:tc>
        <w:tc>
          <w:tcPr>
            <w:tcW w:w="425" w:type="pct"/>
            <w:vAlign w:val="center"/>
          </w:tcPr>
          <w:p w14:paraId="320740D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126</w:t>
            </w:r>
          </w:p>
        </w:tc>
        <w:tc>
          <w:tcPr>
            <w:tcW w:w="291" w:type="pct"/>
            <w:vAlign w:val="center"/>
          </w:tcPr>
          <w:p w14:paraId="6C8DDE5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152</w:t>
            </w:r>
          </w:p>
        </w:tc>
        <w:tc>
          <w:tcPr>
            <w:tcW w:w="291" w:type="pct"/>
            <w:vAlign w:val="center"/>
          </w:tcPr>
          <w:p w14:paraId="3C03506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15.6</w:t>
            </w:r>
          </w:p>
        </w:tc>
        <w:tc>
          <w:tcPr>
            <w:tcW w:w="291" w:type="pct"/>
            <w:vAlign w:val="center"/>
          </w:tcPr>
          <w:p w14:paraId="47CBAFC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57E87CD4">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9</w:t>
            </w:r>
          </w:p>
        </w:tc>
        <w:tc>
          <w:tcPr>
            <w:tcW w:w="291" w:type="pct"/>
            <w:vAlign w:val="center"/>
          </w:tcPr>
          <w:p w14:paraId="070036B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460AEFC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0.0223</w:t>
            </w:r>
          </w:p>
        </w:tc>
        <w:tc>
          <w:tcPr>
            <w:tcW w:w="417" w:type="pct"/>
            <w:vAlign w:val="center"/>
          </w:tcPr>
          <w:p w14:paraId="3FC521A1">
            <w:pPr>
              <w:adjustRightInd w:val="0"/>
              <w:jc w:val="center"/>
              <w:rPr>
                <w:rFonts w:ascii="Times New Roman" w:hAnsi="Times New Roman" w:eastAsia="宋体" w:cs="Times New Roman"/>
                <w:color w:val="auto"/>
                <w:spacing w:val="-9"/>
                <w:szCs w:val="21"/>
                <w:u w:val="none" w:color="auto"/>
              </w:rPr>
            </w:pPr>
          </w:p>
        </w:tc>
      </w:tr>
      <w:tr w14:paraId="2548E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58EF56AB">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135D10C2">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吹炼车间（Q2-1）</w:t>
            </w:r>
          </w:p>
        </w:tc>
        <w:tc>
          <w:tcPr>
            <w:tcW w:w="423" w:type="pct"/>
            <w:vAlign w:val="center"/>
          </w:tcPr>
          <w:p w14:paraId="422205C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-68</w:t>
            </w:r>
          </w:p>
        </w:tc>
        <w:tc>
          <w:tcPr>
            <w:tcW w:w="425" w:type="pct"/>
            <w:vAlign w:val="center"/>
          </w:tcPr>
          <w:p w14:paraId="21EBDD8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-100</w:t>
            </w:r>
          </w:p>
        </w:tc>
        <w:tc>
          <w:tcPr>
            <w:tcW w:w="291" w:type="pct"/>
            <w:vAlign w:val="center"/>
          </w:tcPr>
          <w:p w14:paraId="7E1895F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83.5</w:t>
            </w:r>
          </w:p>
        </w:tc>
        <w:tc>
          <w:tcPr>
            <w:tcW w:w="291" w:type="pct"/>
            <w:vAlign w:val="center"/>
          </w:tcPr>
          <w:p w14:paraId="305799E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33</w:t>
            </w:r>
          </w:p>
        </w:tc>
        <w:tc>
          <w:tcPr>
            <w:tcW w:w="291" w:type="pct"/>
            <w:vAlign w:val="center"/>
          </w:tcPr>
          <w:p w14:paraId="524CEBE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7A0F104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23.7</w:t>
            </w:r>
          </w:p>
        </w:tc>
        <w:tc>
          <w:tcPr>
            <w:tcW w:w="291" w:type="pct"/>
            <w:vAlign w:val="center"/>
          </w:tcPr>
          <w:p w14:paraId="3E0412F3">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1E9FA916">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11.52</w:t>
            </w:r>
          </w:p>
        </w:tc>
        <w:tc>
          <w:tcPr>
            <w:tcW w:w="417" w:type="pct"/>
            <w:vAlign w:val="center"/>
          </w:tcPr>
          <w:p w14:paraId="55837606">
            <w:pPr>
              <w:adjustRightInd w:val="0"/>
              <w:jc w:val="center"/>
              <w:rPr>
                <w:rFonts w:ascii="Times New Roman" w:hAnsi="Times New Roman" w:eastAsia="宋体" w:cs="Times New Roman"/>
                <w:color w:val="auto"/>
                <w:spacing w:val="-9"/>
                <w:szCs w:val="21"/>
                <w:u w:val="none" w:color="auto"/>
              </w:rPr>
            </w:pPr>
          </w:p>
        </w:tc>
      </w:tr>
      <w:tr w14:paraId="3E86C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697D717D">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199E3D7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水淬（Q2-2）</w:t>
            </w:r>
          </w:p>
        </w:tc>
        <w:tc>
          <w:tcPr>
            <w:tcW w:w="423" w:type="pct"/>
            <w:vAlign w:val="center"/>
          </w:tcPr>
          <w:p w14:paraId="442FF9AB">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-19</w:t>
            </w:r>
          </w:p>
        </w:tc>
        <w:tc>
          <w:tcPr>
            <w:tcW w:w="425" w:type="pct"/>
            <w:vAlign w:val="center"/>
          </w:tcPr>
          <w:p w14:paraId="1887CC84">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-84</w:t>
            </w:r>
          </w:p>
        </w:tc>
        <w:tc>
          <w:tcPr>
            <w:tcW w:w="291" w:type="pct"/>
            <w:vAlign w:val="center"/>
          </w:tcPr>
          <w:p w14:paraId="661F019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26.9</w:t>
            </w:r>
          </w:p>
        </w:tc>
        <w:tc>
          <w:tcPr>
            <w:tcW w:w="291" w:type="pct"/>
            <w:vAlign w:val="center"/>
          </w:tcPr>
          <w:p w14:paraId="37899813">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20.2</w:t>
            </w:r>
          </w:p>
        </w:tc>
        <w:tc>
          <w:tcPr>
            <w:tcW w:w="291" w:type="pct"/>
            <w:vAlign w:val="center"/>
          </w:tcPr>
          <w:p w14:paraId="2BAE96B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4DA2390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10.2</w:t>
            </w:r>
          </w:p>
        </w:tc>
        <w:tc>
          <w:tcPr>
            <w:tcW w:w="291" w:type="pct"/>
            <w:vAlign w:val="center"/>
          </w:tcPr>
          <w:p w14:paraId="266736A3">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06CB3CB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0.0720</w:t>
            </w:r>
          </w:p>
        </w:tc>
        <w:tc>
          <w:tcPr>
            <w:tcW w:w="417" w:type="pct"/>
            <w:vAlign w:val="center"/>
          </w:tcPr>
          <w:p w14:paraId="383D1344">
            <w:pPr>
              <w:adjustRightInd w:val="0"/>
              <w:jc w:val="center"/>
              <w:rPr>
                <w:rFonts w:ascii="Times New Roman" w:hAnsi="Times New Roman" w:eastAsia="宋体" w:cs="Times New Roman"/>
                <w:color w:val="auto"/>
                <w:spacing w:val="-9"/>
                <w:szCs w:val="21"/>
                <w:u w:val="none" w:color="auto"/>
              </w:rPr>
            </w:pPr>
          </w:p>
        </w:tc>
      </w:tr>
      <w:tr w14:paraId="23199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67C11773">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604C294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硫酸储罐（Q16-8）</w:t>
            </w:r>
          </w:p>
        </w:tc>
        <w:tc>
          <w:tcPr>
            <w:tcW w:w="423" w:type="pct"/>
            <w:vAlign w:val="center"/>
          </w:tcPr>
          <w:p w14:paraId="665EBBA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-98</w:t>
            </w:r>
          </w:p>
        </w:tc>
        <w:tc>
          <w:tcPr>
            <w:tcW w:w="425" w:type="pct"/>
            <w:vAlign w:val="center"/>
          </w:tcPr>
          <w:p w14:paraId="3B0E8C8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-365</w:t>
            </w:r>
          </w:p>
        </w:tc>
        <w:tc>
          <w:tcPr>
            <w:tcW w:w="291" w:type="pct"/>
            <w:vAlign w:val="center"/>
          </w:tcPr>
          <w:p w14:paraId="4B2E6A1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39</w:t>
            </w:r>
          </w:p>
        </w:tc>
        <w:tc>
          <w:tcPr>
            <w:tcW w:w="291" w:type="pct"/>
            <w:vAlign w:val="center"/>
          </w:tcPr>
          <w:p w14:paraId="5BD3D0A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22</w:t>
            </w:r>
          </w:p>
        </w:tc>
        <w:tc>
          <w:tcPr>
            <w:tcW w:w="291" w:type="pct"/>
            <w:vAlign w:val="center"/>
          </w:tcPr>
          <w:p w14:paraId="020A2C4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15D6DE6D">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0E78BC0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6AE0C14F">
            <w:pPr>
              <w:adjustRightInd w:val="0"/>
              <w:jc w:val="center"/>
              <w:rPr>
                <w:rFonts w:ascii="Times New Roman" w:hAnsi="Times New Roman" w:eastAsia="宋体" w:cs="Times New Roman"/>
                <w:color w:val="auto"/>
                <w:spacing w:val="-9"/>
                <w:szCs w:val="21"/>
                <w:u w:val="none" w:color="auto"/>
              </w:rPr>
            </w:pPr>
          </w:p>
        </w:tc>
        <w:tc>
          <w:tcPr>
            <w:tcW w:w="417" w:type="pct"/>
            <w:vAlign w:val="center"/>
          </w:tcPr>
          <w:p w14:paraId="6306869F">
            <w:pPr>
              <w:adjustRightInd w:val="0"/>
              <w:jc w:val="center"/>
              <w:rPr>
                <w:rFonts w:ascii="Times New Roman" w:hAnsi="Times New Roman" w:eastAsia="宋体" w:cs="Times New Roman"/>
                <w:color w:val="auto"/>
                <w:spacing w:val="-9"/>
                <w:szCs w:val="21"/>
                <w:u w:val="none" w:color="auto"/>
              </w:rPr>
            </w:pPr>
          </w:p>
        </w:tc>
      </w:tr>
      <w:tr w14:paraId="66734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5F9CF4E4">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22E5B165">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镍蒸发车间（X2-1）</w:t>
            </w:r>
          </w:p>
        </w:tc>
        <w:tc>
          <w:tcPr>
            <w:tcW w:w="423" w:type="pct"/>
            <w:vAlign w:val="center"/>
          </w:tcPr>
          <w:p w14:paraId="5A49ABC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-242</w:t>
            </w:r>
          </w:p>
        </w:tc>
        <w:tc>
          <w:tcPr>
            <w:tcW w:w="425" w:type="pct"/>
            <w:vAlign w:val="center"/>
          </w:tcPr>
          <w:p w14:paraId="364DBD1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530</w:t>
            </w:r>
          </w:p>
        </w:tc>
        <w:tc>
          <w:tcPr>
            <w:tcW w:w="291" w:type="pct"/>
            <w:vAlign w:val="center"/>
          </w:tcPr>
          <w:p w14:paraId="0B823F8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80</w:t>
            </w:r>
          </w:p>
        </w:tc>
        <w:tc>
          <w:tcPr>
            <w:tcW w:w="291" w:type="pct"/>
            <w:vAlign w:val="center"/>
          </w:tcPr>
          <w:p w14:paraId="6EA75052">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39</w:t>
            </w:r>
          </w:p>
        </w:tc>
        <w:tc>
          <w:tcPr>
            <w:tcW w:w="291" w:type="pct"/>
            <w:vAlign w:val="center"/>
          </w:tcPr>
          <w:p w14:paraId="28468283">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5E38DAE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w:t>
            </w:r>
          </w:p>
        </w:tc>
        <w:tc>
          <w:tcPr>
            <w:tcW w:w="291" w:type="pct"/>
            <w:vAlign w:val="center"/>
          </w:tcPr>
          <w:p w14:paraId="3F6CEFF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79AA7C76">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0.6823</w:t>
            </w:r>
          </w:p>
        </w:tc>
        <w:tc>
          <w:tcPr>
            <w:tcW w:w="417" w:type="pct"/>
            <w:vAlign w:val="center"/>
          </w:tcPr>
          <w:p w14:paraId="6EFD7CEB">
            <w:pPr>
              <w:adjustRightInd w:val="0"/>
              <w:jc w:val="center"/>
              <w:rPr>
                <w:rFonts w:ascii="Times New Roman" w:hAnsi="Times New Roman" w:eastAsia="宋体" w:cs="Times New Roman"/>
                <w:color w:val="auto"/>
                <w:spacing w:val="-9"/>
                <w:szCs w:val="21"/>
                <w:u w:val="none" w:color="auto"/>
              </w:rPr>
            </w:pPr>
          </w:p>
        </w:tc>
      </w:tr>
      <w:tr w14:paraId="30B7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39B7EF0D">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0350330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镍蒸发车间（X2-2）</w:t>
            </w:r>
          </w:p>
        </w:tc>
        <w:tc>
          <w:tcPr>
            <w:tcW w:w="423" w:type="pct"/>
            <w:vAlign w:val="center"/>
          </w:tcPr>
          <w:p w14:paraId="7A012602">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-259</w:t>
            </w:r>
          </w:p>
        </w:tc>
        <w:tc>
          <w:tcPr>
            <w:tcW w:w="425" w:type="pct"/>
            <w:vAlign w:val="center"/>
          </w:tcPr>
          <w:p w14:paraId="078DDC0B">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393</w:t>
            </w:r>
          </w:p>
        </w:tc>
        <w:tc>
          <w:tcPr>
            <w:tcW w:w="291" w:type="pct"/>
            <w:vAlign w:val="center"/>
          </w:tcPr>
          <w:p w14:paraId="2FDDB24B">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122</w:t>
            </w:r>
          </w:p>
        </w:tc>
        <w:tc>
          <w:tcPr>
            <w:tcW w:w="291" w:type="pct"/>
            <w:vAlign w:val="center"/>
          </w:tcPr>
          <w:p w14:paraId="52F988E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39</w:t>
            </w:r>
          </w:p>
        </w:tc>
        <w:tc>
          <w:tcPr>
            <w:tcW w:w="291" w:type="pct"/>
            <w:vAlign w:val="center"/>
          </w:tcPr>
          <w:p w14:paraId="133C753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1FE5735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w:t>
            </w:r>
          </w:p>
        </w:tc>
        <w:tc>
          <w:tcPr>
            <w:tcW w:w="291" w:type="pct"/>
            <w:vAlign w:val="center"/>
          </w:tcPr>
          <w:p w14:paraId="453F53B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3281241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1.3646</w:t>
            </w:r>
          </w:p>
        </w:tc>
        <w:tc>
          <w:tcPr>
            <w:tcW w:w="417" w:type="pct"/>
            <w:vAlign w:val="center"/>
          </w:tcPr>
          <w:p w14:paraId="0DEB64E9">
            <w:pPr>
              <w:adjustRightInd w:val="0"/>
              <w:jc w:val="center"/>
              <w:rPr>
                <w:rFonts w:ascii="Times New Roman" w:hAnsi="Times New Roman" w:eastAsia="宋体" w:cs="Times New Roman"/>
                <w:color w:val="auto"/>
                <w:spacing w:val="-9"/>
                <w:szCs w:val="21"/>
                <w:u w:val="none" w:color="auto"/>
              </w:rPr>
            </w:pPr>
          </w:p>
        </w:tc>
      </w:tr>
      <w:tr w14:paraId="1F723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3C627DB3">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37A11F29">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萃取车间（X5）</w:t>
            </w:r>
          </w:p>
        </w:tc>
        <w:tc>
          <w:tcPr>
            <w:tcW w:w="423" w:type="pct"/>
            <w:vAlign w:val="center"/>
          </w:tcPr>
          <w:p w14:paraId="1F056AE6">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-166</w:t>
            </w:r>
          </w:p>
        </w:tc>
        <w:tc>
          <w:tcPr>
            <w:tcW w:w="425" w:type="pct"/>
            <w:vAlign w:val="center"/>
          </w:tcPr>
          <w:p w14:paraId="2AACD7CD">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373</w:t>
            </w:r>
          </w:p>
        </w:tc>
        <w:tc>
          <w:tcPr>
            <w:tcW w:w="291" w:type="pct"/>
            <w:vAlign w:val="center"/>
          </w:tcPr>
          <w:p w14:paraId="5264287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88.7</w:t>
            </w:r>
          </w:p>
        </w:tc>
        <w:tc>
          <w:tcPr>
            <w:tcW w:w="291" w:type="pct"/>
            <w:vAlign w:val="center"/>
          </w:tcPr>
          <w:p w14:paraId="0CB816B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48.6</w:t>
            </w:r>
          </w:p>
        </w:tc>
        <w:tc>
          <w:tcPr>
            <w:tcW w:w="291" w:type="pct"/>
            <w:vAlign w:val="center"/>
          </w:tcPr>
          <w:p w14:paraId="45CF46EA">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6BCD3B08">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20</w:t>
            </w:r>
          </w:p>
        </w:tc>
        <w:tc>
          <w:tcPr>
            <w:tcW w:w="291" w:type="pct"/>
            <w:vAlign w:val="center"/>
          </w:tcPr>
          <w:p w14:paraId="7DF64BA0">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14892008">
            <w:pPr>
              <w:adjustRightInd w:val="0"/>
              <w:jc w:val="center"/>
              <w:rPr>
                <w:rFonts w:ascii="Times New Roman" w:hAnsi="Times New Roman" w:eastAsia="宋体" w:cs="Times New Roman"/>
                <w:color w:val="auto"/>
                <w:spacing w:val="-9"/>
                <w:szCs w:val="21"/>
                <w:u w:val="none" w:color="auto"/>
              </w:rPr>
            </w:pPr>
          </w:p>
        </w:tc>
        <w:tc>
          <w:tcPr>
            <w:tcW w:w="417" w:type="pct"/>
            <w:vAlign w:val="center"/>
          </w:tcPr>
          <w:p w14:paraId="78A1830D">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0.0008</w:t>
            </w:r>
          </w:p>
        </w:tc>
      </w:tr>
      <w:tr w14:paraId="231CD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vAlign w:val="center"/>
          </w:tcPr>
          <w:p w14:paraId="2B52341C">
            <w:pPr>
              <w:adjustRightInd w:val="0"/>
              <w:jc w:val="center"/>
              <w:rPr>
                <w:rFonts w:ascii="Times New Roman" w:hAnsi="Times New Roman" w:eastAsia="宋体" w:cs="Times New Roman"/>
                <w:color w:val="auto"/>
                <w:spacing w:val="-9"/>
                <w:szCs w:val="21"/>
                <w:u w:val="none" w:color="auto"/>
              </w:rPr>
            </w:pPr>
          </w:p>
        </w:tc>
        <w:tc>
          <w:tcPr>
            <w:tcW w:w="976" w:type="pct"/>
            <w:vAlign w:val="center"/>
          </w:tcPr>
          <w:p w14:paraId="78085C36">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铜萃取车间（X30-1）</w:t>
            </w:r>
          </w:p>
        </w:tc>
        <w:tc>
          <w:tcPr>
            <w:tcW w:w="423" w:type="pct"/>
            <w:vAlign w:val="center"/>
          </w:tcPr>
          <w:p w14:paraId="4F8BEB6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-3</w:t>
            </w:r>
          </w:p>
        </w:tc>
        <w:tc>
          <w:tcPr>
            <w:tcW w:w="425" w:type="pct"/>
            <w:vAlign w:val="center"/>
          </w:tcPr>
          <w:p w14:paraId="55932241">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-245</w:t>
            </w:r>
          </w:p>
        </w:tc>
        <w:tc>
          <w:tcPr>
            <w:tcW w:w="291" w:type="pct"/>
            <w:vAlign w:val="center"/>
          </w:tcPr>
          <w:p w14:paraId="70F7028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62.5</w:t>
            </w:r>
          </w:p>
        </w:tc>
        <w:tc>
          <w:tcPr>
            <w:tcW w:w="291" w:type="pct"/>
            <w:vAlign w:val="center"/>
          </w:tcPr>
          <w:p w14:paraId="7273F095">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21.5</w:t>
            </w:r>
          </w:p>
        </w:tc>
        <w:tc>
          <w:tcPr>
            <w:tcW w:w="291" w:type="pct"/>
            <w:vAlign w:val="center"/>
          </w:tcPr>
          <w:p w14:paraId="0380CAE7">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-10°</w:t>
            </w:r>
          </w:p>
        </w:tc>
        <w:tc>
          <w:tcPr>
            <w:tcW w:w="291" w:type="pct"/>
            <w:vAlign w:val="center"/>
          </w:tcPr>
          <w:p w14:paraId="51D5D9A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17</w:t>
            </w:r>
          </w:p>
        </w:tc>
        <w:tc>
          <w:tcPr>
            <w:tcW w:w="291" w:type="pct"/>
            <w:vAlign w:val="center"/>
          </w:tcPr>
          <w:p w14:paraId="6B6D86DC">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7920</w:t>
            </w:r>
          </w:p>
        </w:tc>
        <w:tc>
          <w:tcPr>
            <w:tcW w:w="325" w:type="pct"/>
            <w:vAlign w:val="center"/>
          </w:tcPr>
          <w:p w14:paraId="11E62DA6">
            <w:pPr>
              <w:adjustRightInd w:val="0"/>
              <w:jc w:val="center"/>
              <w:rPr>
                <w:rFonts w:ascii="Times New Roman" w:hAnsi="Times New Roman" w:eastAsia="宋体" w:cs="Times New Roman"/>
                <w:color w:val="auto"/>
                <w:spacing w:val="-9"/>
                <w:szCs w:val="21"/>
                <w:u w:val="none" w:color="auto"/>
              </w:rPr>
            </w:pPr>
          </w:p>
        </w:tc>
        <w:tc>
          <w:tcPr>
            <w:tcW w:w="417" w:type="pct"/>
            <w:vAlign w:val="center"/>
          </w:tcPr>
          <w:p w14:paraId="1F09D3CE">
            <w:pPr>
              <w:adjustRightInd w:val="0"/>
              <w:jc w:val="center"/>
              <w:rPr>
                <w:rFonts w:ascii="Times New Roman" w:hAnsi="Times New Roman" w:eastAsia="宋体" w:cs="Times New Roman"/>
                <w:color w:val="auto"/>
                <w:spacing w:val="-9"/>
                <w:szCs w:val="21"/>
                <w:u w:val="none" w:color="auto"/>
              </w:rPr>
            </w:pPr>
            <w:r>
              <w:rPr>
                <w:rFonts w:ascii="Times New Roman" w:hAnsi="Times New Roman" w:eastAsia="宋体" w:cs="Times New Roman"/>
                <w:color w:val="auto"/>
                <w:spacing w:val="-9"/>
                <w:szCs w:val="21"/>
                <w:u w:val="none" w:color="auto"/>
              </w:rPr>
              <w:t>0.0001</w:t>
            </w:r>
          </w:p>
        </w:tc>
      </w:tr>
      <w:tr w14:paraId="5396A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shd w:val="clear" w:color="auto" w:fill="auto"/>
            <w:vAlign w:val="center"/>
          </w:tcPr>
          <w:p w14:paraId="255225FE">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北部湾港钦州港域大榄坪港区大榄坪南作业区9号10号泊位扩建工程</w:t>
            </w:r>
          </w:p>
        </w:tc>
        <w:tc>
          <w:tcPr>
            <w:tcW w:w="976" w:type="pct"/>
            <w:shd w:val="clear" w:color="auto" w:fill="auto"/>
            <w:vAlign w:val="center"/>
          </w:tcPr>
          <w:p w14:paraId="5694CF90">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装卸作业区</w:t>
            </w:r>
          </w:p>
        </w:tc>
        <w:tc>
          <w:tcPr>
            <w:tcW w:w="423" w:type="pct"/>
            <w:shd w:val="clear" w:color="auto" w:fill="auto"/>
            <w:vAlign w:val="center"/>
          </w:tcPr>
          <w:p w14:paraId="2BB60C2E">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-1160</w:t>
            </w:r>
          </w:p>
        </w:tc>
        <w:tc>
          <w:tcPr>
            <w:tcW w:w="425" w:type="pct"/>
            <w:shd w:val="clear" w:color="auto" w:fill="auto"/>
            <w:vAlign w:val="center"/>
          </w:tcPr>
          <w:p w14:paraId="1A77ACA6">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-1225</w:t>
            </w:r>
          </w:p>
        </w:tc>
        <w:tc>
          <w:tcPr>
            <w:tcW w:w="291" w:type="pct"/>
            <w:shd w:val="clear" w:color="auto" w:fill="auto"/>
            <w:vAlign w:val="center"/>
          </w:tcPr>
          <w:p w14:paraId="7F44301A">
            <w:pPr>
              <w:adjustRightInd w:val="0"/>
              <w:jc w:val="center"/>
              <w:rPr>
                <w:rFonts w:ascii="Times New Roman" w:hAnsi="Times New Roman" w:eastAsia="宋体" w:cs="Times New Roman"/>
                <w:color w:val="auto"/>
                <w:spacing w:val="-9"/>
                <w:kern w:val="2"/>
                <w:sz w:val="21"/>
                <w:szCs w:val="21"/>
                <w:u w:val="none" w:color="auto"/>
                <w:lang w:val="en-US" w:eastAsia="zh-CN" w:bidi="ar-SA"/>
              </w:rPr>
            </w:pPr>
            <w:r>
              <w:rPr>
                <w:rFonts w:hint="eastAsia" w:ascii="Times New Roman" w:hAnsi="Times New Roman" w:eastAsia="宋体" w:cs="Times New Roman"/>
                <w:color w:val="auto"/>
                <w:spacing w:val="-9"/>
                <w:szCs w:val="21"/>
                <w:u w:val="none" w:color="auto"/>
              </w:rPr>
              <w:t>30</w:t>
            </w:r>
          </w:p>
        </w:tc>
        <w:tc>
          <w:tcPr>
            <w:tcW w:w="291" w:type="pct"/>
            <w:shd w:val="clear" w:color="auto" w:fill="auto"/>
            <w:vAlign w:val="center"/>
          </w:tcPr>
          <w:p w14:paraId="0826B226">
            <w:pPr>
              <w:adjustRightInd w:val="0"/>
              <w:jc w:val="center"/>
              <w:rPr>
                <w:rFonts w:ascii="Times New Roman" w:hAnsi="Times New Roman" w:eastAsia="宋体" w:cs="Times New Roman"/>
                <w:color w:val="auto"/>
                <w:spacing w:val="-9"/>
                <w:kern w:val="2"/>
                <w:sz w:val="21"/>
                <w:szCs w:val="21"/>
                <w:u w:val="none" w:color="auto"/>
                <w:lang w:val="en-US" w:eastAsia="zh-CN" w:bidi="ar-SA"/>
              </w:rPr>
            </w:pPr>
            <w:r>
              <w:rPr>
                <w:rFonts w:hint="eastAsia" w:ascii="Times New Roman" w:hAnsi="Times New Roman" w:eastAsia="宋体" w:cs="Times New Roman"/>
                <w:color w:val="auto"/>
                <w:spacing w:val="-9"/>
                <w:szCs w:val="21"/>
                <w:u w:val="none" w:color="auto"/>
              </w:rPr>
              <w:t>300</w:t>
            </w:r>
          </w:p>
        </w:tc>
        <w:tc>
          <w:tcPr>
            <w:tcW w:w="291" w:type="pct"/>
            <w:shd w:val="clear" w:color="auto" w:fill="auto"/>
            <w:vAlign w:val="center"/>
          </w:tcPr>
          <w:p w14:paraId="0E8A249D">
            <w:pPr>
              <w:adjustRightInd w:val="0"/>
              <w:jc w:val="center"/>
              <w:rPr>
                <w:rFonts w:ascii="Times New Roman" w:hAnsi="Times New Roman" w:eastAsia="宋体" w:cs="Times New Roman"/>
                <w:color w:val="auto"/>
                <w:spacing w:val="2"/>
                <w:kern w:val="2"/>
                <w:position w:val="-2"/>
                <w:sz w:val="21"/>
                <w:szCs w:val="21"/>
                <w:u w:val="none" w:color="auto"/>
                <w:lang w:val="en-US" w:eastAsia="zh-CN" w:bidi="ar-SA"/>
              </w:rPr>
            </w:pPr>
            <w:r>
              <w:rPr>
                <w:rFonts w:ascii="Times New Roman" w:hAnsi="Times New Roman" w:eastAsia="宋体" w:cs="Times New Roman"/>
                <w:color w:val="auto"/>
                <w:spacing w:val="2"/>
                <w:position w:val="-2"/>
                <w:szCs w:val="21"/>
                <w:u w:val="none" w:color="auto"/>
              </w:rPr>
              <w:t>0</w:t>
            </w:r>
          </w:p>
        </w:tc>
        <w:tc>
          <w:tcPr>
            <w:tcW w:w="291" w:type="pct"/>
            <w:shd w:val="clear" w:color="auto" w:fill="auto"/>
            <w:vAlign w:val="center"/>
          </w:tcPr>
          <w:p w14:paraId="37F05C48">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9</w:t>
            </w:r>
          </w:p>
        </w:tc>
        <w:tc>
          <w:tcPr>
            <w:tcW w:w="291" w:type="pct"/>
            <w:shd w:val="clear" w:color="auto" w:fill="auto"/>
            <w:vAlign w:val="center"/>
          </w:tcPr>
          <w:p w14:paraId="54B8267B">
            <w:pPr>
              <w:adjustRightInd w:val="0"/>
              <w:jc w:val="center"/>
              <w:rPr>
                <w:rFonts w:ascii="Times New Roman" w:hAnsi="Times New Roman" w:eastAsia="宋体" w:cs="Times New Roman"/>
                <w:color w:val="auto"/>
                <w:spacing w:val="-9"/>
                <w:szCs w:val="21"/>
                <w:u w:val="none" w:color="auto"/>
                <w:lang w:val="en-US" w:eastAsia="zh-CN"/>
              </w:rPr>
            </w:pPr>
            <w:r>
              <w:rPr>
                <w:rFonts w:hint="eastAsia" w:ascii="Times New Roman" w:hAnsi="Times New Roman" w:eastAsia="宋体" w:cs="Times New Roman"/>
                <w:color w:val="auto"/>
                <w:spacing w:val="-9"/>
                <w:szCs w:val="21"/>
                <w:u w:val="none" w:color="auto"/>
              </w:rPr>
              <w:t>1500</w:t>
            </w:r>
          </w:p>
        </w:tc>
        <w:tc>
          <w:tcPr>
            <w:tcW w:w="325" w:type="pct"/>
            <w:vAlign w:val="center"/>
          </w:tcPr>
          <w:p w14:paraId="03D29794">
            <w:pPr>
              <w:adjustRightInd w:val="0"/>
              <w:jc w:val="center"/>
              <w:rPr>
                <w:rFonts w:ascii="Times New Roman" w:hAnsi="Times New Roman" w:eastAsia="宋体" w:cs="Times New Roman"/>
                <w:color w:val="auto"/>
                <w:spacing w:val="-9"/>
                <w:szCs w:val="21"/>
                <w:u w:val="none" w:color="auto"/>
              </w:rPr>
            </w:pPr>
          </w:p>
        </w:tc>
        <w:tc>
          <w:tcPr>
            <w:tcW w:w="417" w:type="pct"/>
            <w:vAlign w:val="center"/>
          </w:tcPr>
          <w:p w14:paraId="57F1DEB5">
            <w:pPr>
              <w:adjustRightInd w:val="0"/>
              <w:jc w:val="center"/>
              <w:rPr>
                <w:rFonts w:ascii="Times New Roman" w:hAnsi="Times New Roman" w:eastAsia="宋体" w:cs="Times New Roman"/>
                <w:color w:val="auto"/>
                <w:spacing w:val="-9"/>
                <w:szCs w:val="21"/>
                <w:u w:val="none" w:color="auto"/>
              </w:rPr>
            </w:pPr>
            <w:r>
              <w:rPr>
                <w:rFonts w:hint="eastAsia" w:ascii="Times New Roman" w:hAnsi="Times New Roman" w:eastAsia="宋体" w:cs="Times New Roman"/>
                <w:color w:val="auto"/>
                <w:spacing w:val="-9"/>
                <w:szCs w:val="21"/>
                <w:u w:val="none" w:color="auto"/>
              </w:rPr>
              <w:t>4.09</w:t>
            </w:r>
          </w:p>
        </w:tc>
      </w:tr>
    </w:tbl>
    <w:p w14:paraId="680B59B0">
      <w:pPr>
        <w:autoSpaceDE w:val="0"/>
        <w:autoSpaceDN w:val="0"/>
        <w:ind w:firstLine="482"/>
        <w:jc w:val="center"/>
        <w:rPr>
          <w:rFonts w:ascii="Times New Roman" w:hAnsi="Times New Roman" w:eastAsia="黑体" w:cs="Times New Roman"/>
          <w:color w:val="auto"/>
          <w:sz w:val="24"/>
          <w:szCs w:val="24"/>
          <w:u w:val="none" w:color="auto"/>
        </w:rPr>
      </w:pPr>
    </w:p>
    <w:p w14:paraId="75FB7123">
      <w:pPr>
        <w:autoSpaceDE w:val="0"/>
        <w:autoSpaceDN w:val="0"/>
        <w:rPr>
          <w:rFonts w:ascii="Times New Roman" w:hAnsi="Times New Roman" w:eastAsia="黑体" w:cs="Times New Roman"/>
          <w:color w:val="auto"/>
          <w:sz w:val="24"/>
          <w:szCs w:val="24"/>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B3ECCB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.2.3预测模型及参数</w:t>
      </w:r>
      <w:bookmarkEnd w:id="227"/>
    </w:p>
    <w:p w14:paraId="62C91B49">
      <w:pPr>
        <w:autoSpaceDE w:val="0"/>
        <w:autoSpaceDN w:val="0"/>
        <w:spacing w:line="360" w:lineRule="auto"/>
        <w:ind w:firstLine="482" w:firstLineChars="200"/>
        <w:jc w:val="left"/>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1、预测模型</w:t>
      </w:r>
    </w:p>
    <w:p w14:paraId="36A137FF">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rPr>
        <w:t>本次预测范围&lt;50km，无需开展二次PM</w:t>
      </w:r>
      <w:r>
        <w:rPr>
          <w:rFonts w:hint="eastAsia" w:ascii="Times New Roman" w:hAnsi="Times New Roman" w:eastAsia="宋体" w:cs="Times New Roman"/>
          <w:color w:val="auto"/>
          <w:kern w:val="0"/>
          <w:sz w:val="24"/>
          <w:szCs w:val="20"/>
          <w:u w:val="none" w:color="auto"/>
          <w:vertAlign w:val="subscript"/>
        </w:rPr>
        <w:t>2.5</w:t>
      </w:r>
      <w:r>
        <w:rPr>
          <w:rFonts w:hint="eastAsia" w:ascii="Times New Roman" w:hAnsi="Times New Roman" w:eastAsia="宋体" w:cs="Times New Roman"/>
          <w:color w:val="auto"/>
          <w:kern w:val="0"/>
          <w:sz w:val="24"/>
          <w:szCs w:val="20"/>
          <w:u w:val="none" w:color="auto"/>
        </w:rPr>
        <w:t>预测。同时，评价基准年内，风速≤0.5m/s最大持续小时3小时，开始于</w:t>
      </w:r>
      <w:r>
        <w:rPr>
          <w:rFonts w:hint="eastAsia" w:ascii="Times New Roman" w:hAnsi="Times New Roman" w:eastAsia="宋体" w:cs="Times New Roman"/>
          <w:color w:val="auto"/>
          <w:kern w:val="0"/>
          <w:sz w:val="24"/>
          <w:szCs w:val="20"/>
          <w:u w:val="none" w:color="auto"/>
          <w:lang w:eastAsia="zh-CN"/>
        </w:rPr>
        <w:t>2023年</w:t>
      </w:r>
      <w:r>
        <w:rPr>
          <w:rFonts w:hint="eastAsia" w:ascii="Times New Roman" w:hAnsi="Times New Roman" w:eastAsia="宋体" w:cs="Times New Roman"/>
          <w:color w:val="auto"/>
          <w:kern w:val="0"/>
          <w:sz w:val="24"/>
          <w:szCs w:val="20"/>
          <w:u w:val="none" w:color="auto"/>
        </w:rPr>
        <w:t>1月7日6：00，不存在持续时间超过72h或近20年统计的全年静风（风速≤0.2m/s）频率超过35%的情况，不需采用CALPUFF模型进行进一步模拟。</w:t>
      </w:r>
    </w:p>
    <w:p w14:paraId="61B1998E">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color w:val="auto"/>
          <w:kern w:val="0"/>
          <w:sz w:val="24"/>
          <w:szCs w:val="20"/>
          <w:u w:val="none" w:color="auto"/>
        </w:rPr>
        <w:t>本项目处于大型水体（海或湖）岸边3km范围内，存在岸边熏烟。经过估算，各评价因子的最大1h平均质量浓度均未超过对应的环境质量标准，因此不需用CALPUFF模型进行进一步模拟；本项目污染物排放为点源和面源，本项目进一步预测采用的模型为AERMOD。</w:t>
      </w:r>
    </w:p>
    <w:p w14:paraId="7EF84574">
      <w:pPr>
        <w:autoSpaceDE w:val="0"/>
        <w:autoSpaceDN w:val="0"/>
        <w:spacing w:line="360" w:lineRule="auto"/>
        <w:ind w:firstLine="482" w:firstLineChars="200"/>
        <w:jc w:val="left"/>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2、计算点</w:t>
      </w:r>
    </w:p>
    <w:p w14:paraId="5D063254">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在WGS-84经纬度坐标系的卫星影像图上建立AERMOD计算所需的平面坐标系统，影像图所覆盖的地理范围完全涵盖大气环境评价范围。本案利用两点距离法将经纬度坐标系投影为本地相对平面坐标系，平面坐标系的原点（0，0）位于</w:t>
      </w:r>
      <w:r>
        <w:rPr>
          <w:rFonts w:hint="eastAsia" w:ascii="Times New Roman" w:hAnsi="Times New Roman" w:eastAsia="宋体" w:cs="Times New Roman"/>
          <w:color w:val="auto"/>
          <w:kern w:val="0"/>
          <w:sz w:val="24"/>
          <w:szCs w:val="20"/>
          <w:u w:val="none" w:color="auto"/>
        </w:rPr>
        <w:t>项目中心</w:t>
      </w:r>
      <w:r>
        <w:rPr>
          <w:rFonts w:ascii="Times New Roman" w:hAnsi="Times New Roman" w:eastAsia="宋体" w:cs="Times New Roman"/>
          <w:color w:val="auto"/>
          <w:kern w:val="0"/>
          <w:sz w:val="24"/>
          <w:szCs w:val="20"/>
          <w:u w:val="none" w:color="auto"/>
        </w:rPr>
        <w:t>，该原点对应的经纬度为</w:t>
      </w:r>
      <w:r>
        <w:rPr>
          <w:rFonts w:hint="eastAsia" w:ascii="Times New Roman" w:hAnsi="Times New Roman" w:eastAsia="宋体" w:cs="Times New Roman"/>
          <w:color w:val="auto"/>
          <w:kern w:val="0"/>
          <w:sz w:val="24"/>
          <w:szCs w:val="20"/>
          <w:u w:val="none" w:color="auto"/>
        </w:rPr>
        <w:t>108.607820</w:t>
      </w:r>
      <w:r>
        <w:rPr>
          <w:rFonts w:ascii="Times New Roman" w:hAnsi="Times New Roman" w:eastAsia="宋体" w:cs="Times New Roman"/>
          <w:color w:val="auto"/>
          <w:kern w:val="0"/>
          <w:sz w:val="24"/>
          <w:szCs w:val="20"/>
          <w:u w:val="none" w:color="auto"/>
        </w:rPr>
        <w:t>E、</w:t>
      </w:r>
      <w:r>
        <w:rPr>
          <w:rFonts w:hint="eastAsia" w:ascii="Times New Roman" w:hAnsi="Times New Roman" w:eastAsia="宋体" w:cs="Times New Roman"/>
          <w:color w:val="auto"/>
          <w:kern w:val="0"/>
          <w:sz w:val="24"/>
          <w:szCs w:val="20"/>
          <w:u w:val="none" w:color="auto"/>
        </w:rPr>
        <w:t>21.732480</w:t>
      </w:r>
      <w:r>
        <w:rPr>
          <w:rFonts w:ascii="Times New Roman" w:hAnsi="Times New Roman" w:eastAsia="宋体" w:cs="Times New Roman"/>
          <w:color w:val="auto"/>
          <w:kern w:val="0"/>
          <w:sz w:val="24"/>
          <w:szCs w:val="20"/>
          <w:u w:val="none" w:color="auto"/>
        </w:rPr>
        <w:t>N。</w:t>
      </w:r>
    </w:p>
    <w:p w14:paraId="484EA1AB">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AERMOD的计算范围左下角坐标为（-</w:t>
      </w:r>
      <w:r>
        <w:rPr>
          <w:rFonts w:hint="eastAsia" w:ascii="Times New Roman" w:hAnsi="Times New Roman" w:eastAsia="宋体" w:cs="Times New Roman"/>
          <w:color w:val="auto"/>
          <w:kern w:val="0"/>
          <w:sz w:val="24"/>
          <w:szCs w:val="20"/>
          <w:u w:val="none" w:color="auto"/>
          <w:lang w:val="en-US" w:eastAsia="zh-CN"/>
        </w:rPr>
        <w:t>30</w:t>
      </w:r>
      <w:r>
        <w:rPr>
          <w:rFonts w:ascii="Times New Roman" w:hAnsi="Times New Roman" w:eastAsia="宋体" w:cs="Times New Roman"/>
          <w:color w:val="auto"/>
          <w:kern w:val="0"/>
          <w:sz w:val="24"/>
          <w:szCs w:val="20"/>
          <w:u w:val="none" w:color="auto"/>
        </w:rPr>
        <w:t>00，-</w:t>
      </w:r>
      <w:r>
        <w:rPr>
          <w:rFonts w:hint="eastAsia" w:ascii="Times New Roman" w:hAnsi="Times New Roman" w:eastAsia="宋体" w:cs="Times New Roman"/>
          <w:color w:val="auto"/>
          <w:kern w:val="0"/>
          <w:sz w:val="24"/>
          <w:szCs w:val="20"/>
          <w:u w:val="none" w:color="auto"/>
          <w:lang w:val="en-US" w:eastAsia="zh-CN"/>
        </w:rPr>
        <w:t>30</w:t>
      </w:r>
      <w:r>
        <w:rPr>
          <w:rFonts w:ascii="Times New Roman" w:hAnsi="Times New Roman" w:eastAsia="宋体" w:cs="Times New Roman"/>
          <w:color w:val="auto"/>
          <w:kern w:val="0"/>
          <w:sz w:val="24"/>
          <w:szCs w:val="20"/>
          <w:u w:val="none" w:color="auto"/>
        </w:rPr>
        <w:t>00），右上角坐标为（</w:t>
      </w:r>
      <w:r>
        <w:rPr>
          <w:rFonts w:hint="eastAsia" w:ascii="Times New Roman" w:hAnsi="Times New Roman" w:eastAsia="宋体" w:cs="Times New Roman"/>
          <w:color w:val="auto"/>
          <w:kern w:val="0"/>
          <w:sz w:val="24"/>
          <w:szCs w:val="20"/>
          <w:u w:val="none" w:color="auto"/>
          <w:lang w:val="en-US" w:eastAsia="zh-CN"/>
        </w:rPr>
        <w:t>30</w:t>
      </w:r>
      <w:r>
        <w:rPr>
          <w:rFonts w:ascii="Times New Roman" w:hAnsi="Times New Roman" w:eastAsia="宋体" w:cs="Times New Roman"/>
          <w:color w:val="auto"/>
          <w:kern w:val="0"/>
          <w:sz w:val="24"/>
          <w:szCs w:val="20"/>
          <w:u w:val="none" w:color="auto"/>
        </w:rPr>
        <w:t>00，</w:t>
      </w:r>
      <w:r>
        <w:rPr>
          <w:rFonts w:hint="eastAsia" w:ascii="Times New Roman" w:hAnsi="Times New Roman" w:eastAsia="宋体" w:cs="Times New Roman"/>
          <w:color w:val="auto"/>
          <w:kern w:val="0"/>
          <w:sz w:val="24"/>
          <w:szCs w:val="20"/>
          <w:u w:val="none" w:color="auto"/>
          <w:lang w:val="en-US" w:eastAsia="zh-CN"/>
        </w:rPr>
        <w:t>30</w:t>
      </w:r>
      <w:r>
        <w:rPr>
          <w:rFonts w:ascii="Times New Roman" w:hAnsi="Times New Roman" w:eastAsia="宋体" w:cs="Times New Roman"/>
          <w:color w:val="auto"/>
          <w:kern w:val="0"/>
          <w:sz w:val="24"/>
          <w:szCs w:val="20"/>
          <w:u w:val="none" w:color="auto"/>
        </w:rPr>
        <w:t>00），范围内划分计算网格，网格距取值</w:t>
      </w:r>
      <w:r>
        <w:rPr>
          <w:rFonts w:hint="eastAsia" w:ascii="Times New Roman" w:hAnsi="Times New Roman" w:eastAsia="宋体" w:cs="Times New Roman"/>
          <w:color w:val="auto"/>
          <w:kern w:val="0"/>
          <w:sz w:val="24"/>
          <w:szCs w:val="20"/>
          <w:u w:val="none" w:color="auto"/>
          <w:lang w:val="en-US" w:eastAsia="zh-CN"/>
        </w:rPr>
        <w:t>50</w:t>
      </w:r>
      <w:r>
        <w:rPr>
          <w:rFonts w:ascii="Times New Roman" w:hAnsi="Times New Roman" w:eastAsia="宋体" w:cs="Times New Roman"/>
          <w:color w:val="auto"/>
          <w:kern w:val="0"/>
          <w:sz w:val="24"/>
          <w:szCs w:val="20"/>
          <w:u w:val="none" w:color="auto"/>
        </w:rPr>
        <w:t>m。另一方面，项目周边各环境敏感点的经纬度坐标及对应的本地坐标详见表</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.2-1</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w:t>
      </w:r>
    </w:p>
    <w:p w14:paraId="033DFEE6">
      <w:pPr>
        <w:autoSpaceDE w:val="0"/>
        <w:autoSpaceDN w:val="0"/>
        <w:spacing w:before="163" w:beforeLines="50"/>
        <w:contextualSpacing/>
        <w:jc w:val="center"/>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表</w:t>
      </w:r>
      <w:r>
        <w:rPr>
          <w:rFonts w:hint="eastAsia" w:ascii="Times New Roman" w:hAnsi="Times New Roman" w:eastAsia="宋体" w:cs="Times New Roman"/>
          <w:b/>
          <w:color w:val="auto"/>
          <w:kern w:val="0"/>
          <w:sz w:val="24"/>
          <w:szCs w:val="24"/>
          <w:u w:val="none" w:color="auto"/>
        </w:rPr>
        <w:t>4</w:t>
      </w:r>
      <w:r>
        <w:rPr>
          <w:rFonts w:ascii="Times New Roman" w:hAnsi="Times New Roman" w:eastAsia="宋体" w:cs="Times New Roman"/>
          <w:b/>
          <w:color w:val="auto"/>
          <w:kern w:val="0"/>
          <w:sz w:val="24"/>
          <w:szCs w:val="24"/>
          <w:u w:val="none" w:color="auto"/>
        </w:rPr>
        <w:t>.2-1</w:t>
      </w:r>
      <w:r>
        <w:rPr>
          <w:rFonts w:hint="eastAsia" w:ascii="Times New Roman" w:hAnsi="Times New Roman" w:eastAsia="宋体" w:cs="Times New Roman"/>
          <w:b/>
          <w:color w:val="auto"/>
          <w:kern w:val="0"/>
          <w:sz w:val="24"/>
          <w:szCs w:val="24"/>
          <w:u w:val="none" w:color="auto"/>
        </w:rPr>
        <w:t>4</w:t>
      </w:r>
      <w:r>
        <w:rPr>
          <w:rFonts w:ascii="Times New Roman" w:hAnsi="Times New Roman" w:eastAsia="宋体" w:cs="Times New Roman"/>
          <w:b/>
          <w:color w:val="auto"/>
          <w:kern w:val="0"/>
          <w:sz w:val="24"/>
          <w:szCs w:val="24"/>
          <w:u w:val="none" w:color="auto"/>
        </w:rPr>
        <w:t xml:space="preserve"> 环境敏感点坐标及地理高程汇总</w:t>
      </w:r>
    </w:p>
    <w:tbl>
      <w:tblPr>
        <w:tblStyle w:val="38"/>
        <w:tblW w:w="87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3782"/>
        <w:gridCol w:w="1419"/>
        <w:gridCol w:w="1419"/>
        <w:gridCol w:w="1379"/>
      </w:tblGrid>
      <w:tr w14:paraId="76A16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vMerge w:val="restart"/>
            <w:noWrap/>
            <w:vAlign w:val="center"/>
          </w:tcPr>
          <w:p w14:paraId="5737CF36">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序号</w:t>
            </w:r>
          </w:p>
        </w:tc>
        <w:tc>
          <w:tcPr>
            <w:tcW w:w="3782" w:type="dxa"/>
            <w:vMerge w:val="restart"/>
            <w:noWrap/>
            <w:vAlign w:val="center"/>
          </w:tcPr>
          <w:p w14:paraId="1BFA08D1">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环境敏感点</w:t>
            </w:r>
          </w:p>
        </w:tc>
        <w:tc>
          <w:tcPr>
            <w:tcW w:w="2838" w:type="dxa"/>
            <w:gridSpan w:val="2"/>
            <w:noWrap/>
            <w:vAlign w:val="center"/>
          </w:tcPr>
          <w:p w14:paraId="0AF22F39">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本地坐标</w:t>
            </w:r>
          </w:p>
        </w:tc>
        <w:tc>
          <w:tcPr>
            <w:tcW w:w="1379" w:type="dxa"/>
            <w:vMerge w:val="restart"/>
            <w:noWrap/>
            <w:vAlign w:val="center"/>
          </w:tcPr>
          <w:p w14:paraId="55AD69B2">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地面高程</w:t>
            </w:r>
          </w:p>
        </w:tc>
      </w:tr>
      <w:tr w14:paraId="32177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vMerge w:val="continue"/>
            <w:noWrap/>
            <w:vAlign w:val="center"/>
          </w:tcPr>
          <w:p w14:paraId="78F321AA">
            <w:pPr>
              <w:autoSpaceDE w:val="0"/>
              <w:autoSpaceDN w:val="0"/>
              <w:adjustRightInd w:val="0"/>
              <w:jc w:val="center"/>
              <w:rPr>
                <w:rFonts w:ascii="Times New Roman" w:hAnsi="Times New Roman" w:eastAsia="宋体" w:cs="Times New Roman"/>
                <w:color w:val="auto"/>
                <w:kern w:val="0"/>
                <w:sz w:val="20"/>
                <w:szCs w:val="21"/>
                <w:u w:val="none" w:color="auto"/>
              </w:rPr>
            </w:pPr>
          </w:p>
        </w:tc>
        <w:tc>
          <w:tcPr>
            <w:tcW w:w="3782" w:type="dxa"/>
            <w:vMerge w:val="continue"/>
            <w:noWrap/>
            <w:vAlign w:val="center"/>
          </w:tcPr>
          <w:p w14:paraId="04E9A60B">
            <w:pPr>
              <w:autoSpaceDE w:val="0"/>
              <w:autoSpaceDN w:val="0"/>
              <w:adjustRightInd w:val="0"/>
              <w:jc w:val="center"/>
              <w:rPr>
                <w:rFonts w:ascii="Times New Roman" w:hAnsi="Times New Roman" w:eastAsia="宋体" w:cs="Times New Roman"/>
                <w:color w:val="auto"/>
                <w:kern w:val="0"/>
                <w:sz w:val="20"/>
                <w:szCs w:val="21"/>
                <w:u w:val="none" w:color="auto"/>
              </w:rPr>
            </w:pPr>
          </w:p>
        </w:tc>
        <w:tc>
          <w:tcPr>
            <w:tcW w:w="1419" w:type="dxa"/>
            <w:noWrap/>
            <w:vAlign w:val="center"/>
          </w:tcPr>
          <w:p w14:paraId="36192DD0">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X</w:t>
            </w:r>
          </w:p>
        </w:tc>
        <w:tc>
          <w:tcPr>
            <w:tcW w:w="1419" w:type="dxa"/>
            <w:noWrap/>
            <w:vAlign w:val="center"/>
          </w:tcPr>
          <w:p w14:paraId="59CB6E47">
            <w:pPr>
              <w:autoSpaceDE w:val="0"/>
              <w:autoSpaceDN w:val="0"/>
              <w:adjustRightInd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Y</w:t>
            </w:r>
          </w:p>
        </w:tc>
        <w:tc>
          <w:tcPr>
            <w:tcW w:w="1379" w:type="dxa"/>
            <w:vMerge w:val="continue"/>
            <w:noWrap/>
            <w:vAlign w:val="center"/>
          </w:tcPr>
          <w:p w14:paraId="27893525">
            <w:pPr>
              <w:autoSpaceDE w:val="0"/>
              <w:autoSpaceDN w:val="0"/>
              <w:adjustRightInd w:val="0"/>
              <w:jc w:val="center"/>
              <w:rPr>
                <w:rFonts w:ascii="Times New Roman" w:hAnsi="Times New Roman" w:eastAsia="宋体" w:cs="Times New Roman"/>
                <w:color w:val="auto"/>
                <w:kern w:val="0"/>
                <w:sz w:val="20"/>
                <w:szCs w:val="21"/>
                <w:u w:val="none" w:color="auto"/>
              </w:rPr>
            </w:pPr>
          </w:p>
        </w:tc>
      </w:tr>
      <w:tr w14:paraId="2F0C0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40F74BEC">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w:t>
            </w:r>
          </w:p>
        </w:tc>
        <w:tc>
          <w:tcPr>
            <w:tcW w:w="3782" w:type="dxa"/>
            <w:noWrap/>
            <w:vAlign w:val="center"/>
          </w:tcPr>
          <w:p w14:paraId="7EB51221">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过山路村</w:t>
            </w:r>
          </w:p>
        </w:tc>
        <w:tc>
          <w:tcPr>
            <w:tcW w:w="1419" w:type="dxa"/>
            <w:noWrap/>
            <w:vAlign w:val="center"/>
          </w:tcPr>
          <w:p w14:paraId="172F6473">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1578</w:t>
            </w:r>
          </w:p>
        </w:tc>
        <w:tc>
          <w:tcPr>
            <w:tcW w:w="1419" w:type="dxa"/>
            <w:noWrap/>
            <w:vAlign w:val="center"/>
          </w:tcPr>
          <w:p w14:paraId="57CC2F1F">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185</w:t>
            </w:r>
          </w:p>
        </w:tc>
        <w:tc>
          <w:tcPr>
            <w:tcW w:w="1379" w:type="dxa"/>
            <w:noWrap/>
            <w:vAlign w:val="center"/>
          </w:tcPr>
          <w:p w14:paraId="4E935BCF">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0</w:t>
            </w:r>
          </w:p>
        </w:tc>
      </w:tr>
      <w:tr w14:paraId="504EE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46FFE7CC">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w:t>
            </w:r>
          </w:p>
        </w:tc>
        <w:tc>
          <w:tcPr>
            <w:tcW w:w="3782" w:type="dxa"/>
            <w:noWrap/>
            <w:vAlign w:val="center"/>
          </w:tcPr>
          <w:p w14:paraId="1711AF16">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lang w:bidi="ar"/>
              </w:rPr>
              <w:t>淡水湾村</w:t>
            </w:r>
          </w:p>
        </w:tc>
        <w:tc>
          <w:tcPr>
            <w:tcW w:w="1419" w:type="dxa"/>
            <w:noWrap/>
            <w:vAlign w:val="center"/>
          </w:tcPr>
          <w:p w14:paraId="61496543">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766</w:t>
            </w:r>
          </w:p>
        </w:tc>
        <w:tc>
          <w:tcPr>
            <w:tcW w:w="1419" w:type="dxa"/>
            <w:noWrap/>
            <w:vAlign w:val="center"/>
          </w:tcPr>
          <w:p w14:paraId="7D434DEE">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674</w:t>
            </w:r>
          </w:p>
        </w:tc>
        <w:tc>
          <w:tcPr>
            <w:tcW w:w="1379" w:type="dxa"/>
            <w:noWrap/>
            <w:vAlign w:val="center"/>
          </w:tcPr>
          <w:p w14:paraId="25E4C473">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0</w:t>
            </w:r>
          </w:p>
        </w:tc>
      </w:tr>
      <w:tr w14:paraId="429D3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505AEFC7">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3</w:t>
            </w:r>
          </w:p>
        </w:tc>
        <w:tc>
          <w:tcPr>
            <w:tcW w:w="3782" w:type="dxa"/>
            <w:noWrap/>
            <w:vAlign w:val="center"/>
          </w:tcPr>
          <w:p w14:paraId="10CFF957">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金鼓村</w:t>
            </w:r>
          </w:p>
        </w:tc>
        <w:tc>
          <w:tcPr>
            <w:tcW w:w="1419" w:type="dxa"/>
            <w:noWrap/>
            <w:vAlign w:val="center"/>
          </w:tcPr>
          <w:p w14:paraId="756F1148">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108</w:t>
            </w:r>
          </w:p>
        </w:tc>
        <w:tc>
          <w:tcPr>
            <w:tcW w:w="1419" w:type="dxa"/>
            <w:noWrap/>
            <w:vAlign w:val="center"/>
          </w:tcPr>
          <w:p w14:paraId="4709AB2E">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1852</w:t>
            </w:r>
          </w:p>
        </w:tc>
        <w:tc>
          <w:tcPr>
            <w:tcW w:w="1379" w:type="dxa"/>
            <w:noWrap/>
            <w:vAlign w:val="center"/>
          </w:tcPr>
          <w:p w14:paraId="67F2B747">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1.68</w:t>
            </w:r>
          </w:p>
        </w:tc>
      </w:tr>
      <w:tr w14:paraId="0047F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6AD2D3E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4</w:t>
            </w:r>
          </w:p>
        </w:tc>
        <w:tc>
          <w:tcPr>
            <w:tcW w:w="3782" w:type="dxa"/>
            <w:noWrap/>
            <w:vAlign w:val="center"/>
          </w:tcPr>
          <w:p w14:paraId="03B83897">
            <w:pPr>
              <w:autoSpaceDE w:val="0"/>
              <w:autoSpaceDN w:val="0"/>
              <w:jc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eastAsia="zh-CN"/>
              </w:rPr>
              <w:t>钦州港安置小区</w:t>
            </w:r>
          </w:p>
        </w:tc>
        <w:tc>
          <w:tcPr>
            <w:tcW w:w="1419" w:type="dxa"/>
            <w:noWrap/>
            <w:vAlign w:val="center"/>
          </w:tcPr>
          <w:p w14:paraId="3F6F340D">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-1243</w:t>
            </w:r>
          </w:p>
        </w:tc>
        <w:tc>
          <w:tcPr>
            <w:tcW w:w="1419" w:type="dxa"/>
            <w:noWrap/>
            <w:vAlign w:val="center"/>
          </w:tcPr>
          <w:p w14:paraId="16FBD0E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1890</w:t>
            </w:r>
          </w:p>
        </w:tc>
        <w:tc>
          <w:tcPr>
            <w:tcW w:w="1379" w:type="dxa"/>
            <w:noWrap/>
            <w:vAlign w:val="center"/>
          </w:tcPr>
          <w:p w14:paraId="139FCC96">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0</w:t>
            </w:r>
          </w:p>
        </w:tc>
      </w:tr>
      <w:tr w14:paraId="164BD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751" w:type="dxa"/>
            <w:noWrap/>
            <w:vAlign w:val="center"/>
          </w:tcPr>
          <w:p w14:paraId="4C622F00">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5</w:t>
            </w:r>
          </w:p>
        </w:tc>
        <w:tc>
          <w:tcPr>
            <w:tcW w:w="3782" w:type="dxa"/>
            <w:noWrap/>
            <w:vAlign w:val="center"/>
          </w:tcPr>
          <w:p w14:paraId="69ED05D3">
            <w:pPr>
              <w:autoSpaceDE w:val="0"/>
              <w:autoSpaceDN w:val="0"/>
              <w:jc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eastAsia="zh-CN"/>
              </w:rPr>
              <w:t>大榄坪</w:t>
            </w:r>
          </w:p>
        </w:tc>
        <w:tc>
          <w:tcPr>
            <w:tcW w:w="1419" w:type="dxa"/>
            <w:noWrap/>
            <w:vAlign w:val="center"/>
          </w:tcPr>
          <w:p w14:paraId="01D2D996">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-1293</w:t>
            </w:r>
          </w:p>
        </w:tc>
        <w:tc>
          <w:tcPr>
            <w:tcW w:w="1419" w:type="dxa"/>
            <w:noWrap/>
            <w:vAlign w:val="center"/>
          </w:tcPr>
          <w:p w14:paraId="0688A2E1">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2216</w:t>
            </w:r>
          </w:p>
        </w:tc>
        <w:tc>
          <w:tcPr>
            <w:tcW w:w="1379" w:type="dxa"/>
            <w:noWrap/>
            <w:vAlign w:val="center"/>
          </w:tcPr>
          <w:p w14:paraId="5BAFA6E3">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0</w:t>
            </w:r>
          </w:p>
        </w:tc>
      </w:tr>
      <w:tr w14:paraId="5CF8D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2426D4D5">
            <w:pPr>
              <w:widowControl/>
              <w:jc w:val="center"/>
              <w:textAlignment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val="en-US" w:eastAsia="zh-CN" w:bidi="ar"/>
              </w:rPr>
              <w:t>6</w:t>
            </w:r>
          </w:p>
        </w:tc>
        <w:tc>
          <w:tcPr>
            <w:tcW w:w="3782" w:type="dxa"/>
            <w:noWrap/>
            <w:vAlign w:val="center"/>
          </w:tcPr>
          <w:p w14:paraId="7DB23A1D">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钦州港开发区中学</w:t>
            </w:r>
          </w:p>
        </w:tc>
        <w:tc>
          <w:tcPr>
            <w:tcW w:w="1419" w:type="dxa"/>
            <w:noWrap/>
            <w:vAlign w:val="center"/>
          </w:tcPr>
          <w:p w14:paraId="414CA034">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1888</w:t>
            </w:r>
          </w:p>
        </w:tc>
        <w:tc>
          <w:tcPr>
            <w:tcW w:w="1419" w:type="dxa"/>
            <w:noWrap/>
            <w:vAlign w:val="center"/>
          </w:tcPr>
          <w:p w14:paraId="68A4727A">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666</w:t>
            </w:r>
          </w:p>
        </w:tc>
        <w:tc>
          <w:tcPr>
            <w:tcW w:w="1379" w:type="dxa"/>
            <w:noWrap/>
            <w:vAlign w:val="center"/>
          </w:tcPr>
          <w:p w14:paraId="4085BA0D">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0</w:t>
            </w:r>
          </w:p>
        </w:tc>
      </w:tr>
      <w:tr w14:paraId="71BBD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51" w:type="dxa"/>
            <w:noWrap/>
            <w:vAlign w:val="center"/>
          </w:tcPr>
          <w:p w14:paraId="50EF2218">
            <w:pPr>
              <w:widowControl/>
              <w:jc w:val="center"/>
              <w:textAlignment w:val="center"/>
              <w:rPr>
                <w:rFonts w:hint="eastAsia" w:ascii="Times New Roman" w:hAnsi="Times New Roman" w:eastAsia="宋体" w:cs="Times New Roman"/>
                <w:color w:val="auto"/>
                <w:kern w:val="0"/>
                <w:szCs w:val="21"/>
                <w:u w:val="none" w:color="auto"/>
                <w:lang w:eastAsia="zh-CN"/>
              </w:rPr>
            </w:pPr>
            <w:r>
              <w:rPr>
                <w:rFonts w:hint="eastAsia" w:ascii="Times New Roman" w:hAnsi="Times New Roman" w:eastAsia="宋体" w:cs="Times New Roman"/>
                <w:color w:val="auto"/>
                <w:kern w:val="0"/>
                <w:szCs w:val="21"/>
                <w:u w:val="none" w:color="auto"/>
                <w:lang w:val="en-US" w:eastAsia="zh-CN" w:bidi="ar"/>
              </w:rPr>
              <w:t>7</w:t>
            </w:r>
          </w:p>
        </w:tc>
        <w:tc>
          <w:tcPr>
            <w:tcW w:w="3782" w:type="dxa"/>
            <w:noWrap/>
            <w:vAlign w:val="center"/>
          </w:tcPr>
          <w:p w14:paraId="7333D11B">
            <w:pPr>
              <w:autoSpaceDE w:val="0"/>
              <w:autoSpaceDN w:val="0"/>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钦州港开发区第四小学</w:t>
            </w:r>
          </w:p>
        </w:tc>
        <w:tc>
          <w:tcPr>
            <w:tcW w:w="1419" w:type="dxa"/>
            <w:noWrap/>
            <w:vAlign w:val="center"/>
          </w:tcPr>
          <w:p w14:paraId="60EE5CE7">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1174</w:t>
            </w:r>
          </w:p>
        </w:tc>
        <w:tc>
          <w:tcPr>
            <w:tcW w:w="1419" w:type="dxa"/>
            <w:noWrap/>
            <w:vAlign w:val="center"/>
          </w:tcPr>
          <w:p w14:paraId="26027C49">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2010</w:t>
            </w:r>
          </w:p>
        </w:tc>
        <w:tc>
          <w:tcPr>
            <w:tcW w:w="1379" w:type="dxa"/>
            <w:noWrap/>
            <w:vAlign w:val="center"/>
          </w:tcPr>
          <w:p w14:paraId="4C635415">
            <w:pPr>
              <w:widowControl/>
              <w:jc w:val="center"/>
              <w:textAlignment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lang w:bidi="ar"/>
              </w:rPr>
              <w:t>19.38</w:t>
            </w:r>
          </w:p>
        </w:tc>
      </w:tr>
    </w:tbl>
    <w:p w14:paraId="3CD9262B">
      <w:pPr>
        <w:autoSpaceDE w:val="0"/>
        <w:autoSpaceDN w:val="0"/>
        <w:spacing w:line="360" w:lineRule="auto"/>
        <w:ind w:firstLine="482" w:firstLineChars="200"/>
        <w:jc w:val="left"/>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3、地形参数</w:t>
      </w:r>
    </w:p>
    <w:p w14:paraId="58A6B52A">
      <w:pPr>
        <w:pStyle w:val="160"/>
        <w:autoSpaceDE w:val="0"/>
        <w:autoSpaceDN w:val="0"/>
        <w:spacing w:line="500" w:lineRule="exact"/>
        <w:ind w:firstLine="520" w:firstLineChars="200"/>
        <w:jc w:val="both"/>
        <w:textAlignment w:val="bottom"/>
        <w:rPr>
          <w:rFonts w:ascii="Times New Roman" w:hAnsi="Times New Roman" w:eastAsia="宋体" w:cs="Times New Roman"/>
          <w:color w:val="auto"/>
          <w:kern w:val="0"/>
          <w:sz w:val="24"/>
          <w:szCs w:val="24"/>
          <w:u w:val="none" w:color="auto"/>
        </w:rPr>
      </w:pPr>
      <w:r>
        <w:rPr>
          <w:rFonts w:ascii="Times New Roman"/>
          <w:color w:val="auto"/>
          <w:spacing w:val="10"/>
          <w:kern w:val="2"/>
          <w:u w:val="none" w:color="auto"/>
        </w:rPr>
        <w:t>评价范围内的地形数据采用外部DEM文件，并采用AERMAP运行计算得出评价范围内各网格及敏感点的地形数据。构建评价范围的预测网格时，采用直角坐标的方式，即坐标形式为（x，y）</w:t>
      </w:r>
      <w:r>
        <w:rPr>
          <w:rFonts w:hint="eastAsia" w:ascii="Times New Roman"/>
          <w:color w:val="auto"/>
          <w:spacing w:val="10"/>
          <w:kern w:val="2"/>
          <w:u w:val="none" w:color="auto"/>
          <w:lang w:eastAsia="zh-CN"/>
        </w:rPr>
        <w:t>，</w:t>
      </w:r>
      <w:r>
        <w:rPr>
          <w:rFonts w:ascii="Times New Roman" w:hAnsi="Times New Roman" w:eastAsia="宋体" w:cs="Times New Roman"/>
          <w:color w:val="auto"/>
          <w:kern w:val="0"/>
          <w:sz w:val="24"/>
          <w:szCs w:val="20"/>
          <w:u w:val="none" w:color="auto"/>
        </w:rPr>
        <w:t>评价范围的地形见图</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.2-16。</w:t>
      </w:r>
    </w:p>
    <w:p w14:paraId="7F63C3D9">
      <w:pPr>
        <w:pStyle w:val="160"/>
        <w:autoSpaceDE w:val="0"/>
        <w:autoSpaceDN w:val="0"/>
        <w:spacing w:line="240" w:lineRule="auto"/>
        <w:jc w:val="both"/>
        <w:textAlignment w:val="bottom"/>
        <w:rPr>
          <w:rFonts w:ascii="Times New Roman"/>
          <w:color w:val="auto"/>
          <w:spacing w:val="10"/>
          <w:kern w:val="2"/>
          <w:u w:val="none" w:color="auto"/>
        </w:rPr>
      </w:pPr>
      <w:r>
        <w:rPr>
          <w:b/>
          <w:color w:val="auto"/>
          <w:szCs w:val="24"/>
          <w:u w:val="none" w:color="auto"/>
        </w:rPr>
        <mc:AlternateContent>
          <mc:Choice Requires="wps">
            <w:drawing>
              <wp:anchor distT="0" distB="0" distL="114300" distR="114300" simplePos="0" relativeHeight="251668480" behindDoc="0" locked="0" layoutInCell="1" allowOverlap="1">
                <wp:simplePos x="0" y="0"/>
                <wp:positionH relativeFrom="column">
                  <wp:posOffset>1769110</wp:posOffset>
                </wp:positionH>
                <wp:positionV relativeFrom="paragraph">
                  <wp:posOffset>2078990</wp:posOffset>
                </wp:positionV>
                <wp:extent cx="285750" cy="276225"/>
                <wp:effectExtent l="29210" t="31115" r="34290" b="26035"/>
                <wp:wrapNone/>
                <wp:docPr id="15" name="五角星 15"/>
                <wp:cNvGraphicFramePr/>
                <a:graphic xmlns:a="http://schemas.openxmlformats.org/drawingml/2006/main">
                  <a:graphicData uri="http://schemas.microsoft.com/office/word/2010/wordprocessingShape">
                    <wps:wsp>
                      <wps:cNvSpPr>
                        <a:spLocks noChangeArrowheads="1"/>
                      </wps:cNvSpPr>
                      <wps:spPr bwMode="auto">
                        <a:xfrm>
                          <a:off x="0" y="0"/>
                          <a:ext cx="285750" cy="276225"/>
                        </a:xfrm>
                        <a:prstGeom prst="star5">
                          <a:avLst/>
                        </a:prstGeom>
                        <a:noFill/>
                        <a:ln w="19050">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139.3pt;margin-top:163.7pt;height:21.75pt;width:22.5pt;z-index:251668480;mso-width-relative:page;mso-height-relative:page;" filled="f" stroked="t" coordsize="285750,276225" o:gfxdata="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crS33ZAAAACwEAAA8AAAAAAAAAAQAgAAAAIgAAAGRycy9k&#10;b3ducmV2LnhtbFBLAQIUABQAAAAIAIdO4kCu06K7OgIAAFoEAAAOAAAAAAAAAAEAIAAAACgBAABk&#10;cnMvZTJvRG9jLnhtbFBLBQYAAAAABgAGAFkBAADUBQAAAAA=&#10;" path="m0,105508l109147,105509,142875,0,176602,105509,285749,105508,197447,170715,231176,276224,142875,211015,54573,276224,88302,170715xe">
                <v:path o:connectlocs="142875,0;0,105508;54573,276224;231176,276224;285749,105508" o:connectangles="247,164,82,82,0"/>
                <v:fill on="f" focussize="0,0"/>
                <v:stroke weight="1.5pt" color="#000000" miterlimit="8" joinstyle="miter"/>
                <v:imagedata o:title=""/>
                <o:lock v:ext="edit" aspectratio="f"/>
              </v:shape>
            </w:pict>
          </mc:Fallback>
        </mc:AlternateContent>
      </w:r>
      <w:r>
        <w:rPr>
          <w:b/>
          <w:color w:val="auto"/>
          <w:szCs w:val="24"/>
          <w:u w:val="none" w:color="auto"/>
        </w:rPr>
        <mc:AlternateContent>
          <mc:Choice Requires="wps">
            <w:drawing>
              <wp:anchor distT="0" distB="0" distL="114300" distR="114300" simplePos="0" relativeHeight="251669504" behindDoc="0" locked="0" layoutInCell="1" allowOverlap="1">
                <wp:simplePos x="0" y="0"/>
                <wp:positionH relativeFrom="column">
                  <wp:posOffset>835660</wp:posOffset>
                </wp:positionH>
                <wp:positionV relativeFrom="paragraph">
                  <wp:posOffset>2831465</wp:posOffset>
                </wp:positionV>
                <wp:extent cx="1085850" cy="333375"/>
                <wp:effectExtent l="4445" t="467360" r="5080" b="8890"/>
                <wp:wrapNone/>
                <wp:docPr id="17" name="圆角矩形标注 17"/>
                <wp:cNvGraphicFramePr/>
                <a:graphic xmlns:a="http://schemas.openxmlformats.org/drawingml/2006/main">
                  <a:graphicData uri="http://schemas.microsoft.com/office/word/2010/wordprocessingShape">
                    <wps:wsp>
                      <wps:cNvSpPr>
                        <a:spLocks noChangeArrowheads="1"/>
                      </wps:cNvSpPr>
                      <wps:spPr bwMode="auto">
                        <a:xfrm>
                          <a:off x="0" y="0"/>
                          <a:ext cx="1085850" cy="333375"/>
                        </a:xfrm>
                        <a:prstGeom prst="wedgeRoundRectCallout">
                          <a:avLst>
                            <a:gd name="adj1" fmla="val 38773"/>
                            <a:gd name="adj2" fmla="val -184856"/>
                            <a:gd name="adj3" fmla="val 16667"/>
                          </a:avLst>
                        </a:prstGeom>
                        <a:solidFill>
                          <a:srgbClr val="FFFFFF"/>
                        </a:solidFill>
                        <a:ln w="9525">
                          <a:solidFill>
                            <a:srgbClr val="000000"/>
                          </a:solidFill>
                          <a:miter lim="800000"/>
                        </a:ln>
                        <a:effectLst/>
                      </wps:spPr>
                      <wps:txbx>
                        <w:txbxContent>
                          <w:p w14:paraId="233A45F6">
                            <w:pPr>
                              <w:adjustRightInd w:val="0"/>
                              <w:snapToGrid w:val="0"/>
                              <w:jc w:val="center"/>
                              <w:rPr>
                                <w:rFonts w:ascii="宋体" w:hAnsi="宋体" w:eastAsia="宋体"/>
                                <w:sz w:val="21"/>
                              </w:rPr>
                            </w:pPr>
                            <w:r>
                              <w:rPr>
                                <w:rFonts w:ascii="宋体" w:hAnsi="宋体" w:eastAsia="宋体"/>
                                <w:sz w:val="21"/>
                              </w:rPr>
                              <w:t>项目所在位置</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65.8pt;margin-top:222.95pt;height:26.25pt;width:85.5pt;z-index:251669504;mso-width-relative:page;mso-height-relative:page;" fillcolor="#FFFFFF" filled="t" stroked="t" coordsize="21600,21600" o:gfxdata="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NrEuHrYAAAACwEA&#10;AA8AAAAAAAAAAQAgAAAAIgAAAGRycy9kb3ducmV2LnhtbFBLAQIUABQAAAAIAIdO4kCJODLSjAIA&#10;AB4FAAAOAAAAAAAAAAEAIAAAACcBAABkcnMvZTJvRG9jLnhtbFBLBQYAAAAABgAGAFkBAAAlBgAA&#10;AAA=&#10;" adj="19175,-29129,14400">
                <v:fill on="t" focussize="0,0"/>
                <v:stroke color="#000000" miterlimit="8" joinstyle="miter"/>
                <v:imagedata o:title=""/>
                <o:lock v:ext="edit" aspectratio="f"/>
                <v:textbox>
                  <w:txbxContent>
                    <w:p w14:paraId="233A45F6">
                      <w:pPr>
                        <w:adjustRightInd w:val="0"/>
                        <w:snapToGrid w:val="0"/>
                        <w:jc w:val="center"/>
                        <w:rPr>
                          <w:rFonts w:ascii="宋体" w:hAnsi="宋体" w:eastAsia="宋体"/>
                          <w:sz w:val="21"/>
                        </w:rPr>
                      </w:pPr>
                      <w:r>
                        <w:rPr>
                          <w:rFonts w:ascii="宋体" w:hAnsi="宋体" w:eastAsia="宋体"/>
                          <w:sz w:val="21"/>
                        </w:rPr>
                        <w:t>项目所在位置</w:t>
                      </w:r>
                    </w:p>
                  </w:txbxContent>
                </v:textbox>
              </v:shape>
            </w:pict>
          </mc:Fallback>
        </mc:AlternateContent>
      </w:r>
      <w:r>
        <w:rPr>
          <w:rFonts w:ascii="Times New Roman"/>
          <w:color w:val="auto"/>
          <w:u w:val="none" w:color="auto"/>
        </w:rPr>
        <w:drawing>
          <wp:inline distT="0" distB="0" distL="114300" distR="114300">
            <wp:extent cx="5486400" cy="3980815"/>
            <wp:effectExtent l="0" t="0" r="635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0"/>
                    <a:stretch>
                      <a:fillRect/>
                    </a:stretch>
                  </pic:blipFill>
                  <pic:spPr>
                    <a:xfrm>
                      <a:off x="0" y="0"/>
                      <a:ext cx="5486400" cy="3980815"/>
                    </a:xfrm>
                    <a:prstGeom prst="rect">
                      <a:avLst/>
                    </a:prstGeom>
                    <a:noFill/>
                    <a:ln>
                      <a:noFill/>
                    </a:ln>
                  </pic:spPr>
                </pic:pic>
              </a:graphicData>
            </a:graphic>
          </wp:inline>
        </w:drawing>
      </w:r>
    </w:p>
    <w:p w14:paraId="7ADB3771">
      <w:pPr>
        <w:spacing w:line="360" w:lineRule="auto"/>
        <w:ind w:firstLine="482" w:firstLineChars="200"/>
        <w:jc w:val="center"/>
        <w:rPr>
          <w:rFonts w:eastAsia="宋体"/>
          <w:b/>
          <w:color w:val="auto"/>
          <w:sz w:val="24"/>
          <w:szCs w:val="24"/>
          <w:u w:val="none" w:color="auto"/>
        </w:rPr>
      </w:pPr>
      <w:r>
        <w:rPr>
          <w:rFonts w:eastAsia="宋体"/>
          <w:b/>
          <w:color w:val="auto"/>
          <w:sz w:val="24"/>
          <w:szCs w:val="24"/>
          <w:u w:val="none" w:color="auto"/>
        </w:rPr>
        <w:t>图 5-2</w:t>
      </w:r>
      <w:r>
        <w:rPr>
          <w:rFonts w:eastAsia="宋体"/>
          <w:b/>
          <w:color w:val="auto"/>
          <w:sz w:val="24"/>
          <w:szCs w:val="24"/>
          <w:u w:val="none" w:color="auto"/>
        </w:rPr>
        <w:tab/>
      </w:r>
      <w:r>
        <w:rPr>
          <w:rFonts w:eastAsia="宋体"/>
          <w:b/>
          <w:color w:val="auto"/>
          <w:sz w:val="24"/>
          <w:szCs w:val="24"/>
          <w:u w:val="none" w:color="auto"/>
        </w:rPr>
        <w:t>项目所在区域的等高线示意图</w:t>
      </w:r>
    </w:p>
    <w:p w14:paraId="620C26DB">
      <w:pPr>
        <w:autoSpaceDE w:val="0"/>
        <w:autoSpaceDN w:val="0"/>
        <w:spacing w:line="360" w:lineRule="auto"/>
        <w:ind w:firstLine="482" w:firstLineChars="200"/>
        <w:jc w:val="left"/>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4、地表特征</w:t>
      </w:r>
    </w:p>
    <w:p w14:paraId="48DF4A7C">
      <w:pPr>
        <w:autoSpaceDE w:val="0"/>
        <w:autoSpaceDN w:val="0"/>
        <w:spacing w:line="360" w:lineRule="auto"/>
        <w:ind w:firstLine="480" w:firstLineChars="200"/>
        <w:jc w:val="left"/>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根据地面特征及《AERMETUSERGUIDE》，评价范围地表特征为工业区，划分为</w:t>
      </w:r>
      <w:r>
        <w:rPr>
          <w:rFonts w:hint="eastAsia" w:ascii="Times New Roman" w:hAnsi="Times New Roman" w:eastAsia="宋体" w:cs="Times New Roman"/>
          <w:color w:val="auto"/>
          <w:kern w:val="0"/>
          <w:sz w:val="24"/>
          <w:szCs w:val="20"/>
          <w:u w:val="none" w:color="auto"/>
          <w:lang w:val="en-US" w:eastAsia="zh-CN"/>
        </w:rPr>
        <w:t>1</w:t>
      </w:r>
      <w:r>
        <w:rPr>
          <w:rFonts w:ascii="Times New Roman" w:hAnsi="Times New Roman" w:eastAsia="宋体" w:cs="Times New Roman"/>
          <w:color w:val="auto"/>
          <w:kern w:val="0"/>
          <w:sz w:val="24"/>
          <w:szCs w:val="20"/>
          <w:u w:val="none" w:color="auto"/>
        </w:rPr>
        <w:t>个扇区，</w:t>
      </w:r>
      <w:r>
        <w:rPr>
          <w:rFonts w:hint="eastAsia" w:ascii="Times New Roman" w:hAnsi="Times New Roman" w:eastAsia="宋体" w:cs="Times New Roman"/>
          <w:color w:val="auto"/>
          <w:kern w:val="0"/>
          <w:sz w:val="24"/>
          <w:szCs w:val="20"/>
          <w:u w:val="none" w:color="auto"/>
        </w:rPr>
        <w:t>为城市；</w:t>
      </w:r>
      <w:r>
        <w:rPr>
          <w:rFonts w:ascii="Times New Roman" w:hAnsi="Times New Roman" w:eastAsia="宋体" w:cs="Times New Roman"/>
          <w:color w:val="auto"/>
          <w:kern w:val="0"/>
          <w:sz w:val="24"/>
          <w:szCs w:val="20"/>
          <w:u w:val="none" w:color="auto"/>
        </w:rPr>
        <w:t>评价范围内地表特征参数按“潮湿气候”选取，具体地表特征参数见表</w:t>
      </w:r>
      <w:r>
        <w:rPr>
          <w:rFonts w:hint="eastAsia" w:ascii="Times New Roman" w:hAnsi="Times New Roman" w:eastAsia="宋体" w:cs="Times New Roman"/>
          <w:color w:val="auto"/>
          <w:kern w:val="0"/>
          <w:sz w:val="24"/>
          <w:szCs w:val="20"/>
          <w:u w:val="none" w:color="auto"/>
        </w:rPr>
        <w:t>4</w:t>
      </w:r>
      <w:r>
        <w:rPr>
          <w:rFonts w:ascii="Times New Roman" w:hAnsi="Times New Roman" w:eastAsia="宋体" w:cs="Times New Roman"/>
          <w:color w:val="auto"/>
          <w:kern w:val="0"/>
          <w:sz w:val="24"/>
          <w:szCs w:val="20"/>
          <w:u w:val="none" w:color="auto"/>
        </w:rPr>
        <w:t>.2-1</w:t>
      </w:r>
      <w:r>
        <w:rPr>
          <w:rFonts w:hint="eastAsia" w:ascii="Times New Roman" w:hAnsi="Times New Roman" w:eastAsia="宋体" w:cs="Times New Roman"/>
          <w:color w:val="auto"/>
          <w:kern w:val="0"/>
          <w:sz w:val="24"/>
          <w:szCs w:val="20"/>
          <w:u w:val="none" w:color="auto"/>
        </w:rPr>
        <w:t>5</w:t>
      </w:r>
      <w:r>
        <w:rPr>
          <w:rFonts w:ascii="Times New Roman" w:hAnsi="Times New Roman" w:eastAsia="宋体" w:cs="Times New Roman"/>
          <w:color w:val="auto"/>
          <w:kern w:val="0"/>
          <w:sz w:val="24"/>
          <w:szCs w:val="20"/>
          <w:u w:val="none" w:color="auto"/>
        </w:rPr>
        <w:t>。</w:t>
      </w:r>
    </w:p>
    <w:p w14:paraId="49DE9CB1">
      <w:pPr>
        <w:autoSpaceDE w:val="0"/>
        <w:autoSpaceDN w:val="0"/>
        <w:spacing w:before="163" w:beforeLines="50"/>
        <w:contextualSpacing/>
        <w:jc w:val="center"/>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表</w:t>
      </w:r>
      <w:r>
        <w:rPr>
          <w:rFonts w:hint="eastAsia" w:ascii="Times New Roman" w:hAnsi="Times New Roman" w:eastAsia="宋体" w:cs="Times New Roman"/>
          <w:b/>
          <w:color w:val="auto"/>
          <w:kern w:val="0"/>
          <w:sz w:val="24"/>
          <w:szCs w:val="24"/>
          <w:u w:val="none" w:color="auto"/>
        </w:rPr>
        <w:t>4</w:t>
      </w:r>
      <w:r>
        <w:rPr>
          <w:rFonts w:ascii="Times New Roman" w:hAnsi="Times New Roman" w:eastAsia="宋体" w:cs="Times New Roman"/>
          <w:b/>
          <w:color w:val="auto"/>
          <w:kern w:val="0"/>
          <w:sz w:val="24"/>
          <w:szCs w:val="24"/>
          <w:u w:val="none" w:color="auto"/>
        </w:rPr>
        <w:t>.2-1</w:t>
      </w:r>
      <w:r>
        <w:rPr>
          <w:rFonts w:hint="eastAsia" w:ascii="Times New Roman" w:hAnsi="Times New Roman" w:eastAsia="宋体" w:cs="Times New Roman"/>
          <w:b/>
          <w:color w:val="auto"/>
          <w:kern w:val="0"/>
          <w:sz w:val="24"/>
          <w:szCs w:val="24"/>
          <w:u w:val="none" w:color="auto"/>
        </w:rPr>
        <w:t>5</w:t>
      </w:r>
      <w:r>
        <w:rPr>
          <w:rFonts w:ascii="Times New Roman" w:hAnsi="Times New Roman" w:eastAsia="宋体" w:cs="Times New Roman"/>
          <w:b/>
          <w:color w:val="auto"/>
          <w:kern w:val="0"/>
          <w:sz w:val="24"/>
          <w:szCs w:val="24"/>
          <w:u w:val="none" w:color="auto"/>
        </w:rPr>
        <w:t xml:space="preserve"> 地表特征数据汇总</w:t>
      </w:r>
    </w:p>
    <w:tbl>
      <w:tblPr>
        <w:tblStyle w:val="37"/>
        <w:tblW w:w="8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6"/>
        <w:gridCol w:w="1196"/>
        <w:gridCol w:w="2079"/>
        <w:gridCol w:w="1474"/>
        <w:gridCol w:w="1549"/>
        <w:gridCol w:w="1702"/>
      </w:tblGrid>
      <w:tr w14:paraId="60800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6" w:type="dxa"/>
            <w:vAlign w:val="center"/>
          </w:tcPr>
          <w:p w14:paraId="713FA0A9">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序号</w:t>
            </w:r>
          </w:p>
        </w:tc>
        <w:tc>
          <w:tcPr>
            <w:tcW w:w="1196" w:type="dxa"/>
            <w:vAlign w:val="center"/>
          </w:tcPr>
          <w:p w14:paraId="30F005DE">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扇区</w:t>
            </w:r>
          </w:p>
        </w:tc>
        <w:tc>
          <w:tcPr>
            <w:tcW w:w="2079" w:type="dxa"/>
            <w:vAlign w:val="center"/>
          </w:tcPr>
          <w:p w14:paraId="5A703BCA">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时段</w:t>
            </w:r>
          </w:p>
        </w:tc>
        <w:tc>
          <w:tcPr>
            <w:tcW w:w="1474" w:type="dxa"/>
            <w:vAlign w:val="center"/>
          </w:tcPr>
          <w:p w14:paraId="2C2D92D7">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正午反照率</w:t>
            </w:r>
          </w:p>
        </w:tc>
        <w:tc>
          <w:tcPr>
            <w:tcW w:w="1549" w:type="dxa"/>
            <w:vAlign w:val="center"/>
          </w:tcPr>
          <w:p w14:paraId="77A9B8BB">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BOWEN</w:t>
            </w:r>
          </w:p>
        </w:tc>
        <w:tc>
          <w:tcPr>
            <w:tcW w:w="1702" w:type="dxa"/>
            <w:vAlign w:val="center"/>
          </w:tcPr>
          <w:p w14:paraId="1D98D9F5">
            <w:pPr>
              <w:autoSpaceDE w:val="0"/>
              <w:autoSpaceDN w:val="0"/>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粗糙度</w:t>
            </w:r>
          </w:p>
        </w:tc>
      </w:tr>
      <w:tr w14:paraId="58660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6" w:type="dxa"/>
            <w:vAlign w:val="center"/>
          </w:tcPr>
          <w:p w14:paraId="1C6E9007">
            <w:pPr>
              <w:widowControl/>
              <w:jc w:val="center"/>
              <w:textAlignment w:val="center"/>
              <w:rPr>
                <w:rFonts w:hint="eastAsia" w:ascii="Times New Roman" w:hAnsi="Times New Roman" w:eastAsia="宋体" w:cs="Times New Roman"/>
                <w:color w:val="auto"/>
                <w:kern w:val="0"/>
                <w:szCs w:val="21"/>
                <w:u w:val="none" w:color="auto"/>
                <w:lang w:eastAsia="zh-CN" w:bidi="ar"/>
              </w:rPr>
            </w:pPr>
            <w:r>
              <w:rPr>
                <w:rFonts w:hint="eastAsia" w:ascii="Times New Roman" w:hAnsi="Times New Roman" w:eastAsia="宋体" w:cs="Times New Roman"/>
                <w:color w:val="auto"/>
                <w:kern w:val="0"/>
                <w:szCs w:val="21"/>
                <w:u w:val="none" w:color="auto"/>
                <w:lang w:val="en-US" w:eastAsia="zh-CN" w:bidi="ar"/>
              </w:rPr>
              <w:t>1</w:t>
            </w:r>
          </w:p>
        </w:tc>
        <w:tc>
          <w:tcPr>
            <w:tcW w:w="1196" w:type="dxa"/>
            <w:vAlign w:val="center"/>
          </w:tcPr>
          <w:p w14:paraId="63A7DEF1">
            <w:pPr>
              <w:widowControl/>
              <w:jc w:val="center"/>
              <w:textAlignment w:val="center"/>
              <w:rPr>
                <w:rFonts w:ascii="Times New Roman" w:hAnsi="Times New Roman" w:eastAsia="宋体" w:cs="Times New Roman"/>
                <w:color w:val="auto"/>
                <w:kern w:val="0"/>
                <w:szCs w:val="21"/>
                <w:u w:val="none" w:color="auto"/>
                <w:lang w:bidi="ar"/>
              </w:rPr>
            </w:pPr>
            <w:r>
              <w:rPr>
                <w:rFonts w:hint="eastAsia" w:ascii="Times New Roman" w:hAnsi="Times New Roman" w:eastAsia="宋体" w:cs="Times New Roman"/>
                <w:color w:val="auto"/>
                <w:kern w:val="0"/>
                <w:szCs w:val="21"/>
                <w:u w:val="none" w:color="auto"/>
                <w:lang w:bidi="ar"/>
              </w:rPr>
              <w:t>30-180</w:t>
            </w:r>
          </w:p>
        </w:tc>
        <w:tc>
          <w:tcPr>
            <w:tcW w:w="2079" w:type="dxa"/>
            <w:vAlign w:val="center"/>
          </w:tcPr>
          <w:p w14:paraId="6E951315">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冬季(12,1,2月)</w:t>
            </w:r>
          </w:p>
        </w:tc>
        <w:tc>
          <w:tcPr>
            <w:tcW w:w="1474" w:type="dxa"/>
            <w:vAlign w:val="center"/>
          </w:tcPr>
          <w:p w14:paraId="170699E7">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0.35</w:t>
            </w:r>
          </w:p>
        </w:tc>
        <w:tc>
          <w:tcPr>
            <w:tcW w:w="1549" w:type="dxa"/>
            <w:vAlign w:val="center"/>
          </w:tcPr>
          <w:p w14:paraId="1E584D12">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0.5</w:t>
            </w:r>
          </w:p>
        </w:tc>
        <w:tc>
          <w:tcPr>
            <w:tcW w:w="1702" w:type="dxa"/>
            <w:vAlign w:val="center"/>
          </w:tcPr>
          <w:p w14:paraId="35A4EB8A">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r>
      <w:tr w14:paraId="6C76B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6" w:type="dxa"/>
            <w:vAlign w:val="center"/>
          </w:tcPr>
          <w:p w14:paraId="747B5001">
            <w:pPr>
              <w:widowControl/>
              <w:jc w:val="center"/>
              <w:textAlignment w:val="center"/>
              <w:rPr>
                <w:rFonts w:hint="eastAsia" w:ascii="Times New Roman" w:hAnsi="Times New Roman" w:eastAsia="宋体" w:cs="Times New Roman"/>
                <w:color w:val="auto"/>
                <w:kern w:val="0"/>
                <w:szCs w:val="21"/>
                <w:u w:val="none" w:color="auto"/>
                <w:lang w:eastAsia="zh-CN" w:bidi="ar"/>
              </w:rPr>
            </w:pPr>
            <w:r>
              <w:rPr>
                <w:rFonts w:hint="eastAsia" w:ascii="Times New Roman" w:hAnsi="Times New Roman" w:eastAsia="宋体" w:cs="Times New Roman"/>
                <w:color w:val="auto"/>
                <w:kern w:val="0"/>
                <w:szCs w:val="21"/>
                <w:u w:val="none" w:color="auto"/>
                <w:lang w:val="en-US" w:eastAsia="zh-CN" w:bidi="ar"/>
              </w:rPr>
              <w:t>2</w:t>
            </w:r>
          </w:p>
        </w:tc>
        <w:tc>
          <w:tcPr>
            <w:tcW w:w="1196" w:type="dxa"/>
            <w:vAlign w:val="center"/>
          </w:tcPr>
          <w:p w14:paraId="683A29FC">
            <w:pPr>
              <w:widowControl/>
              <w:jc w:val="center"/>
              <w:textAlignment w:val="center"/>
              <w:rPr>
                <w:rFonts w:ascii="Times New Roman" w:hAnsi="Times New Roman" w:eastAsia="宋体" w:cs="Times New Roman"/>
                <w:color w:val="auto"/>
                <w:kern w:val="0"/>
                <w:szCs w:val="21"/>
                <w:u w:val="none" w:color="auto"/>
                <w:lang w:bidi="ar"/>
              </w:rPr>
            </w:pPr>
            <w:r>
              <w:rPr>
                <w:rFonts w:hint="eastAsia" w:ascii="Times New Roman" w:hAnsi="Times New Roman" w:eastAsia="宋体" w:cs="Times New Roman"/>
                <w:color w:val="auto"/>
                <w:kern w:val="0"/>
                <w:szCs w:val="21"/>
                <w:u w:val="none" w:color="auto"/>
                <w:lang w:bidi="ar"/>
              </w:rPr>
              <w:t>30-180</w:t>
            </w:r>
          </w:p>
        </w:tc>
        <w:tc>
          <w:tcPr>
            <w:tcW w:w="2079" w:type="dxa"/>
            <w:vAlign w:val="center"/>
          </w:tcPr>
          <w:p w14:paraId="04E3D7EE">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春季(3,4,5月)</w:t>
            </w:r>
          </w:p>
        </w:tc>
        <w:tc>
          <w:tcPr>
            <w:tcW w:w="1474" w:type="dxa"/>
            <w:vAlign w:val="center"/>
          </w:tcPr>
          <w:p w14:paraId="24E069C9">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0.14</w:t>
            </w:r>
          </w:p>
        </w:tc>
        <w:tc>
          <w:tcPr>
            <w:tcW w:w="1549" w:type="dxa"/>
            <w:vAlign w:val="center"/>
          </w:tcPr>
          <w:p w14:paraId="01D6AD79">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0.5</w:t>
            </w:r>
          </w:p>
        </w:tc>
        <w:tc>
          <w:tcPr>
            <w:tcW w:w="1702" w:type="dxa"/>
            <w:vAlign w:val="center"/>
          </w:tcPr>
          <w:p w14:paraId="0E0A38EC">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r>
      <w:tr w14:paraId="65F1B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6" w:type="dxa"/>
            <w:vAlign w:val="center"/>
          </w:tcPr>
          <w:p w14:paraId="6913A440">
            <w:pPr>
              <w:widowControl/>
              <w:jc w:val="center"/>
              <w:textAlignment w:val="center"/>
              <w:rPr>
                <w:rFonts w:hint="eastAsia" w:ascii="Times New Roman" w:hAnsi="Times New Roman" w:eastAsia="宋体" w:cs="Times New Roman"/>
                <w:color w:val="auto"/>
                <w:kern w:val="0"/>
                <w:szCs w:val="21"/>
                <w:u w:val="none" w:color="auto"/>
                <w:lang w:eastAsia="zh-CN" w:bidi="ar"/>
              </w:rPr>
            </w:pPr>
            <w:r>
              <w:rPr>
                <w:rFonts w:hint="eastAsia" w:ascii="Times New Roman" w:hAnsi="Times New Roman" w:eastAsia="宋体" w:cs="Times New Roman"/>
                <w:color w:val="auto"/>
                <w:kern w:val="0"/>
                <w:szCs w:val="21"/>
                <w:u w:val="none" w:color="auto"/>
                <w:lang w:val="en-US" w:eastAsia="zh-CN" w:bidi="ar"/>
              </w:rPr>
              <w:t>3</w:t>
            </w:r>
          </w:p>
        </w:tc>
        <w:tc>
          <w:tcPr>
            <w:tcW w:w="1196" w:type="dxa"/>
            <w:vAlign w:val="center"/>
          </w:tcPr>
          <w:p w14:paraId="2F777A2D">
            <w:pPr>
              <w:widowControl/>
              <w:jc w:val="center"/>
              <w:textAlignment w:val="center"/>
              <w:rPr>
                <w:rFonts w:ascii="Times New Roman" w:hAnsi="Times New Roman" w:eastAsia="宋体" w:cs="Times New Roman"/>
                <w:color w:val="auto"/>
                <w:kern w:val="0"/>
                <w:szCs w:val="21"/>
                <w:u w:val="none" w:color="auto"/>
                <w:lang w:bidi="ar"/>
              </w:rPr>
            </w:pPr>
            <w:r>
              <w:rPr>
                <w:rFonts w:hint="eastAsia" w:ascii="Times New Roman" w:hAnsi="Times New Roman" w:eastAsia="宋体" w:cs="Times New Roman"/>
                <w:color w:val="auto"/>
                <w:kern w:val="0"/>
                <w:szCs w:val="21"/>
                <w:u w:val="none" w:color="auto"/>
                <w:lang w:bidi="ar"/>
              </w:rPr>
              <w:t>30-180</w:t>
            </w:r>
          </w:p>
        </w:tc>
        <w:tc>
          <w:tcPr>
            <w:tcW w:w="2079" w:type="dxa"/>
            <w:vAlign w:val="center"/>
          </w:tcPr>
          <w:p w14:paraId="5BA5E2D2">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夏季(6,7,8月)</w:t>
            </w:r>
          </w:p>
        </w:tc>
        <w:tc>
          <w:tcPr>
            <w:tcW w:w="1474" w:type="dxa"/>
            <w:vAlign w:val="center"/>
          </w:tcPr>
          <w:p w14:paraId="388F8ED1">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0.16</w:t>
            </w:r>
          </w:p>
        </w:tc>
        <w:tc>
          <w:tcPr>
            <w:tcW w:w="1549" w:type="dxa"/>
            <w:vAlign w:val="center"/>
          </w:tcPr>
          <w:p w14:paraId="384E83E3">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c>
          <w:tcPr>
            <w:tcW w:w="1702" w:type="dxa"/>
            <w:vAlign w:val="center"/>
          </w:tcPr>
          <w:p w14:paraId="3285B323">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r>
      <w:tr w14:paraId="1B27A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976" w:type="dxa"/>
            <w:vAlign w:val="center"/>
          </w:tcPr>
          <w:p w14:paraId="3C83AD3F">
            <w:pPr>
              <w:widowControl/>
              <w:jc w:val="center"/>
              <w:textAlignment w:val="center"/>
              <w:rPr>
                <w:rFonts w:hint="eastAsia" w:ascii="Times New Roman" w:hAnsi="Times New Roman" w:eastAsia="宋体" w:cs="Times New Roman"/>
                <w:color w:val="auto"/>
                <w:kern w:val="0"/>
                <w:szCs w:val="21"/>
                <w:u w:val="none" w:color="auto"/>
                <w:lang w:eastAsia="zh-CN" w:bidi="ar"/>
              </w:rPr>
            </w:pPr>
            <w:r>
              <w:rPr>
                <w:rFonts w:hint="eastAsia" w:ascii="Times New Roman" w:hAnsi="Times New Roman" w:eastAsia="宋体" w:cs="Times New Roman"/>
                <w:color w:val="auto"/>
                <w:kern w:val="0"/>
                <w:szCs w:val="21"/>
                <w:u w:val="none" w:color="auto"/>
                <w:lang w:val="en-US" w:eastAsia="zh-CN" w:bidi="ar"/>
              </w:rPr>
              <w:t>4</w:t>
            </w:r>
          </w:p>
        </w:tc>
        <w:tc>
          <w:tcPr>
            <w:tcW w:w="1196" w:type="dxa"/>
            <w:vAlign w:val="center"/>
          </w:tcPr>
          <w:p w14:paraId="2FD0C303">
            <w:pPr>
              <w:widowControl/>
              <w:jc w:val="center"/>
              <w:textAlignment w:val="center"/>
              <w:rPr>
                <w:rFonts w:ascii="Times New Roman" w:hAnsi="Times New Roman" w:eastAsia="宋体" w:cs="Times New Roman"/>
                <w:color w:val="auto"/>
                <w:kern w:val="0"/>
                <w:szCs w:val="21"/>
                <w:u w:val="none" w:color="auto"/>
                <w:lang w:bidi="ar"/>
              </w:rPr>
            </w:pPr>
            <w:r>
              <w:rPr>
                <w:rFonts w:hint="eastAsia" w:ascii="Times New Roman" w:hAnsi="Times New Roman" w:eastAsia="宋体" w:cs="Times New Roman"/>
                <w:color w:val="auto"/>
                <w:kern w:val="0"/>
                <w:szCs w:val="21"/>
                <w:u w:val="none" w:color="auto"/>
                <w:lang w:bidi="ar"/>
              </w:rPr>
              <w:t>30-180</w:t>
            </w:r>
          </w:p>
        </w:tc>
        <w:tc>
          <w:tcPr>
            <w:tcW w:w="2079" w:type="dxa"/>
            <w:vAlign w:val="center"/>
          </w:tcPr>
          <w:p w14:paraId="40436F41">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秋季(9,10,11月)</w:t>
            </w:r>
          </w:p>
        </w:tc>
        <w:tc>
          <w:tcPr>
            <w:tcW w:w="1474" w:type="dxa"/>
            <w:vAlign w:val="center"/>
          </w:tcPr>
          <w:p w14:paraId="4B18842C">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0.18</w:t>
            </w:r>
          </w:p>
        </w:tc>
        <w:tc>
          <w:tcPr>
            <w:tcW w:w="1549" w:type="dxa"/>
            <w:vAlign w:val="center"/>
          </w:tcPr>
          <w:p w14:paraId="52CDDBB2">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c>
          <w:tcPr>
            <w:tcW w:w="1702" w:type="dxa"/>
            <w:vAlign w:val="center"/>
          </w:tcPr>
          <w:p w14:paraId="34CD70A9">
            <w:pPr>
              <w:widowControl/>
              <w:jc w:val="center"/>
              <w:textAlignment w:val="center"/>
              <w:rPr>
                <w:rFonts w:ascii="Times New Roman" w:hAnsi="Times New Roman" w:eastAsia="宋体" w:cs="Times New Roman"/>
                <w:color w:val="auto"/>
                <w:kern w:val="0"/>
                <w:szCs w:val="21"/>
                <w:u w:val="none" w:color="auto"/>
                <w:lang w:bidi="ar"/>
              </w:rPr>
            </w:pPr>
            <w:r>
              <w:rPr>
                <w:rFonts w:ascii="Times New Roman" w:hAnsi="Times New Roman" w:eastAsia="宋体" w:cs="Times New Roman"/>
                <w:color w:val="auto"/>
                <w:kern w:val="0"/>
                <w:szCs w:val="21"/>
                <w:u w:val="none" w:color="auto"/>
                <w:lang w:bidi="ar"/>
              </w:rPr>
              <w:t>1</w:t>
            </w:r>
          </w:p>
        </w:tc>
      </w:tr>
    </w:tbl>
    <w:p w14:paraId="6463479C">
      <w:pPr>
        <w:autoSpaceDE w:val="0"/>
        <w:autoSpaceDN w:val="0"/>
        <w:snapToGrid w:val="0"/>
        <w:spacing w:before="163" w:beforeLines="50" w:line="360" w:lineRule="auto"/>
        <w:ind w:firstLine="482"/>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5、气象数据</w:t>
      </w:r>
    </w:p>
    <w:p w14:paraId="18B4581E">
      <w:pPr>
        <w:autoSpaceDE w:val="0"/>
        <w:autoSpaceDN w:val="0"/>
        <w:adjustRightInd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地面气象数据钦州国家一般气象站</w:t>
      </w:r>
      <w:r>
        <w:rPr>
          <w:rFonts w:hint="eastAsia" w:ascii="Times New Roman" w:hAnsi="Times New Roman" w:eastAsia="宋体" w:cs="Times New Roman"/>
          <w:color w:val="auto"/>
          <w:kern w:val="0"/>
          <w:sz w:val="24"/>
          <w:szCs w:val="24"/>
          <w:u w:val="none" w:color="auto"/>
          <w:lang w:eastAsia="zh-CN"/>
        </w:rPr>
        <w:t>2023年</w:t>
      </w:r>
      <w:r>
        <w:rPr>
          <w:rFonts w:ascii="Times New Roman" w:hAnsi="Times New Roman" w:eastAsia="宋体" w:cs="Times New Roman"/>
          <w:color w:val="auto"/>
          <w:kern w:val="0"/>
          <w:sz w:val="24"/>
          <w:szCs w:val="24"/>
          <w:u w:val="none" w:color="auto"/>
        </w:rPr>
        <w:t>逐时风向、风速、气温、总云量和低云量数据；高空气象数据采用钦州国家一般</w:t>
      </w:r>
      <w:r>
        <w:rPr>
          <w:rFonts w:hint="eastAsia" w:ascii="Times New Roman" w:hAnsi="Times New Roman" w:eastAsia="宋体" w:cs="Times New Roman"/>
          <w:color w:val="auto"/>
          <w:kern w:val="0"/>
          <w:sz w:val="24"/>
          <w:szCs w:val="24"/>
          <w:u w:val="none" w:color="auto"/>
          <w:lang w:eastAsia="zh-CN"/>
        </w:rPr>
        <w:t>气象站</w:t>
      </w:r>
      <w:r>
        <w:rPr>
          <w:rFonts w:ascii="Times New Roman" w:hAnsi="Times New Roman" w:eastAsia="宋体" w:cs="Times New Roman"/>
          <w:color w:val="auto"/>
          <w:kern w:val="0"/>
          <w:sz w:val="24"/>
          <w:szCs w:val="24"/>
          <w:u w:val="none" w:color="auto"/>
        </w:rPr>
        <w:t>提供的数值：</w:t>
      </w:r>
      <w:r>
        <w:rPr>
          <w:rFonts w:hint="eastAsia" w:ascii="Times New Roman" w:hAnsi="Times New Roman" w:eastAsia="宋体" w:cs="Times New Roman"/>
          <w:color w:val="auto"/>
          <w:kern w:val="0"/>
          <w:sz w:val="24"/>
          <w:szCs w:val="24"/>
          <w:u w:val="none" w:color="auto"/>
          <w:lang w:eastAsia="zh-CN"/>
        </w:rPr>
        <w:t>2023年</w:t>
      </w:r>
      <w:r>
        <w:rPr>
          <w:rFonts w:ascii="Times New Roman" w:hAnsi="Times New Roman" w:eastAsia="宋体" w:cs="Times New Roman"/>
          <w:color w:val="auto"/>
          <w:kern w:val="0"/>
          <w:sz w:val="24"/>
          <w:szCs w:val="24"/>
          <w:u w:val="none" w:color="auto"/>
        </w:rPr>
        <w:t>项目所在地近地面至高空5000米范围内不同高层的气温、露点温度、风向及风速，该数据的时间分辨率是逐日两次（8时与20时）。</w:t>
      </w:r>
    </w:p>
    <w:p w14:paraId="03D092CD">
      <w:pPr>
        <w:autoSpaceDE w:val="0"/>
        <w:autoSpaceDN w:val="0"/>
        <w:snapToGrid w:val="0"/>
        <w:spacing w:before="163" w:beforeLines="50" w:line="360" w:lineRule="auto"/>
        <w:ind w:firstLine="482"/>
        <w:rPr>
          <w:rFonts w:ascii="Times New Roman" w:hAnsi="Times New Roman" w:eastAsia="宋体" w:cs="Times New Roman"/>
          <w:b/>
          <w:color w:val="auto"/>
          <w:kern w:val="0"/>
          <w:sz w:val="24"/>
          <w:szCs w:val="20"/>
          <w:u w:val="none" w:color="auto"/>
        </w:rPr>
      </w:pPr>
      <w:r>
        <w:rPr>
          <w:rFonts w:hint="eastAsia" w:ascii="Times New Roman" w:hAnsi="Times New Roman" w:eastAsia="宋体" w:cs="Times New Roman"/>
          <w:b/>
          <w:color w:val="auto"/>
          <w:kern w:val="0"/>
          <w:sz w:val="24"/>
          <w:szCs w:val="20"/>
          <w:u w:val="none" w:color="auto"/>
          <w:lang w:val="en-US" w:eastAsia="zh-CN"/>
        </w:rPr>
        <w:t>6、</w:t>
      </w:r>
      <w:r>
        <w:rPr>
          <w:rFonts w:ascii="Times New Roman" w:hAnsi="Times New Roman" w:eastAsia="宋体" w:cs="Times New Roman"/>
          <w:b/>
          <w:color w:val="auto"/>
          <w:kern w:val="0"/>
          <w:sz w:val="24"/>
          <w:szCs w:val="20"/>
          <w:u w:val="none" w:color="auto"/>
        </w:rPr>
        <w:t>建筑物下洗</w:t>
      </w:r>
    </w:p>
    <w:p w14:paraId="3C1593F1">
      <w:pPr>
        <w:adjustRightInd w:val="0"/>
        <w:snapToGrid w:val="0"/>
        <w:spacing w:line="500" w:lineRule="exact"/>
        <w:ind w:firstLine="480" w:firstLineChars="200"/>
        <w:rPr>
          <w:rFonts w:ascii="Arial" w:hAnsi="Arial" w:eastAsia="宋体" w:cs="Arial"/>
          <w:color w:val="auto"/>
          <w:sz w:val="24"/>
          <w:u w:val="none" w:color="auto"/>
        </w:rPr>
      </w:pPr>
      <w:r>
        <w:rPr>
          <w:rFonts w:ascii="Arial" w:hAnsi="Arial" w:eastAsia="宋体" w:cs="Arial"/>
          <w:color w:val="auto"/>
          <w:sz w:val="24"/>
          <w:u w:val="none" w:color="auto"/>
        </w:rPr>
        <w:t>如果烟囱实际高度小于根据周围建筑物高度计算的最佳工程方案（GEP）烟囱高度时，且位于GEP的5L影响区域内时，则需考虑建筑物</w:t>
      </w:r>
      <w:r>
        <w:rPr>
          <w:rFonts w:hint="eastAsia" w:ascii="Arial" w:hAnsi="Arial" w:eastAsia="宋体" w:cs="Arial"/>
          <w:color w:val="auto"/>
          <w:sz w:val="24"/>
          <w:u w:val="none" w:color="auto"/>
          <w:lang w:eastAsia="zh-CN"/>
        </w:rPr>
        <w:t>下沉</w:t>
      </w:r>
      <w:r>
        <w:rPr>
          <w:rFonts w:ascii="Arial" w:hAnsi="Arial" w:eastAsia="宋体" w:cs="Arial"/>
          <w:color w:val="auto"/>
          <w:sz w:val="24"/>
          <w:u w:val="none" w:color="auto"/>
        </w:rPr>
        <w:t>的情况。GEP烟囱高度计算公式为：</w:t>
      </w:r>
    </w:p>
    <w:p w14:paraId="3A8C0D49">
      <w:pPr>
        <w:adjustRightInd w:val="0"/>
        <w:snapToGrid w:val="0"/>
        <w:spacing w:line="500" w:lineRule="exact"/>
        <w:jc w:val="center"/>
        <w:rPr>
          <w:rFonts w:ascii="Arial" w:hAnsi="Arial" w:eastAsia="宋体" w:cs="Arial"/>
          <w:color w:val="auto"/>
          <w:sz w:val="24"/>
          <w:szCs w:val="30"/>
          <w:u w:val="none" w:color="auto"/>
        </w:rPr>
      </w:pPr>
      <w:r>
        <w:rPr>
          <w:rFonts w:ascii="Arial" w:hAnsi="Arial" w:eastAsia="宋体" w:cs="Arial"/>
          <w:color w:val="auto"/>
          <w:sz w:val="24"/>
          <w:szCs w:val="30"/>
          <w:u w:val="none" w:color="auto"/>
        </w:rPr>
        <w:t>GEP烟囱高度=</w:t>
      </w:r>
      <w:r>
        <w:rPr>
          <w:rFonts w:ascii="Arial" w:hAnsi="Arial" w:eastAsia="宋体" w:cs="Arial"/>
          <w:i/>
          <w:color w:val="auto"/>
          <w:sz w:val="24"/>
          <w:szCs w:val="30"/>
          <w:u w:val="none" w:color="auto"/>
        </w:rPr>
        <w:t>H</w:t>
      </w:r>
      <w:r>
        <w:rPr>
          <w:rFonts w:ascii="Arial" w:hAnsi="Arial" w:eastAsia="宋体" w:cs="Arial"/>
          <w:color w:val="auto"/>
          <w:sz w:val="24"/>
          <w:szCs w:val="30"/>
          <w:u w:val="none" w:color="auto"/>
        </w:rPr>
        <w:t>+1.5</w:t>
      </w:r>
      <w:r>
        <w:rPr>
          <w:rFonts w:ascii="Arial" w:hAnsi="Arial" w:eastAsia="宋体" w:cs="Arial"/>
          <w:i/>
          <w:color w:val="auto"/>
          <w:sz w:val="24"/>
          <w:szCs w:val="30"/>
          <w:u w:val="none" w:color="auto"/>
        </w:rPr>
        <w:t>L</w:t>
      </w:r>
    </w:p>
    <w:p w14:paraId="13D7BA1A">
      <w:pPr>
        <w:adjustRightInd w:val="0"/>
        <w:snapToGrid w:val="0"/>
        <w:spacing w:line="500" w:lineRule="exact"/>
        <w:ind w:firstLine="480" w:firstLineChars="200"/>
        <w:rPr>
          <w:rFonts w:ascii="Arial" w:hAnsi="Arial" w:eastAsia="宋体" w:cs="Arial"/>
          <w:color w:val="auto"/>
          <w:sz w:val="24"/>
          <w:szCs w:val="30"/>
          <w:u w:val="none" w:color="auto"/>
        </w:rPr>
      </w:pPr>
      <w:r>
        <w:rPr>
          <w:rFonts w:ascii="Arial" w:hAnsi="Arial" w:eastAsia="宋体" w:cs="Arial"/>
          <w:color w:val="auto"/>
          <w:sz w:val="24"/>
          <w:szCs w:val="30"/>
          <w:u w:val="none" w:color="auto"/>
        </w:rPr>
        <w:t>式中：</w:t>
      </w:r>
      <w:r>
        <w:rPr>
          <w:rFonts w:ascii="Arial" w:hAnsi="Arial" w:eastAsia="宋体" w:cs="Arial"/>
          <w:i/>
          <w:color w:val="auto"/>
          <w:sz w:val="24"/>
          <w:szCs w:val="30"/>
          <w:u w:val="none" w:color="auto"/>
        </w:rPr>
        <w:t>H</w:t>
      </w:r>
      <w:r>
        <w:rPr>
          <w:rFonts w:ascii="Arial" w:hAnsi="Arial" w:eastAsia="宋体" w:cs="Arial"/>
          <w:color w:val="auto"/>
          <w:sz w:val="24"/>
          <w:szCs w:val="30"/>
          <w:u w:val="none" w:color="auto"/>
        </w:rPr>
        <w:t>——从烟囱基座地面到建筑物顶部的垂直高度，m；</w:t>
      </w:r>
    </w:p>
    <w:p w14:paraId="78F05CE7">
      <w:pPr>
        <w:adjustRightInd w:val="0"/>
        <w:snapToGrid w:val="0"/>
        <w:spacing w:line="500" w:lineRule="exact"/>
        <w:ind w:firstLine="1200" w:firstLineChars="500"/>
        <w:rPr>
          <w:rFonts w:ascii="Arial" w:hAnsi="Arial" w:eastAsia="宋体" w:cs="Arial"/>
          <w:color w:val="auto"/>
          <w:sz w:val="24"/>
          <w:szCs w:val="30"/>
          <w:u w:val="none" w:color="auto"/>
        </w:rPr>
      </w:pP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——建筑物高度（BH）或建筑物投影宽度（PBW）的较小者，m。</w:t>
      </w:r>
    </w:p>
    <w:p w14:paraId="40705796">
      <w:pPr>
        <w:adjustRightInd w:val="0"/>
        <w:snapToGrid w:val="0"/>
        <w:spacing w:line="500" w:lineRule="exact"/>
        <w:ind w:firstLine="480" w:firstLineChars="200"/>
        <w:rPr>
          <w:rFonts w:ascii="Arial" w:hAnsi="Arial" w:eastAsia="宋体" w:cs="Arial"/>
          <w:color w:val="auto"/>
          <w:sz w:val="24"/>
          <w:szCs w:val="30"/>
          <w:u w:val="none" w:color="auto"/>
        </w:rPr>
      </w:pPr>
      <w:r>
        <w:rPr>
          <w:rFonts w:ascii="Arial" w:hAnsi="Arial" w:eastAsia="宋体" w:cs="Arial"/>
          <w:color w:val="auto"/>
          <w:sz w:val="24"/>
          <w:szCs w:val="30"/>
          <w:u w:val="none" w:color="auto"/>
        </w:rPr>
        <w:t>GEP的5</w:t>
      </w: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影响区域：每个建筑物在下风向会产生一个尾迹影响区，下风向影响最大距离为距建筑物5</w:t>
      </w: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处，迎风向影响最大距离为距建筑物2</w:t>
      </w: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处，侧风向影响最大距离为距建筑物0.5</w:t>
      </w: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处，即图4.2-3虚线范围内为建筑物影响区域。不同风向下的影响区是不同的，所有风向构成的一个完整的影响区域，即图4.2-5虚线范围内，称为GEP的5</w:t>
      </w:r>
      <w:r>
        <w:rPr>
          <w:rFonts w:ascii="Arial" w:hAnsi="Arial" w:eastAsia="宋体" w:cs="Arial"/>
          <w:i/>
          <w:color w:val="auto"/>
          <w:sz w:val="24"/>
          <w:szCs w:val="30"/>
          <w:u w:val="none" w:color="auto"/>
        </w:rPr>
        <w:t>L</w:t>
      </w:r>
      <w:r>
        <w:rPr>
          <w:rFonts w:ascii="Arial" w:hAnsi="Arial" w:eastAsia="宋体" w:cs="Arial"/>
          <w:color w:val="auto"/>
          <w:sz w:val="24"/>
          <w:szCs w:val="30"/>
          <w:u w:val="none" w:color="auto"/>
        </w:rPr>
        <w:t>影响区域，即建筑物下洗的最大影响范围。</w:t>
      </w:r>
    </w:p>
    <w:tbl>
      <w:tblPr>
        <w:tblStyle w:val="37"/>
        <w:tblW w:w="9299" w:type="dxa"/>
        <w:jc w:val="center"/>
        <w:tblLayout w:type="fixed"/>
        <w:tblCellMar>
          <w:top w:w="0" w:type="dxa"/>
          <w:left w:w="108" w:type="dxa"/>
          <w:bottom w:w="0" w:type="dxa"/>
          <w:right w:w="108" w:type="dxa"/>
        </w:tblCellMar>
      </w:tblPr>
      <w:tblGrid>
        <w:gridCol w:w="4649"/>
        <w:gridCol w:w="4650"/>
      </w:tblGrid>
      <w:tr w14:paraId="77AA3F9D">
        <w:tblPrEx>
          <w:tblCellMar>
            <w:top w:w="0" w:type="dxa"/>
            <w:left w:w="108" w:type="dxa"/>
            <w:bottom w:w="0" w:type="dxa"/>
            <w:right w:w="108" w:type="dxa"/>
          </w:tblCellMar>
        </w:tblPrEx>
        <w:trPr>
          <w:jc w:val="center"/>
        </w:trPr>
        <w:tc>
          <w:tcPr>
            <w:tcW w:w="4649" w:type="dxa"/>
            <w:tcBorders>
              <w:top w:val="nil"/>
              <w:left w:val="nil"/>
              <w:bottom w:val="nil"/>
              <w:right w:val="nil"/>
            </w:tcBorders>
          </w:tcPr>
          <w:p w14:paraId="4F951320">
            <w:pPr>
              <w:widowControl/>
              <w:adjustRightInd w:val="0"/>
              <w:snapToGrid w:val="0"/>
              <w:jc w:val="center"/>
              <w:rPr>
                <w:rFonts w:ascii="Arial" w:hAnsi="Arial" w:eastAsia="宋体" w:cs="Arial"/>
                <w:color w:val="auto"/>
                <w:sz w:val="21"/>
                <w:szCs w:val="21"/>
                <w:u w:val="none" w:color="auto"/>
              </w:rPr>
            </w:pPr>
            <w:r>
              <w:rPr>
                <w:rFonts w:ascii="Arial" w:hAnsi="Arial" w:eastAsia="宋体" w:cs="Arial"/>
                <w:color w:val="auto"/>
                <w:sz w:val="21"/>
                <w:szCs w:val="21"/>
                <w:u w:val="none" w:color="auto"/>
              </w:rPr>
              <w:drawing>
                <wp:inline distT="0" distB="0" distL="0" distR="0">
                  <wp:extent cx="2266950" cy="2324100"/>
                  <wp:effectExtent l="0" t="0" r="317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266950" cy="2324100"/>
                          </a:xfrm>
                          <a:prstGeom prst="rect">
                            <a:avLst/>
                          </a:prstGeom>
                          <a:noFill/>
                          <a:ln>
                            <a:noFill/>
                          </a:ln>
                        </pic:spPr>
                      </pic:pic>
                    </a:graphicData>
                  </a:graphic>
                </wp:inline>
              </w:drawing>
            </w:r>
          </w:p>
        </w:tc>
        <w:tc>
          <w:tcPr>
            <w:tcW w:w="4650" w:type="dxa"/>
            <w:tcBorders>
              <w:top w:val="nil"/>
              <w:left w:val="nil"/>
              <w:bottom w:val="nil"/>
              <w:right w:val="nil"/>
            </w:tcBorders>
          </w:tcPr>
          <w:p w14:paraId="469BD95B">
            <w:pPr>
              <w:widowControl/>
              <w:adjustRightInd w:val="0"/>
              <w:snapToGrid w:val="0"/>
              <w:jc w:val="center"/>
              <w:rPr>
                <w:rFonts w:ascii="Arial" w:hAnsi="Arial" w:eastAsia="宋体" w:cs="Arial"/>
                <w:color w:val="auto"/>
                <w:sz w:val="21"/>
                <w:szCs w:val="21"/>
                <w:u w:val="none" w:color="auto"/>
              </w:rPr>
            </w:pPr>
            <w:r>
              <w:rPr>
                <w:rFonts w:ascii="Arial" w:hAnsi="Arial" w:eastAsia="宋体" w:cs="Arial"/>
                <w:color w:val="auto"/>
                <w:sz w:val="21"/>
                <w:szCs w:val="21"/>
                <w:u w:val="none" w:color="auto"/>
              </w:rPr>
              <w:drawing>
                <wp:inline distT="0" distB="0" distL="0" distR="0">
                  <wp:extent cx="2381250" cy="234315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381250" cy="2343150"/>
                          </a:xfrm>
                          <a:prstGeom prst="rect">
                            <a:avLst/>
                          </a:prstGeom>
                          <a:noFill/>
                          <a:ln>
                            <a:noFill/>
                          </a:ln>
                        </pic:spPr>
                      </pic:pic>
                    </a:graphicData>
                  </a:graphic>
                </wp:inline>
              </w:drawing>
            </w:r>
          </w:p>
        </w:tc>
      </w:tr>
      <w:tr w14:paraId="1838584D">
        <w:tblPrEx>
          <w:tblCellMar>
            <w:top w:w="0" w:type="dxa"/>
            <w:left w:w="108" w:type="dxa"/>
            <w:bottom w:w="0" w:type="dxa"/>
            <w:right w:w="108" w:type="dxa"/>
          </w:tblCellMar>
        </w:tblPrEx>
        <w:trPr>
          <w:jc w:val="center"/>
        </w:trPr>
        <w:tc>
          <w:tcPr>
            <w:tcW w:w="4649" w:type="dxa"/>
            <w:tcBorders>
              <w:top w:val="nil"/>
              <w:left w:val="nil"/>
              <w:bottom w:val="nil"/>
              <w:right w:val="nil"/>
            </w:tcBorders>
          </w:tcPr>
          <w:p w14:paraId="7BC53702">
            <w:pPr>
              <w:numPr>
                <w:ilvl w:val="0"/>
                <w:numId w:val="13"/>
              </w:numPr>
              <w:spacing w:line="500" w:lineRule="exact"/>
              <w:jc w:val="center"/>
              <w:rPr>
                <w:rFonts w:ascii="Arial" w:hAnsi="Arial" w:eastAsia="宋体" w:cs="Arial"/>
                <w:b/>
                <w:color w:val="auto"/>
                <w:spacing w:val="10"/>
                <w:sz w:val="24"/>
                <w:u w:val="none" w:color="auto"/>
              </w:rPr>
            </w:pPr>
            <w:r>
              <w:rPr>
                <w:rFonts w:ascii="Arial" w:hAnsi="Arial" w:eastAsia="宋体" w:cs="Arial"/>
                <w:b/>
                <w:color w:val="auto"/>
                <w:spacing w:val="10"/>
                <w:sz w:val="24"/>
                <w:u w:val="none" w:color="auto"/>
              </w:rPr>
              <w:t>建筑物影响区域</w:t>
            </w:r>
          </w:p>
        </w:tc>
        <w:tc>
          <w:tcPr>
            <w:tcW w:w="4650" w:type="dxa"/>
            <w:tcBorders>
              <w:top w:val="nil"/>
              <w:left w:val="nil"/>
              <w:bottom w:val="nil"/>
              <w:right w:val="nil"/>
            </w:tcBorders>
          </w:tcPr>
          <w:p w14:paraId="3AB1A5DF">
            <w:pPr>
              <w:numPr>
                <w:ilvl w:val="0"/>
                <w:numId w:val="13"/>
              </w:numPr>
              <w:spacing w:line="500" w:lineRule="exact"/>
              <w:jc w:val="center"/>
              <w:rPr>
                <w:rFonts w:ascii="Arial" w:hAnsi="Arial" w:cs="Arial"/>
                <w:color w:val="auto"/>
                <w:u w:val="none" w:color="auto"/>
              </w:rPr>
            </w:pPr>
            <w:r>
              <w:rPr>
                <w:rFonts w:ascii="Arial" w:hAnsi="Arial" w:eastAsia="宋体" w:cs="Arial"/>
                <w:b/>
                <w:color w:val="auto"/>
                <w:spacing w:val="10"/>
                <w:sz w:val="24"/>
                <w:u w:val="none" w:color="auto"/>
              </w:rPr>
              <w:t>GEP的5L影响区域</w:t>
            </w:r>
          </w:p>
        </w:tc>
      </w:tr>
    </w:tbl>
    <w:p w14:paraId="783D2688">
      <w:pPr>
        <w:adjustRightInd w:val="0"/>
        <w:spacing w:line="500" w:lineRule="exact"/>
        <w:ind w:firstLine="480" w:firstLineChars="200"/>
        <w:contextualSpacing/>
        <w:rPr>
          <w:rFonts w:ascii="Arial" w:hAnsi="Arial" w:eastAsia="宋体" w:cs="Arial"/>
          <w:color w:val="auto"/>
          <w:sz w:val="24"/>
          <w:szCs w:val="30"/>
          <w:u w:val="none" w:color="auto"/>
        </w:rPr>
      </w:pPr>
      <w:r>
        <w:rPr>
          <w:rFonts w:ascii="Arial" w:hAnsi="Arial" w:eastAsia="宋体" w:cs="Arial"/>
          <w:color w:val="auto"/>
          <w:sz w:val="24"/>
          <w:szCs w:val="30"/>
          <w:u w:val="none" w:color="auto"/>
        </w:rPr>
        <w:t>根据计算，不需要考虑建筑物</w:t>
      </w:r>
      <w:r>
        <w:rPr>
          <w:rFonts w:hint="eastAsia" w:ascii="Arial" w:hAnsi="Arial" w:eastAsia="宋体" w:cs="Arial"/>
          <w:color w:val="auto"/>
          <w:sz w:val="24"/>
          <w:szCs w:val="30"/>
          <w:u w:val="none" w:color="auto"/>
          <w:lang w:eastAsia="zh-CN"/>
        </w:rPr>
        <w:t>下沉</w:t>
      </w:r>
      <w:r>
        <w:rPr>
          <w:rFonts w:ascii="Arial" w:hAnsi="Arial" w:eastAsia="宋体" w:cs="Arial"/>
          <w:color w:val="auto"/>
          <w:sz w:val="24"/>
          <w:szCs w:val="30"/>
          <w:u w:val="none" w:color="auto"/>
        </w:rPr>
        <w:t>。</w:t>
      </w:r>
    </w:p>
    <w:p w14:paraId="08CE119E">
      <w:pPr>
        <w:ind w:firstLine="482" w:firstLineChars="200"/>
        <w:rPr>
          <w:rFonts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7</w:t>
      </w:r>
      <w:r>
        <w:rPr>
          <w:rFonts w:ascii="Times New Roman" w:hAnsi="Times New Roman" w:eastAsia="宋体" w:cs="Times New Roman"/>
          <w:b/>
          <w:bCs/>
          <w:color w:val="auto"/>
          <w:sz w:val="24"/>
          <w:szCs w:val="24"/>
          <w:u w:val="none" w:color="auto"/>
        </w:rPr>
        <w:t>、预测情景</w:t>
      </w:r>
    </w:p>
    <w:p w14:paraId="2BAA585B">
      <w:pPr>
        <w:pStyle w:val="12"/>
        <w:adjustRightInd w:val="0"/>
        <w:spacing w:line="360" w:lineRule="auto"/>
        <w:ind w:firstLine="520" w:firstLineChars="200"/>
        <w:textAlignment w:val="baseline"/>
        <w:rPr>
          <w:rFonts w:ascii="Times New Roman" w:hAnsi="Times New Roman" w:cs="Times New Roman"/>
          <w:color w:val="auto"/>
          <w:szCs w:val="32"/>
          <w:u w:val="none" w:color="auto"/>
        </w:rPr>
      </w:pPr>
      <w:r>
        <w:rPr>
          <w:rFonts w:ascii="Times New Roman" w:hAnsi="Times New Roman" w:cs="Times New Roman"/>
          <w:color w:val="auto"/>
          <w:szCs w:val="32"/>
          <w:u w:val="none" w:color="auto"/>
        </w:rPr>
        <w:t>根据《环境影响评价技术导则 大气环境》（HJ2.2-2018）达标区评价项目预测内容和评价要求详见下表。</w:t>
      </w:r>
    </w:p>
    <w:p w14:paraId="09C2A6A2">
      <w:pPr>
        <w:autoSpaceDE w:val="0"/>
        <w:autoSpaceDN w:val="0"/>
        <w:spacing w:before="163" w:beforeLines="50"/>
        <w:contextualSpacing/>
        <w:jc w:val="center"/>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表</w:t>
      </w:r>
      <w:r>
        <w:rPr>
          <w:rFonts w:hint="eastAsia" w:ascii="Times New Roman" w:hAnsi="Times New Roman" w:eastAsia="宋体" w:cs="Times New Roman"/>
          <w:b/>
          <w:color w:val="auto"/>
          <w:kern w:val="0"/>
          <w:sz w:val="24"/>
          <w:szCs w:val="24"/>
          <w:u w:val="none" w:color="auto"/>
        </w:rPr>
        <w:t>4</w:t>
      </w:r>
      <w:r>
        <w:rPr>
          <w:rFonts w:ascii="Times New Roman" w:hAnsi="Times New Roman" w:eastAsia="宋体" w:cs="Times New Roman"/>
          <w:b/>
          <w:color w:val="auto"/>
          <w:kern w:val="0"/>
          <w:sz w:val="24"/>
          <w:szCs w:val="24"/>
          <w:u w:val="none" w:color="auto"/>
        </w:rPr>
        <w:t>.2-1</w:t>
      </w:r>
      <w:r>
        <w:rPr>
          <w:rFonts w:hint="eastAsia" w:ascii="Times New Roman" w:hAnsi="Times New Roman" w:eastAsia="宋体" w:cs="Times New Roman"/>
          <w:b/>
          <w:color w:val="auto"/>
          <w:kern w:val="0"/>
          <w:sz w:val="24"/>
          <w:szCs w:val="24"/>
          <w:u w:val="none" w:color="auto"/>
        </w:rPr>
        <w:t>6</w:t>
      </w:r>
      <w:r>
        <w:rPr>
          <w:rFonts w:ascii="Times New Roman" w:hAnsi="Times New Roman" w:eastAsia="宋体" w:cs="Times New Roman"/>
          <w:b/>
          <w:color w:val="auto"/>
          <w:kern w:val="0"/>
          <w:sz w:val="24"/>
          <w:szCs w:val="24"/>
          <w:u w:val="none" w:color="auto"/>
        </w:rPr>
        <w:t xml:space="preserve"> 预测因子与内容汇总</w:t>
      </w:r>
    </w:p>
    <w:tbl>
      <w:tblPr>
        <w:tblStyle w:val="37"/>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2433"/>
        <w:gridCol w:w="1863"/>
        <w:gridCol w:w="2126"/>
        <w:gridCol w:w="1809"/>
      </w:tblGrid>
      <w:tr w14:paraId="6614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57" w:type="dxa"/>
            <w:vAlign w:val="center"/>
          </w:tcPr>
          <w:p w14:paraId="274741CB">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评价对象</w:t>
            </w:r>
          </w:p>
        </w:tc>
        <w:tc>
          <w:tcPr>
            <w:tcW w:w="2433" w:type="dxa"/>
            <w:vAlign w:val="center"/>
          </w:tcPr>
          <w:p w14:paraId="2DAF0D6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污染源</w:t>
            </w:r>
          </w:p>
        </w:tc>
        <w:tc>
          <w:tcPr>
            <w:tcW w:w="1863" w:type="dxa"/>
            <w:vAlign w:val="center"/>
          </w:tcPr>
          <w:p w14:paraId="5EF74A47">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污染源排放形式</w:t>
            </w:r>
          </w:p>
        </w:tc>
        <w:tc>
          <w:tcPr>
            <w:tcW w:w="2126" w:type="dxa"/>
            <w:vAlign w:val="center"/>
          </w:tcPr>
          <w:p w14:paraId="7DD3931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预测内容</w:t>
            </w:r>
          </w:p>
        </w:tc>
        <w:tc>
          <w:tcPr>
            <w:tcW w:w="1809" w:type="dxa"/>
            <w:vAlign w:val="center"/>
          </w:tcPr>
          <w:p w14:paraId="51DDE89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评价内容</w:t>
            </w:r>
          </w:p>
        </w:tc>
      </w:tr>
      <w:tr w14:paraId="3177B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57" w:type="dxa"/>
            <w:vMerge w:val="restart"/>
            <w:vAlign w:val="center"/>
          </w:tcPr>
          <w:p w14:paraId="0F7F608C">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达标区评价项目</w:t>
            </w:r>
          </w:p>
        </w:tc>
        <w:tc>
          <w:tcPr>
            <w:tcW w:w="2433" w:type="dxa"/>
            <w:vAlign w:val="center"/>
          </w:tcPr>
          <w:p w14:paraId="6CADC29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新增污染源</w:t>
            </w:r>
          </w:p>
        </w:tc>
        <w:tc>
          <w:tcPr>
            <w:tcW w:w="1863" w:type="dxa"/>
            <w:vAlign w:val="center"/>
          </w:tcPr>
          <w:p w14:paraId="3239E7EC">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正常排放</w:t>
            </w:r>
          </w:p>
        </w:tc>
        <w:tc>
          <w:tcPr>
            <w:tcW w:w="2126" w:type="dxa"/>
            <w:vAlign w:val="center"/>
          </w:tcPr>
          <w:p w14:paraId="787EA21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短期浓度、长期浓度</w:t>
            </w:r>
          </w:p>
        </w:tc>
        <w:tc>
          <w:tcPr>
            <w:tcW w:w="1809" w:type="dxa"/>
            <w:vAlign w:val="center"/>
          </w:tcPr>
          <w:p w14:paraId="3B111A2B">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最大浓度占标率</w:t>
            </w:r>
          </w:p>
        </w:tc>
      </w:tr>
      <w:tr w14:paraId="19DDB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57" w:type="dxa"/>
            <w:vMerge w:val="continue"/>
            <w:vAlign w:val="center"/>
          </w:tcPr>
          <w:p w14:paraId="60F8674B">
            <w:pPr>
              <w:pStyle w:val="12"/>
              <w:spacing w:line="240" w:lineRule="auto"/>
              <w:ind w:firstLine="0"/>
              <w:jc w:val="center"/>
              <w:rPr>
                <w:rFonts w:ascii="Times New Roman" w:hAnsi="Times New Roman" w:cs="Times New Roman"/>
                <w:color w:val="auto"/>
                <w:sz w:val="21"/>
                <w:szCs w:val="21"/>
                <w:u w:val="none" w:color="auto"/>
              </w:rPr>
            </w:pPr>
          </w:p>
        </w:tc>
        <w:tc>
          <w:tcPr>
            <w:tcW w:w="2433" w:type="dxa"/>
            <w:vAlign w:val="center"/>
          </w:tcPr>
          <w:p w14:paraId="2E430CF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新增污染源</w:t>
            </w:r>
          </w:p>
          <w:p w14:paraId="6959A466">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w:t>
            </w:r>
          </w:p>
          <w:p w14:paraId="020509DB">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“以新带老”污染源（如有）</w:t>
            </w:r>
          </w:p>
          <w:p w14:paraId="18A7FFCD">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w:t>
            </w:r>
          </w:p>
          <w:p w14:paraId="7559D861">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区域削减污染源（如有）</w:t>
            </w:r>
          </w:p>
          <w:p w14:paraId="41A41996">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w:t>
            </w:r>
          </w:p>
          <w:p w14:paraId="19A345CE">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其他在建、拟建污染源</w:t>
            </w:r>
          </w:p>
          <w:p w14:paraId="26913B22">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（如有）</w:t>
            </w:r>
          </w:p>
        </w:tc>
        <w:tc>
          <w:tcPr>
            <w:tcW w:w="1863" w:type="dxa"/>
            <w:vAlign w:val="center"/>
          </w:tcPr>
          <w:p w14:paraId="39F0291C">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正常排放</w:t>
            </w:r>
          </w:p>
        </w:tc>
        <w:tc>
          <w:tcPr>
            <w:tcW w:w="2126" w:type="dxa"/>
            <w:vAlign w:val="center"/>
          </w:tcPr>
          <w:p w14:paraId="644E22B8">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短期浓度</w:t>
            </w:r>
          </w:p>
          <w:p w14:paraId="1509B781">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长期浓度</w:t>
            </w:r>
          </w:p>
        </w:tc>
        <w:tc>
          <w:tcPr>
            <w:tcW w:w="1809" w:type="dxa"/>
            <w:vAlign w:val="center"/>
          </w:tcPr>
          <w:p w14:paraId="15B605E8">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叠加环境质量现状浓度后的保证率日平均质量浓度和年平均质量浓度的占标率，或短浓度的达标情况</w:t>
            </w:r>
          </w:p>
        </w:tc>
      </w:tr>
      <w:tr w14:paraId="5C228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57" w:type="dxa"/>
            <w:vMerge w:val="continue"/>
            <w:vAlign w:val="center"/>
          </w:tcPr>
          <w:p w14:paraId="4489DFD3">
            <w:pPr>
              <w:pStyle w:val="12"/>
              <w:spacing w:line="240" w:lineRule="auto"/>
              <w:ind w:firstLine="0"/>
              <w:jc w:val="center"/>
              <w:rPr>
                <w:rFonts w:ascii="Times New Roman" w:hAnsi="Times New Roman" w:cs="Times New Roman"/>
                <w:color w:val="auto"/>
                <w:sz w:val="21"/>
                <w:szCs w:val="21"/>
                <w:u w:val="none" w:color="auto"/>
              </w:rPr>
            </w:pPr>
          </w:p>
        </w:tc>
        <w:tc>
          <w:tcPr>
            <w:tcW w:w="2433" w:type="dxa"/>
            <w:vAlign w:val="center"/>
          </w:tcPr>
          <w:p w14:paraId="1D3943B9">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新增污染源</w:t>
            </w:r>
          </w:p>
        </w:tc>
        <w:tc>
          <w:tcPr>
            <w:tcW w:w="1863" w:type="dxa"/>
            <w:vAlign w:val="center"/>
          </w:tcPr>
          <w:p w14:paraId="354E8CB6">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非正常排放</w:t>
            </w:r>
          </w:p>
        </w:tc>
        <w:tc>
          <w:tcPr>
            <w:tcW w:w="2126" w:type="dxa"/>
            <w:vAlign w:val="center"/>
          </w:tcPr>
          <w:p w14:paraId="22690F46">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1h平均质量浓度</w:t>
            </w:r>
          </w:p>
        </w:tc>
        <w:tc>
          <w:tcPr>
            <w:tcW w:w="1809" w:type="dxa"/>
            <w:vAlign w:val="center"/>
          </w:tcPr>
          <w:p w14:paraId="5A08280B">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最大浓度占标率</w:t>
            </w:r>
          </w:p>
        </w:tc>
      </w:tr>
      <w:tr w14:paraId="4B343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57" w:type="dxa"/>
            <w:vAlign w:val="center"/>
          </w:tcPr>
          <w:p w14:paraId="2A62513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大气环境防护距离</w:t>
            </w:r>
          </w:p>
        </w:tc>
        <w:tc>
          <w:tcPr>
            <w:tcW w:w="2433" w:type="dxa"/>
            <w:vAlign w:val="center"/>
          </w:tcPr>
          <w:p w14:paraId="0BA15D4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新增污染源</w:t>
            </w:r>
          </w:p>
          <w:p w14:paraId="04BD21D8">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w:t>
            </w:r>
          </w:p>
          <w:p w14:paraId="2C648F6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“以新带老”污染源（如有）</w:t>
            </w:r>
          </w:p>
          <w:p w14:paraId="7100412E">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w:t>
            </w:r>
          </w:p>
          <w:p w14:paraId="2B52638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项目全厂现有污染源</w:t>
            </w:r>
          </w:p>
        </w:tc>
        <w:tc>
          <w:tcPr>
            <w:tcW w:w="1863" w:type="dxa"/>
            <w:vAlign w:val="center"/>
          </w:tcPr>
          <w:p w14:paraId="4B1DDAC7">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正常排放</w:t>
            </w:r>
          </w:p>
        </w:tc>
        <w:tc>
          <w:tcPr>
            <w:tcW w:w="2126" w:type="dxa"/>
            <w:vAlign w:val="center"/>
          </w:tcPr>
          <w:p w14:paraId="693CBC40">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短期浓度</w:t>
            </w:r>
          </w:p>
        </w:tc>
        <w:tc>
          <w:tcPr>
            <w:tcW w:w="1809" w:type="dxa"/>
            <w:vAlign w:val="center"/>
          </w:tcPr>
          <w:p w14:paraId="2ACC7DF5">
            <w:pPr>
              <w:pStyle w:val="12"/>
              <w:spacing w:line="240" w:lineRule="auto"/>
              <w:ind w:firstLine="0"/>
              <w:jc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rPr>
              <w:t>大气环境防护距离</w:t>
            </w:r>
          </w:p>
        </w:tc>
      </w:tr>
    </w:tbl>
    <w:p w14:paraId="0D691C9F">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p>
    <w:p w14:paraId="2C4B8C85">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single" w:color="auto"/>
        </w:rPr>
      </w:pPr>
      <w:bookmarkStart w:id="228" w:name="_Toc3728238"/>
      <w:bookmarkStart w:id="229" w:name="_Toc402252597"/>
      <w:bookmarkStart w:id="230" w:name="_Toc287968277"/>
      <w:r>
        <w:rPr>
          <w:rFonts w:hint="eastAsia" w:ascii="Times New Roman" w:hAnsi="Times New Roman" w:eastAsia="宋体" w:cs="Times New Roman"/>
          <w:b/>
          <w:color w:val="auto"/>
          <w:kern w:val="0"/>
          <w:sz w:val="28"/>
          <w:szCs w:val="20"/>
          <w:u w:val="single" w:color="auto"/>
        </w:rPr>
        <w:t>4</w:t>
      </w:r>
      <w:r>
        <w:rPr>
          <w:rFonts w:ascii="Times New Roman" w:hAnsi="Times New Roman" w:eastAsia="宋体" w:cs="Times New Roman"/>
          <w:b/>
          <w:color w:val="auto"/>
          <w:kern w:val="0"/>
          <w:sz w:val="28"/>
          <w:szCs w:val="20"/>
          <w:u w:val="single" w:color="auto"/>
        </w:rPr>
        <w:t>.2.4预测结果与分析评价</w:t>
      </w:r>
      <w:bookmarkEnd w:id="228"/>
      <w:bookmarkEnd w:id="229"/>
      <w:bookmarkEnd w:id="230"/>
    </w:p>
    <w:p w14:paraId="28194F8D">
      <w:pPr>
        <w:tabs>
          <w:tab w:val="left" w:pos="851"/>
        </w:tabs>
        <w:autoSpaceDE w:val="0"/>
        <w:autoSpaceDN w:val="0"/>
        <w:adjustRightInd w:val="0"/>
        <w:snapToGrid w:val="0"/>
        <w:spacing w:beforeLines="0" w:afterLines="0" w:line="360" w:lineRule="auto"/>
        <w:ind w:firstLine="480" w:firstLineChars="200"/>
        <w:jc w:val="left"/>
        <w:rPr>
          <w:rFonts w:hint="eastAsia" w:ascii="Times New Roman" w:hAnsi="Times New Roman" w:eastAsia="Times New Roman"/>
          <w:b/>
          <w:color w:val="auto"/>
          <w:kern w:val="0"/>
          <w:sz w:val="24"/>
          <w:szCs w:val="24"/>
          <w:u w:val="single" w:color="auto"/>
        </w:rPr>
      </w:pPr>
      <w:r>
        <w:rPr>
          <w:rFonts w:hint="eastAsia" w:ascii="Times New Roman" w:hAnsi="Times New Roman" w:eastAsia="Times New Roman"/>
          <w:b/>
          <w:color w:val="auto"/>
          <w:kern w:val="0"/>
          <w:sz w:val="24"/>
          <w:szCs w:val="24"/>
          <w:u w:val="single" w:color="auto"/>
        </w:rPr>
        <w:t>1</w:t>
      </w:r>
      <w:r>
        <w:rPr>
          <w:rFonts w:hint="default" w:ascii="宋体" w:hAnsi="Times New Roman" w:eastAsia="宋体"/>
          <w:b/>
          <w:color w:val="auto"/>
          <w:kern w:val="0"/>
          <w:sz w:val="24"/>
          <w:szCs w:val="24"/>
          <w:u w:val="single" w:color="auto"/>
        </w:rPr>
        <w:t>、正常工况预测结果</w:t>
      </w:r>
    </w:p>
    <w:p w14:paraId="66B147E5">
      <w:pPr>
        <w:autoSpaceDE w:val="0"/>
        <w:autoSpaceDN w:val="0"/>
        <w:adjustRightInd w:val="0"/>
        <w:snapToGrid w:val="0"/>
        <w:spacing w:beforeLines="0" w:afterLines="0" w:line="360" w:lineRule="auto"/>
        <w:ind w:firstLine="482" w:firstLineChars="200"/>
        <w:rPr>
          <w:rFonts w:hint="default" w:ascii="Times New Roman" w:hAnsi="Times New Roman" w:eastAsia="宋体"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1）TSP</w:t>
      </w:r>
    </w:p>
    <w:p w14:paraId="2E348B7B">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环境敏感点地面质量浓度汇总见表4.2</w:t>
      </w:r>
      <w:r>
        <w:rPr>
          <w:rFonts w:hint="default" w:ascii="Times New Roman" w:hAnsi="Times New Roman" w:eastAsia="Times New Roman" w:cs="Times New Roman"/>
          <w:color w:val="auto"/>
          <w:kern w:val="0"/>
          <w:sz w:val="24"/>
          <w:szCs w:val="24"/>
          <w:u w:val="single" w:color="auto"/>
        </w:rPr>
        <w:t>-1</w:t>
      </w:r>
      <w:r>
        <w:rPr>
          <w:rFonts w:hint="default" w:ascii="Times New Roman" w:hAnsi="Times New Roman" w:eastAsia="宋体" w:cs="Times New Roman"/>
          <w:color w:val="auto"/>
          <w:kern w:val="0"/>
          <w:sz w:val="24"/>
          <w:szCs w:val="24"/>
          <w:u w:val="single" w:color="auto"/>
        </w:rPr>
        <w:t>7和表4.2-18。</w:t>
      </w:r>
    </w:p>
    <w:p w14:paraId="4744B997">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-1</w:t>
      </w:r>
      <w:r>
        <w:rPr>
          <w:rFonts w:hint="default" w:ascii="Times New Roman" w:hAnsi="Times New Roman" w:eastAsia="宋体" w:cs="Times New Roman"/>
          <w:b/>
          <w:color w:val="auto"/>
          <w:kern w:val="0"/>
          <w:sz w:val="24"/>
          <w:szCs w:val="24"/>
          <w:u w:val="single" w:color="auto"/>
        </w:rPr>
        <w:t>7</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环境敏感点TSP贡献质量浓度汇总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
        <w:gridCol w:w="2380"/>
        <w:gridCol w:w="1217"/>
        <w:gridCol w:w="1275"/>
        <w:gridCol w:w="1092"/>
        <w:gridCol w:w="1034"/>
        <w:gridCol w:w="941"/>
      </w:tblGrid>
      <w:tr w14:paraId="1EBED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3991896">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73786A54">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5BD4BC97">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2488B961">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5B4896FD">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14052345">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65A0ABCB">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051B7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7524BAC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77EA08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7B2DDA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30F551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1.2788</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436719E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230816</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0AD3E3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0.43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70866DE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04071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7E14104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2C8BB9B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721B8C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337DA5A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1.5266</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48F1E3E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231026</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0F70787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0.51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140B603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2A8EA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BAE718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06ED77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4A2397C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0226143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1.0581</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3B8717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230228</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FD906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0.35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3B817F6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5FFC5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5BFED78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687620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30D760F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2D9D32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0.6227</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1D4F0AF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231002</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9ED3F5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0.21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4CC9558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32123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5518E67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1D163A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78A92D9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73CF155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0.6361</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2211C5D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230627</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79E4DFA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0.21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5E8190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45A33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2DEBE7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087230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39E080F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22A53E5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1.2812</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69F161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231124</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673F64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0.43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6475C19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72072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11DE3DA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7BB411E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0C71A4C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6974200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0.8915</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5AB71D3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231001</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0D104B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0.30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4EEDEB1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268F0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4EEFB60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14F6341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-400,150</w:t>
            </w:r>
            <w:r>
              <w:rPr>
                <w:rFonts w:hint="eastAsia" w:ascii="宋体" w:hAnsi="宋体" w:eastAsia="宋体" w:cs="宋体"/>
                <w:i w:val="0"/>
                <w:iCs w:val="0"/>
                <w:color w:val="auto"/>
                <w:kern w:val="0"/>
                <w:sz w:val="21"/>
                <w:szCs w:val="21"/>
                <w:u w:val="none"/>
                <w:lang w:val="en-US" w:eastAsia="zh-CN" w:bidi="ar"/>
              </w:rPr>
              <w:t>）</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2983883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0052412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15.7298</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4E0DD14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230413</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0510611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5.24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23A23A2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6B43F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5A1F842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9</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68C361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0146F26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62032E3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0.0422</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5E9B664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0834FAF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0.02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1FCE0E9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1485D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1B8786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10</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1A7E8C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6C95462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35534FC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0.1182</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0E23B1A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94C99E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1650A8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66D46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54DDB6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11</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35CC4F7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7380E9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258E436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0.0774</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549C633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290811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72B68B9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22D9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1AB80EA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12</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0D8840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2878442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4708318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0.0349</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7C8DB37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85130C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0.02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015C9CD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73C4E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2816A52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13</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4CC8B1B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07FBA06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09B0FDE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0.0554</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2F4D36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5A35BD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0.03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4A4F1D2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4FEF6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2E5E1CE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14</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6F22E40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696E9BB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5C49BC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0.0667</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2E0B167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64DF33E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0.03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4EAB0CB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62AC2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0660A4B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15</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0821DD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1F09BC9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3BD2A0F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0.063</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7F51B9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3AEB6FE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0.03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4C09A92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51B85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38" w:type="pct"/>
            <w:tcBorders>
              <w:top w:val="single" w:color="auto" w:sz="4" w:space="0"/>
              <w:left w:val="single" w:color="auto" w:sz="4" w:space="0"/>
              <w:bottom w:val="single" w:color="auto" w:sz="4" w:space="0"/>
              <w:right w:val="single" w:color="auto" w:sz="4" w:space="0"/>
              <w:tl2br w:val="nil"/>
              <w:tr2bl w:val="nil"/>
            </w:tcBorders>
            <w:noWrap/>
            <w:vAlign w:val="center"/>
          </w:tcPr>
          <w:p w14:paraId="1775171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16</w:t>
            </w:r>
          </w:p>
        </w:tc>
        <w:tc>
          <w:tcPr>
            <w:tcW w:w="1397" w:type="pct"/>
            <w:tcBorders>
              <w:top w:val="single" w:color="auto" w:sz="4" w:space="0"/>
              <w:left w:val="single" w:color="auto" w:sz="4" w:space="0"/>
              <w:bottom w:val="single" w:color="auto" w:sz="4" w:space="0"/>
              <w:right w:val="single" w:color="auto" w:sz="4" w:space="0"/>
              <w:tl2br w:val="nil"/>
              <w:tr2bl w:val="nil"/>
            </w:tcBorders>
            <w:noWrap/>
            <w:vAlign w:val="center"/>
          </w:tcPr>
          <w:p w14:paraId="3B02C3E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-200,-50</w:t>
            </w:r>
            <w:r>
              <w:rPr>
                <w:rFonts w:hint="eastAsia" w:ascii="宋体" w:hAnsi="宋体" w:eastAsia="宋体" w:cs="宋体"/>
                <w:i w:val="0"/>
                <w:iCs w:val="0"/>
                <w:color w:val="auto"/>
                <w:kern w:val="0"/>
                <w:sz w:val="21"/>
                <w:szCs w:val="21"/>
                <w:u w:val="none"/>
                <w:lang w:val="en-US" w:eastAsia="zh-CN" w:bidi="ar"/>
              </w:rPr>
              <w:t>）</w:t>
            </w:r>
          </w:p>
        </w:tc>
        <w:tc>
          <w:tcPr>
            <w:tcW w:w="714" w:type="pct"/>
            <w:tcBorders>
              <w:top w:val="single" w:color="auto" w:sz="4" w:space="0"/>
              <w:left w:val="single" w:color="auto" w:sz="4" w:space="0"/>
              <w:bottom w:val="single" w:color="auto" w:sz="4" w:space="0"/>
              <w:right w:val="single" w:color="auto" w:sz="4" w:space="0"/>
              <w:tl2br w:val="nil"/>
              <w:tr2bl w:val="nil"/>
            </w:tcBorders>
            <w:noWrap/>
            <w:vAlign w:val="center"/>
          </w:tcPr>
          <w:p w14:paraId="3B29CCE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748" w:type="pct"/>
            <w:tcBorders>
              <w:top w:val="single" w:color="auto" w:sz="4" w:space="0"/>
              <w:left w:val="single" w:color="auto" w:sz="4" w:space="0"/>
              <w:bottom w:val="single" w:color="auto" w:sz="4" w:space="0"/>
              <w:right w:val="single" w:color="auto" w:sz="4" w:space="0"/>
              <w:tl2br w:val="nil"/>
              <w:tr2bl w:val="nil"/>
            </w:tcBorders>
            <w:noWrap/>
            <w:vAlign w:val="center"/>
          </w:tcPr>
          <w:p w14:paraId="5270B5E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5.5744</w:t>
            </w:r>
          </w:p>
        </w:tc>
        <w:tc>
          <w:tcPr>
            <w:tcW w:w="641" w:type="pct"/>
            <w:tcBorders>
              <w:top w:val="single" w:color="auto" w:sz="4" w:space="0"/>
              <w:left w:val="single" w:color="auto" w:sz="4" w:space="0"/>
              <w:bottom w:val="single" w:color="auto" w:sz="4" w:space="0"/>
              <w:right w:val="single" w:color="auto" w:sz="4" w:space="0"/>
              <w:tl2br w:val="nil"/>
              <w:tr2bl w:val="nil"/>
            </w:tcBorders>
            <w:noWrap/>
            <w:vAlign w:val="center"/>
          </w:tcPr>
          <w:p w14:paraId="626C75C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607" w:type="pct"/>
            <w:tcBorders>
              <w:top w:val="single" w:color="auto" w:sz="4" w:space="0"/>
              <w:left w:val="single" w:color="auto" w:sz="4" w:space="0"/>
              <w:bottom w:val="single" w:color="auto" w:sz="4" w:space="0"/>
              <w:right w:val="single" w:color="auto" w:sz="4" w:space="0"/>
              <w:tl2br w:val="nil"/>
              <w:tr2bl w:val="nil"/>
            </w:tcBorders>
            <w:noWrap/>
            <w:vAlign w:val="center"/>
          </w:tcPr>
          <w:p w14:paraId="033890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2.79 </w:t>
            </w:r>
          </w:p>
        </w:tc>
        <w:tc>
          <w:tcPr>
            <w:tcW w:w="552" w:type="pct"/>
            <w:tcBorders>
              <w:top w:val="single" w:color="auto" w:sz="4" w:space="0"/>
              <w:left w:val="single" w:color="auto" w:sz="4" w:space="0"/>
              <w:bottom w:val="single" w:color="auto" w:sz="4" w:space="0"/>
              <w:right w:val="single" w:color="auto" w:sz="4" w:space="0"/>
              <w:tl2br w:val="nil"/>
              <w:tr2bl w:val="nil"/>
            </w:tcBorders>
            <w:noWrap/>
            <w:vAlign w:val="center"/>
          </w:tcPr>
          <w:p w14:paraId="2499AAD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bl>
    <w:p w14:paraId="07D48409">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-1</w:t>
      </w:r>
      <w:r>
        <w:rPr>
          <w:rFonts w:hint="default" w:ascii="Times New Roman" w:hAnsi="Times New Roman" w:eastAsia="宋体" w:cs="Times New Roman"/>
          <w:b/>
          <w:color w:val="auto"/>
          <w:kern w:val="0"/>
          <w:sz w:val="24"/>
          <w:szCs w:val="24"/>
          <w:u w:val="single" w:color="auto"/>
        </w:rPr>
        <w:t>8</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环境敏感点TSP叠加后质量浓度汇总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384"/>
        <w:gridCol w:w="1001"/>
        <w:gridCol w:w="1317"/>
        <w:gridCol w:w="1200"/>
        <w:gridCol w:w="919"/>
        <w:gridCol w:w="1328"/>
        <w:gridCol w:w="919"/>
      </w:tblGrid>
      <w:tr w14:paraId="312A5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4641278A">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812" w:type="pct"/>
            <w:tcBorders>
              <w:top w:val="single" w:color="auto" w:sz="4" w:space="0"/>
              <w:left w:val="single" w:color="auto" w:sz="4" w:space="0"/>
              <w:bottom w:val="single" w:color="auto" w:sz="4" w:space="0"/>
              <w:right w:val="single" w:color="auto" w:sz="4" w:space="0"/>
              <w:tl2br w:val="nil"/>
              <w:tr2bl w:val="nil"/>
            </w:tcBorders>
            <w:noWrap/>
            <w:vAlign w:val="center"/>
          </w:tcPr>
          <w:p w14:paraId="3E2D747D">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87" w:type="pct"/>
            <w:tcBorders>
              <w:top w:val="single" w:color="auto" w:sz="4" w:space="0"/>
              <w:left w:val="single" w:color="auto" w:sz="4" w:space="0"/>
              <w:bottom w:val="single" w:color="auto" w:sz="4" w:space="0"/>
              <w:right w:val="single" w:color="auto" w:sz="4" w:space="0"/>
              <w:tl2br w:val="nil"/>
              <w:tr2bl w:val="nil"/>
            </w:tcBorders>
            <w:noWrap/>
            <w:vAlign w:val="center"/>
          </w:tcPr>
          <w:p w14:paraId="6F1D9CBB">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773" w:type="pct"/>
            <w:tcBorders>
              <w:top w:val="single" w:color="auto" w:sz="4" w:space="0"/>
              <w:left w:val="single" w:color="auto" w:sz="4" w:space="0"/>
              <w:bottom w:val="single" w:color="auto" w:sz="4" w:space="0"/>
              <w:right w:val="single" w:color="auto" w:sz="4" w:space="0"/>
              <w:tl2br w:val="nil"/>
              <w:tr2bl w:val="nil"/>
            </w:tcBorders>
            <w:noWrap/>
            <w:vAlign w:val="center"/>
          </w:tcPr>
          <w:p w14:paraId="649AC3BA">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叠加在建拟建源后浓度增值（</w:t>
            </w:r>
            <w:r>
              <w:rPr>
                <w:rStyle w:val="171"/>
                <w:rFonts w:hint="default" w:ascii="Times New Roman" w:hAnsi="Times New Roman" w:cs="Times New Roman"/>
                <w:color w:val="auto"/>
                <w:sz w:val="21"/>
                <w:szCs w:val="21"/>
                <w:u w:val="single" w:color="auto"/>
                <w:lang w:bidi="ar"/>
              </w:rPr>
              <w:t>μg/m</w:t>
            </w:r>
            <w:r>
              <w:rPr>
                <w:rStyle w:val="172"/>
                <w:rFonts w:hint="default" w:ascii="Times New Roman" w:hAnsi="Times New Roman" w:cs="Times New Roman"/>
                <w:color w:val="auto"/>
                <w:sz w:val="21"/>
                <w:szCs w:val="21"/>
                <w:u w:val="single" w:color="auto"/>
                <w:lang w:bidi="ar"/>
              </w:rPr>
              <w:t>3</w:t>
            </w:r>
            <w:r>
              <w:rPr>
                <w:rFonts w:hint="default" w:ascii="Times New Roman" w:hAnsi="Times New Roman" w:eastAsia="宋体" w:cs="Times New Roman"/>
                <w:b/>
                <w:color w:val="auto"/>
                <w:kern w:val="0"/>
                <w:sz w:val="21"/>
                <w:szCs w:val="21"/>
                <w:u w:val="single" w:color="auto"/>
                <w:lang w:bidi="ar"/>
              </w:rPr>
              <w:t>）</w:t>
            </w:r>
          </w:p>
        </w:tc>
        <w:tc>
          <w:tcPr>
            <w:tcW w:w="704" w:type="pct"/>
            <w:tcBorders>
              <w:top w:val="single" w:color="auto" w:sz="4" w:space="0"/>
              <w:left w:val="single" w:color="auto" w:sz="4" w:space="0"/>
              <w:bottom w:val="single" w:color="auto" w:sz="4" w:space="0"/>
              <w:right w:val="single" w:color="auto" w:sz="4" w:space="0"/>
              <w:tl2br w:val="nil"/>
              <w:tr2bl w:val="nil"/>
            </w:tcBorders>
            <w:noWrap/>
            <w:vAlign w:val="center"/>
          </w:tcPr>
          <w:p w14:paraId="7F4764FC">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539" w:type="pct"/>
            <w:tcBorders>
              <w:top w:val="single" w:color="auto" w:sz="4" w:space="0"/>
              <w:left w:val="single" w:color="auto" w:sz="4" w:space="0"/>
              <w:bottom w:val="single" w:color="auto" w:sz="4" w:space="0"/>
              <w:right w:val="single" w:color="auto" w:sz="4" w:space="0"/>
              <w:tl2br w:val="nil"/>
              <w:tr2bl w:val="nil"/>
            </w:tcBorders>
            <w:noWrap/>
            <w:vAlign w:val="center"/>
          </w:tcPr>
          <w:p w14:paraId="27C9A679">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779" w:type="pct"/>
            <w:tcBorders>
              <w:top w:val="single" w:color="auto" w:sz="4" w:space="0"/>
              <w:left w:val="single" w:color="auto" w:sz="4" w:space="0"/>
              <w:bottom w:val="single" w:color="auto" w:sz="4" w:space="0"/>
              <w:right w:val="single" w:color="auto" w:sz="4" w:space="0"/>
              <w:tl2br w:val="nil"/>
              <w:tr2bl w:val="nil"/>
            </w:tcBorders>
            <w:noWrap/>
            <w:vAlign w:val="center"/>
          </w:tcPr>
          <w:p w14:paraId="41BC6C32">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叠加后浓度（</w:t>
            </w:r>
            <w:r>
              <w:rPr>
                <w:rStyle w:val="171"/>
                <w:rFonts w:hint="default" w:ascii="Times New Roman" w:hAnsi="Times New Roman" w:cs="Times New Roman"/>
                <w:color w:val="auto"/>
                <w:sz w:val="21"/>
                <w:szCs w:val="21"/>
                <w:u w:val="single" w:color="auto"/>
                <w:lang w:bidi="ar"/>
              </w:rPr>
              <w:t>μg/m</w:t>
            </w:r>
            <w:r>
              <w:rPr>
                <w:rStyle w:val="172"/>
                <w:rFonts w:hint="default" w:ascii="Times New Roman" w:hAnsi="Times New Roman" w:cs="Times New Roman"/>
                <w:color w:val="auto"/>
                <w:sz w:val="21"/>
                <w:szCs w:val="21"/>
                <w:u w:val="single" w:color="auto"/>
                <w:lang w:bidi="ar"/>
              </w:rPr>
              <w:t>3</w:t>
            </w:r>
            <w:r>
              <w:rPr>
                <w:rFonts w:hint="default" w:ascii="Times New Roman" w:hAnsi="Times New Roman" w:eastAsia="宋体" w:cs="Times New Roman"/>
                <w:b/>
                <w:color w:val="auto"/>
                <w:kern w:val="0"/>
                <w:sz w:val="21"/>
                <w:szCs w:val="21"/>
                <w:u w:val="single" w:color="auto"/>
                <w:lang w:bidi="ar"/>
              </w:rPr>
              <w:t>）</w:t>
            </w:r>
          </w:p>
        </w:tc>
        <w:tc>
          <w:tcPr>
            <w:tcW w:w="539" w:type="pct"/>
            <w:tcBorders>
              <w:top w:val="single" w:color="auto" w:sz="4" w:space="0"/>
              <w:left w:val="single" w:color="auto" w:sz="4" w:space="0"/>
              <w:bottom w:val="single" w:color="auto" w:sz="4" w:space="0"/>
              <w:right w:val="single" w:color="auto" w:sz="4" w:space="0"/>
              <w:tl2br w:val="nil"/>
              <w:tr2bl w:val="nil"/>
            </w:tcBorders>
            <w:noWrap/>
            <w:vAlign w:val="center"/>
          </w:tcPr>
          <w:p w14:paraId="7DCB655A">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r>
      <w:tr w14:paraId="6E74E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2FD9379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A12DFF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45CA9CF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2FA5782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14.5464</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56800E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230419</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18D3EFB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4.85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0242D12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152.5464</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6CFD96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50.85 </w:t>
            </w:r>
          </w:p>
        </w:tc>
      </w:tr>
      <w:tr w14:paraId="7CEA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547C786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6BA407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0991BAF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74F51A3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13.671</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588864F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230315</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D0B5CE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4.56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4D43957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151.671</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6298A10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50.56 </w:t>
            </w:r>
          </w:p>
        </w:tc>
      </w:tr>
      <w:tr w14:paraId="399ED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34C5589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BFB60B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4CDA6FD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6F41B3F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8.5059</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07721A7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230315</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20A36FC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2.84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333D905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146.5059</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548B34C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48.84 </w:t>
            </w:r>
          </w:p>
        </w:tc>
      </w:tr>
      <w:tr w14:paraId="57408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275C185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1AE1764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310EFEF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73EBA65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14.378</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015EAF7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230920</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24FB93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4.79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0E1E75F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152.378</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B0DE10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50.79 </w:t>
            </w:r>
          </w:p>
        </w:tc>
      </w:tr>
      <w:tr w14:paraId="71FE8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229BE4C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3FC6D8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7691625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3AB00CC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7.9376</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0C93397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231215</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16E3721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2.65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1B63EC8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145.9376</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6FCD1B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48.65 </w:t>
            </w:r>
          </w:p>
        </w:tc>
      </w:tr>
      <w:tr w14:paraId="5CE02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3001CA0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03B929D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7862747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5C0BF90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11.032</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7946F62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231215</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21FF304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3.68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44E8CCA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149.032</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216CB52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49.68 </w:t>
            </w:r>
          </w:p>
        </w:tc>
      </w:tr>
      <w:tr w14:paraId="42A74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627022D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1DFAE6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5FF1A15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6D14B05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7.649</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673BE97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230419</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220F5FA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2.55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1059B61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145.649</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3FC80A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48.55 </w:t>
            </w:r>
          </w:p>
        </w:tc>
      </w:tr>
      <w:tr w14:paraId="7958F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2C91FBD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911C76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网格（2250</w:t>
            </w:r>
            <w:r>
              <w:rPr>
                <w:rFonts w:hint="default" w:ascii="Times New Roman" w:hAnsi="Times New Roman" w:eastAsia="宋体" w:cs="Times New Roman"/>
                <w:i w:val="0"/>
                <w:iCs w:val="0"/>
                <w:color w:val="auto"/>
                <w:kern w:val="0"/>
                <w:sz w:val="21"/>
                <w:szCs w:val="21"/>
                <w:u w:val="none"/>
                <w:lang w:val="en-US" w:eastAsia="zh-CN" w:bidi="ar"/>
              </w:rPr>
              <w:t>,-1600</w:t>
            </w:r>
            <w:r>
              <w:rPr>
                <w:rFonts w:hint="eastAsia" w:ascii="宋体" w:hAnsi="宋体" w:eastAsia="宋体" w:cs="宋体"/>
                <w:i w:val="0"/>
                <w:iCs w:val="0"/>
                <w:color w:val="auto"/>
                <w:kern w:val="0"/>
                <w:sz w:val="21"/>
                <w:szCs w:val="21"/>
                <w:u w:val="none"/>
                <w:lang w:val="en-US" w:eastAsia="zh-CN" w:bidi="ar"/>
              </w:rPr>
              <w:t>）</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079C97B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28D4116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122.7371</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6EC477D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231115</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F9682D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40.91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5D4B7D8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260.7384</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86501C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86.91 </w:t>
            </w:r>
          </w:p>
        </w:tc>
      </w:tr>
      <w:tr w14:paraId="3CC76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74B1AD3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9</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A2186D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037498A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4B74F45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1.7235</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1D1BA54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485279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0.86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723A07E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7A501A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44C8A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1494D66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10</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44B535D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28AB3AC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284944B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0.8099</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34606AE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60F7952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0.40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6A5D561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B8FE79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4DA44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3E9EC62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11</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22F31AA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4F98319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1AD0CA5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0.5328</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0D289DF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C41787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0.27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14EE594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FAE30F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75BD9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694D0E7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12</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791E8E7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559BFE9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289CD74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1.3528</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2184001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BAC823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0.68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619D49F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641A1D2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7E0EA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255C89A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13</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4401F9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333DC83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65E6A4A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0.7064</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04AC998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53F5727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0.35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7E4B47F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65079B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28FB4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0A8CE71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14</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7103C85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1365176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33D9D41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1.0785</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62EC4C9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3B73028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0.54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48BCF0E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1DC101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6346E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7C36A5C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15</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57E289D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659C4F3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007443F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0.6251</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54FCE2E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099F157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0.31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74EEC26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AEEB06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r w14:paraId="4D218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3" w:type="pct"/>
            <w:tcBorders>
              <w:top w:val="single" w:color="auto" w:sz="4" w:space="0"/>
              <w:left w:val="single" w:color="auto" w:sz="4" w:space="0"/>
              <w:bottom w:val="single" w:color="auto" w:sz="4" w:space="0"/>
              <w:right w:val="single" w:color="auto" w:sz="4" w:space="0"/>
              <w:tl2br w:val="nil"/>
              <w:tr2bl w:val="nil"/>
            </w:tcBorders>
            <w:noWrap/>
            <w:vAlign w:val="center"/>
          </w:tcPr>
          <w:p w14:paraId="5504BEF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16</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0699054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网格（2250</w:t>
            </w:r>
            <w:r>
              <w:rPr>
                <w:rFonts w:hint="default" w:ascii="Times New Roman" w:hAnsi="Times New Roman" w:eastAsia="宋体" w:cs="Times New Roman"/>
                <w:i w:val="0"/>
                <w:iCs w:val="0"/>
                <w:color w:val="auto"/>
                <w:kern w:val="0"/>
                <w:sz w:val="21"/>
                <w:szCs w:val="21"/>
                <w:u w:val="none"/>
                <w:lang w:val="en-US" w:eastAsia="zh-CN" w:bidi="ar"/>
              </w:rPr>
              <w:t>,-1650</w:t>
            </w:r>
            <w:r>
              <w:rPr>
                <w:rFonts w:hint="eastAsia" w:ascii="宋体" w:hAnsi="宋体" w:eastAsia="宋体" w:cs="宋体"/>
                <w:i w:val="0"/>
                <w:iCs w:val="0"/>
                <w:color w:val="auto"/>
                <w:kern w:val="0"/>
                <w:sz w:val="21"/>
                <w:szCs w:val="21"/>
                <w:u w:val="none"/>
                <w:lang w:val="en-US" w:eastAsia="zh-CN" w:bidi="ar"/>
              </w:rPr>
              <w:t>）</w:t>
            </w:r>
          </w:p>
        </w:tc>
        <w:tc>
          <w:tcPr>
            <w:tcW w:w="1001" w:type="dxa"/>
            <w:tcBorders>
              <w:top w:val="single" w:color="auto" w:sz="4" w:space="0"/>
              <w:left w:val="single" w:color="auto" w:sz="4" w:space="0"/>
              <w:bottom w:val="single" w:color="auto" w:sz="4" w:space="0"/>
              <w:right w:val="single" w:color="auto" w:sz="4" w:space="0"/>
              <w:tl2br w:val="nil"/>
              <w:tr2bl w:val="nil"/>
            </w:tcBorders>
            <w:noWrap/>
            <w:vAlign w:val="center"/>
          </w:tcPr>
          <w:p w14:paraId="76747B2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317" w:type="dxa"/>
            <w:tcBorders>
              <w:top w:val="single" w:color="auto" w:sz="4" w:space="0"/>
              <w:left w:val="single" w:color="auto" w:sz="4" w:space="0"/>
              <w:bottom w:val="single" w:color="auto" w:sz="4" w:space="0"/>
              <w:right w:val="single" w:color="auto" w:sz="4" w:space="0"/>
              <w:tl2br w:val="nil"/>
              <w:tr2bl w:val="nil"/>
            </w:tcBorders>
            <w:noWrap/>
            <w:vAlign w:val="center"/>
          </w:tcPr>
          <w:p w14:paraId="2E99220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30.0255</w:t>
            </w:r>
          </w:p>
        </w:tc>
        <w:tc>
          <w:tcPr>
            <w:tcW w:w="1200" w:type="dxa"/>
            <w:tcBorders>
              <w:top w:val="single" w:color="auto" w:sz="4" w:space="0"/>
              <w:left w:val="single" w:color="auto" w:sz="4" w:space="0"/>
              <w:bottom w:val="single" w:color="auto" w:sz="4" w:space="0"/>
              <w:right w:val="single" w:color="auto" w:sz="4" w:space="0"/>
              <w:tl2br w:val="nil"/>
              <w:tr2bl w:val="nil"/>
            </w:tcBorders>
            <w:noWrap/>
            <w:vAlign w:val="center"/>
          </w:tcPr>
          <w:p w14:paraId="679E98A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5E1CB81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15.01 </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29B5F4C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919" w:type="dxa"/>
            <w:tcBorders>
              <w:top w:val="single" w:color="auto" w:sz="4" w:space="0"/>
              <w:left w:val="single" w:color="auto" w:sz="4" w:space="0"/>
              <w:bottom w:val="single" w:color="auto" w:sz="4" w:space="0"/>
              <w:right w:val="single" w:color="auto" w:sz="4" w:space="0"/>
              <w:tl2br w:val="nil"/>
              <w:tr2bl w:val="nil"/>
            </w:tcBorders>
            <w:noWrap/>
            <w:vAlign w:val="center"/>
          </w:tcPr>
          <w:p w14:paraId="71761A1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w:t>
            </w:r>
          </w:p>
        </w:tc>
      </w:tr>
    </w:tbl>
    <w:p w14:paraId="0D24AA74">
      <w:pPr>
        <w:pStyle w:val="59"/>
        <w:spacing w:beforeLines="0" w:afterLines="0"/>
        <w:rPr>
          <w:rFonts w:hint="default" w:ascii="Times New Roman" w:hAnsi="Times New Roman" w:eastAsia="Times New Roman" w:cs="Times New Roman"/>
          <w:color w:val="auto"/>
          <w:kern w:val="0"/>
          <w:sz w:val="32"/>
          <w:szCs w:val="32"/>
          <w:u w:val="single" w:color="auto"/>
        </w:rPr>
      </w:pPr>
    </w:p>
    <w:p w14:paraId="592EFFFE">
      <w:pPr>
        <w:autoSpaceDE w:val="0"/>
        <w:autoSpaceDN w:val="0"/>
        <w:adjustRightInd w:val="0"/>
        <w:spacing w:beforeLines="0" w:afterLines="0" w:line="360" w:lineRule="auto"/>
        <w:jc w:val="center"/>
        <w:rPr>
          <w:rFonts w:hint="default" w:ascii="Times New Roman" w:hAnsi="Times New Roman" w:eastAsia="宋体" w:cs="Times New Roman"/>
          <w:b/>
          <w:color w:val="auto"/>
          <w:kern w:val="0"/>
          <w:sz w:val="24"/>
          <w:szCs w:val="24"/>
          <w:u w:val="single" w:color="auto"/>
        </w:rPr>
      </w:pPr>
      <w:r>
        <w:rPr>
          <w:color w:val="auto"/>
        </w:rPr>
        <w:drawing>
          <wp:inline distT="0" distB="0" distL="114300" distR="114300">
            <wp:extent cx="5264785" cy="3342005"/>
            <wp:effectExtent l="0" t="0" r="12065" b="1079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43"/>
                    <a:stretch>
                      <a:fillRect/>
                    </a:stretch>
                  </pic:blipFill>
                  <pic:spPr>
                    <a:xfrm>
                      <a:off x="0" y="0"/>
                      <a:ext cx="5264785" cy="3342005"/>
                    </a:xfrm>
                    <a:prstGeom prst="rect">
                      <a:avLst/>
                    </a:prstGeom>
                    <a:noFill/>
                    <a:ln>
                      <a:noFill/>
                    </a:ln>
                  </pic:spPr>
                </pic:pic>
              </a:graphicData>
            </a:graphic>
          </wp:inline>
        </w:drawing>
      </w:r>
    </w:p>
    <w:p w14:paraId="1C5CAAA8">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-1</w:t>
      </w:r>
      <w:r>
        <w:rPr>
          <w:rFonts w:hint="default" w:ascii="Times New Roman" w:hAnsi="Times New Roman" w:eastAsia="宋体" w:cs="Times New Roman"/>
          <w:b/>
          <w:color w:val="auto"/>
          <w:kern w:val="0"/>
          <w:sz w:val="24"/>
          <w:szCs w:val="24"/>
          <w:u w:val="single" w:color="auto"/>
        </w:rPr>
        <w:t>7</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TSP日平均浓度贡献值分布图（单位：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23FA0A28">
      <w:pPr>
        <w:pStyle w:val="35"/>
        <w:spacing w:beforeLines="0" w:afterLines="0"/>
        <w:ind w:firstLine="210"/>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6690" cy="3343275"/>
            <wp:effectExtent l="0" t="0" r="10160" b="952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4"/>
                    <a:stretch>
                      <a:fillRect/>
                    </a:stretch>
                  </pic:blipFill>
                  <pic:spPr>
                    <a:xfrm>
                      <a:off x="0" y="0"/>
                      <a:ext cx="5266690" cy="3343275"/>
                    </a:xfrm>
                    <a:prstGeom prst="rect">
                      <a:avLst/>
                    </a:prstGeom>
                    <a:noFill/>
                    <a:ln>
                      <a:noFill/>
                    </a:ln>
                  </pic:spPr>
                </pic:pic>
              </a:graphicData>
            </a:graphic>
          </wp:inline>
        </w:drawing>
      </w:r>
    </w:p>
    <w:p w14:paraId="0CEF3FC8">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-1</w:t>
      </w:r>
      <w:r>
        <w:rPr>
          <w:rFonts w:hint="default" w:ascii="Times New Roman" w:hAnsi="Times New Roman" w:eastAsia="宋体" w:cs="Times New Roman"/>
          <w:b/>
          <w:color w:val="auto"/>
          <w:kern w:val="0"/>
          <w:sz w:val="24"/>
          <w:szCs w:val="24"/>
          <w:u w:val="single" w:color="auto"/>
        </w:rPr>
        <w:t>8</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TSP年平均浓度贡献值分布图（单位：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7874A3D9">
      <w:pPr>
        <w:autoSpaceDE w:val="0"/>
        <w:autoSpaceDN w:val="0"/>
        <w:adjustRightInd w:val="0"/>
        <w:snapToGrid w:val="0"/>
        <w:spacing w:beforeLines="0" w:afterLines="0" w:line="360" w:lineRule="auto"/>
        <w:rPr>
          <w:rFonts w:hint="default" w:ascii="Times New Roman" w:hAnsi="Times New Roman" w:eastAsia="Times New Roman" w:cs="Times New Roman"/>
          <w:color w:val="auto"/>
          <w:kern w:val="0"/>
          <w:sz w:val="24"/>
          <w:szCs w:val="24"/>
          <w:u w:val="single" w:color="auto"/>
        </w:rPr>
      </w:pPr>
      <w:r>
        <w:rPr>
          <w:color w:val="auto"/>
        </w:rPr>
        <w:drawing>
          <wp:inline distT="0" distB="0" distL="114300" distR="114300">
            <wp:extent cx="5266690" cy="3176270"/>
            <wp:effectExtent l="0" t="0" r="10160" b="5080"/>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45"/>
                    <a:stretch>
                      <a:fillRect/>
                    </a:stretch>
                  </pic:blipFill>
                  <pic:spPr>
                    <a:xfrm>
                      <a:off x="0" y="0"/>
                      <a:ext cx="5266690" cy="3176270"/>
                    </a:xfrm>
                    <a:prstGeom prst="rect">
                      <a:avLst/>
                    </a:prstGeom>
                    <a:noFill/>
                    <a:ln>
                      <a:noFill/>
                    </a:ln>
                  </pic:spPr>
                </pic:pic>
              </a:graphicData>
            </a:graphic>
          </wp:inline>
        </w:drawing>
      </w:r>
    </w:p>
    <w:p w14:paraId="73650243">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-1</w:t>
      </w:r>
      <w:r>
        <w:rPr>
          <w:rFonts w:hint="default" w:ascii="Times New Roman" w:hAnsi="Times New Roman" w:eastAsia="宋体" w:cs="Times New Roman"/>
          <w:b/>
          <w:color w:val="auto"/>
          <w:kern w:val="0"/>
          <w:sz w:val="24"/>
          <w:szCs w:val="24"/>
          <w:u w:val="single" w:color="auto"/>
        </w:rPr>
        <w:t>9</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TSP日平均浓度贡献值分布图（叠加后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48365A32">
      <w:pPr>
        <w:autoSpaceDE w:val="0"/>
        <w:autoSpaceDN w:val="0"/>
        <w:adjustRightInd w:val="0"/>
        <w:snapToGrid w:val="0"/>
        <w:spacing w:beforeLines="0" w:afterLines="0" w:line="360" w:lineRule="auto"/>
        <w:rPr>
          <w:rFonts w:hint="default" w:ascii="Times New Roman" w:hAnsi="Times New Roman" w:eastAsia="宋体" w:cs="Times New Roman"/>
          <w:color w:val="auto"/>
          <w:kern w:val="0"/>
          <w:sz w:val="24"/>
          <w:szCs w:val="24"/>
          <w:u w:val="single" w:color="auto"/>
        </w:rPr>
      </w:pPr>
      <w:r>
        <w:rPr>
          <w:color w:val="auto"/>
        </w:rPr>
        <w:drawing>
          <wp:inline distT="0" distB="0" distL="114300" distR="114300">
            <wp:extent cx="5267960" cy="3216275"/>
            <wp:effectExtent l="0" t="0" r="8890" b="3175"/>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46"/>
                    <a:stretch>
                      <a:fillRect/>
                    </a:stretch>
                  </pic:blipFill>
                  <pic:spPr>
                    <a:xfrm>
                      <a:off x="0" y="0"/>
                      <a:ext cx="5267960" cy="3216275"/>
                    </a:xfrm>
                    <a:prstGeom prst="rect">
                      <a:avLst/>
                    </a:prstGeom>
                    <a:noFill/>
                    <a:ln>
                      <a:noFill/>
                    </a:ln>
                  </pic:spPr>
                </pic:pic>
              </a:graphicData>
            </a:graphic>
          </wp:inline>
        </w:drawing>
      </w:r>
    </w:p>
    <w:p w14:paraId="76931126">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20</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TSP年平均浓度贡献值分布图（叠加后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1C04E765">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正常排放情况下，TSP影响的预测计算结果见表4.2-17和表4.2-18。</w:t>
      </w:r>
    </w:p>
    <w:p w14:paraId="7EED11FF">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TSP日平均浓度，各敏感点浓度增量在0.</w:t>
      </w:r>
      <w:r>
        <w:rPr>
          <w:rFonts w:hint="eastAsia" w:ascii="Times New Roman" w:hAnsi="Times New Roman" w:eastAsia="宋体" w:cs="Times New Roman"/>
          <w:color w:val="auto"/>
          <w:kern w:val="0"/>
          <w:sz w:val="24"/>
          <w:szCs w:val="24"/>
          <w:u w:val="single" w:color="auto"/>
          <w:lang w:val="en-US" w:eastAsia="zh-CN"/>
        </w:rPr>
        <w:t>6227</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1.5266</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的范围内，占标率为0.</w:t>
      </w:r>
      <w:r>
        <w:rPr>
          <w:rFonts w:hint="eastAsia" w:ascii="Times New Roman" w:hAnsi="Times New Roman" w:eastAsia="宋体" w:cs="Times New Roman"/>
          <w:color w:val="auto"/>
          <w:kern w:val="0"/>
          <w:sz w:val="24"/>
          <w:szCs w:val="24"/>
          <w:u w:val="single" w:color="auto"/>
          <w:lang w:val="en-US" w:eastAsia="zh-CN"/>
        </w:rPr>
        <w:t>21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w:t>
      </w:r>
      <w:r>
        <w:rPr>
          <w:rFonts w:hint="eastAsia" w:ascii="Times New Roman" w:hAnsi="Times New Roman" w:eastAsia="宋体" w:cs="Times New Roman"/>
          <w:color w:val="auto"/>
          <w:kern w:val="0"/>
          <w:sz w:val="24"/>
          <w:szCs w:val="24"/>
          <w:u w:val="single" w:color="auto"/>
          <w:lang w:val="en-US" w:eastAsia="zh-CN"/>
        </w:rPr>
        <w:t>51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，小于100%；叠加在建拟建源和背景值后浓度在145.</w:t>
      </w:r>
      <w:r>
        <w:rPr>
          <w:rFonts w:hint="eastAsia" w:ascii="Times New Roman" w:hAnsi="Times New Roman" w:eastAsia="宋体" w:cs="Times New Roman"/>
          <w:color w:val="auto"/>
          <w:kern w:val="0"/>
          <w:sz w:val="24"/>
          <w:szCs w:val="24"/>
          <w:u w:val="single" w:color="auto"/>
          <w:lang w:val="en-US" w:eastAsia="zh-CN"/>
        </w:rPr>
        <w:t>649</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152.54</w:t>
      </w:r>
      <w:r>
        <w:rPr>
          <w:rFonts w:hint="eastAsia" w:ascii="Times New Roman" w:hAnsi="Times New Roman" w:eastAsia="宋体" w:cs="Times New Roman"/>
          <w:color w:val="auto"/>
          <w:kern w:val="0"/>
          <w:sz w:val="24"/>
          <w:szCs w:val="24"/>
          <w:u w:val="single" w:color="auto"/>
          <w:lang w:val="en-US" w:eastAsia="zh-CN"/>
        </w:rPr>
        <w:t>64</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w:t>
      </w:r>
      <w:r>
        <w:rPr>
          <w:rFonts w:hint="eastAsia" w:ascii="Times New Roman" w:hAnsi="Times New Roman" w:eastAsia="宋体" w:cs="Times New Roman"/>
          <w:color w:val="auto"/>
          <w:kern w:val="0"/>
          <w:sz w:val="24"/>
          <w:szCs w:val="24"/>
          <w:u w:val="single" w:color="auto"/>
          <w:lang w:val="en-US" w:eastAsia="zh-CN"/>
        </w:rPr>
        <w:t>48.55</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50.85</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w:t>
      </w:r>
      <w:r>
        <w:rPr>
          <w:rFonts w:hint="eastAsia" w:ascii="Times New Roman" w:hAnsi="Times New Roman" w:eastAsia="宋体" w:cs="Times New Roman"/>
          <w:color w:val="auto"/>
          <w:kern w:val="0"/>
          <w:sz w:val="24"/>
          <w:szCs w:val="24"/>
          <w:u w:val="single" w:color="auto"/>
          <w:lang w:val="en-US" w:eastAsia="zh-CN"/>
        </w:rPr>
        <w:t>15.7298</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5.24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，叠加在建拟建源和背景值后浓度为260.</w:t>
      </w:r>
      <w:r>
        <w:rPr>
          <w:rFonts w:hint="eastAsia" w:ascii="Times New Roman" w:hAnsi="Times New Roman" w:eastAsia="宋体" w:cs="Times New Roman"/>
          <w:color w:val="auto"/>
          <w:kern w:val="0"/>
          <w:sz w:val="24"/>
          <w:szCs w:val="24"/>
          <w:u w:val="single" w:color="auto"/>
          <w:lang w:val="en-US" w:eastAsia="zh-CN"/>
        </w:rPr>
        <w:t>7384</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86.91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，小于100%。TSP年平均浓度，各敏感点浓度增量在</w:t>
      </w:r>
      <w:r>
        <w:rPr>
          <w:rFonts w:hint="eastAsia" w:ascii="Times New Roman" w:hAnsi="Times New Roman" w:eastAsia="宋体" w:cs="Times New Roman"/>
          <w:color w:val="auto"/>
          <w:kern w:val="0"/>
          <w:sz w:val="24"/>
          <w:szCs w:val="24"/>
          <w:u w:val="single" w:color="auto"/>
          <w:lang w:val="en-US" w:eastAsia="zh-CN"/>
        </w:rPr>
        <w:t>0.0349</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0.1182</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的范围内，占标率为0.0</w:t>
      </w:r>
      <w:r>
        <w:rPr>
          <w:rFonts w:hint="eastAsia" w:ascii="Times New Roman" w:hAnsi="Times New Roman" w:eastAsia="宋体" w:cs="Times New Roman"/>
          <w:color w:val="auto"/>
          <w:kern w:val="0"/>
          <w:sz w:val="24"/>
          <w:szCs w:val="24"/>
          <w:u w:val="single" w:color="auto"/>
          <w:lang w:val="en-US" w:eastAsia="zh-CN"/>
        </w:rPr>
        <w:t>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0.0</w:t>
      </w:r>
      <w:r>
        <w:rPr>
          <w:rFonts w:hint="eastAsia" w:ascii="Times New Roman" w:hAnsi="Times New Roman" w:eastAsia="宋体" w:cs="Times New Roman"/>
          <w:color w:val="auto"/>
          <w:kern w:val="0"/>
          <w:sz w:val="24"/>
          <w:szCs w:val="24"/>
          <w:u w:val="single" w:color="auto"/>
          <w:lang w:val="en-US" w:eastAsia="zh-CN"/>
        </w:rPr>
        <w:t>6</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，小于30%。对于环境空气二类功能区而言，本项目区域叠加现状浓度值，排放的TSP浓度能满足《环境空气质量标准》（GB3095-2012）及其修改单二级标准。</w:t>
      </w:r>
    </w:p>
    <w:p w14:paraId="06B94EEB">
      <w:pPr>
        <w:autoSpaceDE w:val="0"/>
        <w:autoSpaceDN w:val="0"/>
        <w:adjustRightInd w:val="0"/>
        <w:snapToGrid w:val="0"/>
        <w:spacing w:beforeLines="0" w:afterLines="0" w:line="360" w:lineRule="auto"/>
        <w:ind w:firstLine="482" w:firstLineChars="200"/>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2）PM</w:t>
      </w:r>
      <w:r>
        <w:rPr>
          <w:rFonts w:hint="default" w:ascii="Times New Roman" w:hAnsi="Times New Roman" w:eastAsia="Times New Roman" w:cs="Times New Roman"/>
          <w:b/>
          <w:color w:val="auto"/>
          <w:kern w:val="0"/>
          <w:sz w:val="24"/>
          <w:szCs w:val="24"/>
          <w:u w:val="single" w:color="auto"/>
          <w:vertAlign w:val="subscript"/>
        </w:rPr>
        <w:t>10</w:t>
      </w:r>
    </w:p>
    <w:p w14:paraId="4C144500">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环境敏感点地面质量浓度汇总见表4.2</w:t>
      </w:r>
      <w:r>
        <w:rPr>
          <w:rFonts w:hint="default" w:ascii="Times New Roman" w:hAnsi="Times New Roman" w:eastAsia="Times New Roman" w:cs="Times New Roman"/>
          <w:color w:val="auto"/>
          <w:kern w:val="0"/>
          <w:sz w:val="24"/>
          <w:szCs w:val="24"/>
          <w:u w:val="single" w:color="auto"/>
        </w:rPr>
        <w:t>-1</w:t>
      </w:r>
      <w:r>
        <w:rPr>
          <w:rFonts w:hint="default" w:ascii="Times New Roman" w:hAnsi="Times New Roman" w:eastAsia="宋体" w:cs="Times New Roman"/>
          <w:color w:val="auto"/>
          <w:kern w:val="0"/>
          <w:sz w:val="24"/>
          <w:szCs w:val="24"/>
          <w:u w:val="single" w:color="auto"/>
        </w:rPr>
        <w:t>9和表4.2-20。</w:t>
      </w:r>
    </w:p>
    <w:p w14:paraId="2D8ABCCC">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19</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贡献质量浓度汇总</w:t>
      </w:r>
    </w:p>
    <w:tbl>
      <w:tblPr>
        <w:tblStyle w:val="37"/>
        <w:tblW w:w="7560"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0"/>
        <w:gridCol w:w="2094"/>
        <w:gridCol w:w="1040"/>
        <w:gridCol w:w="1120"/>
        <w:gridCol w:w="1040"/>
        <w:gridCol w:w="1041"/>
        <w:gridCol w:w="1041"/>
      </w:tblGrid>
      <w:tr w14:paraId="5ED45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2BFDEC5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2F5E2C70">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14D7F5CD">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2DCD660A">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73FDA744">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41B77AD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1080" w:type="dxa"/>
            <w:tcBorders>
              <w:top w:val="single" w:color="auto" w:sz="4" w:space="0"/>
              <w:left w:val="single" w:color="auto" w:sz="4" w:space="0"/>
              <w:bottom w:val="single" w:color="auto" w:sz="4" w:space="0"/>
              <w:right w:val="single" w:color="auto" w:sz="4" w:space="0"/>
              <w:tl2br w:val="nil"/>
              <w:tr2bl w:val="nil"/>
            </w:tcBorders>
            <w:noWrap/>
            <w:vAlign w:val="center"/>
          </w:tcPr>
          <w:p w14:paraId="5E722365">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0AD7E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2336817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45F5B84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4C8A04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1834B26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10.2913</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A4343F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230613</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F0914C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6.86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F03A5D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775FA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077A302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7BB2EF1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479F41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47CD11C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14.4761</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6A4664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231108</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532FD2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9.65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AD6825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3DD2D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6BAC9C2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5A335FE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9A8968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684470D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7.2254</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9A3836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230827</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8DA660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4.82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EFBCBF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79E11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1E71D76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608E59E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15C5DF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29CE0C5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7.3373</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3B04BD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231108</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08D312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4.89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58B70BE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56A0B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32C74D1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4FED92F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3663CA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749378B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7.1412</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D37D33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231211</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06CC4B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4.76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8246BE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01A02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7776C29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278B4C70">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6C0641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7F63A3E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9.4041</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35FA96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231025</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33C336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6.27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774564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6D71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6626B3F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0316EE1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5D7EEC5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6B40B5F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6.4114</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2D07C7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230122</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32767B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4.27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AB7BC5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168E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1A31418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728C6E7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-300,150</w:t>
            </w:r>
            <w:r>
              <w:rPr>
                <w:rFonts w:hint="eastAsia" w:ascii="宋体" w:hAnsi="宋体" w:eastAsia="宋体" w:cs="宋体"/>
                <w:i w:val="0"/>
                <w:iCs w:val="0"/>
                <w:color w:val="auto"/>
                <w:kern w:val="0"/>
                <w:sz w:val="21"/>
                <w:szCs w:val="21"/>
                <w:u w:val="none"/>
                <w:lang w:val="en-US" w:eastAsia="zh-CN" w:bidi="ar"/>
              </w:rPr>
              <w:t>）</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BCDAC1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75F1299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74.3162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817ACA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230413</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F5F830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49.54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42C323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1D151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6A127CD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9</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1E301B2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2DECFC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5039AC2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0.4714</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600096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BB59D5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0.67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CB7312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52716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0678EB92">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10</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34F64D4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4388F2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7326ED5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1.6799</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524BDBC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02A0BD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2.40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E489AE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278B5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266C600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11</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6F8D190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C1517A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4E14138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0.8503</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8A6C65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5514BE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1.21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06E197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75E8C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5035325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12</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685C259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BC6C6F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7FEB2AC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0.4828</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AB22C5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C53B16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0.69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AD83C9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6E4A5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14259B72">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13</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7232BFA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F6C7F4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1C65AB6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0.6517</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2147D4B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836657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0.93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1A2461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297BE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16A4AD5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14</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4538163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BA1866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5F5DEBE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0.8384</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A4DD38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78BF1D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1.20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F1E01F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1BA89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7DF7047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15</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4B964F9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05C06AF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66FA219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0.816</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B033FA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787AE35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1.17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62E7FD9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r w14:paraId="3E8CB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0" w:type="auto"/>
            <w:tcBorders>
              <w:top w:val="single" w:color="auto" w:sz="4" w:space="0"/>
              <w:left w:val="single" w:color="auto" w:sz="4" w:space="0"/>
              <w:bottom w:val="single" w:color="auto" w:sz="4" w:space="0"/>
              <w:right w:val="single" w:color="auto" w:sz="4" w:space="0"/>
              <w:tl2br w:val="nil"/>
              <w:tr2bl w:val="nil"/>
            </w:tcBorders>
            <w:noWrap/>
            <w:vAlign w:val="center"/>
          </w:tcPr>
          <w:p w14:paraId="5D04ADB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16</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6AC441A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网格（-50</w:t>
            </w:r>
            <w:r>
              <w:rPr>
                <w:rFonts w:hint="default" w:ascii="Times New Roman" w:hAnsi="Times New Roman" w:eastAsia="宋体" w:cs="Times New Roman"/>
                <w:i w:val="0"/>
                <w:iCs w:val="0"/>
                <w:color w:val="auto"/>
                <w:kern w:val="0"/>
                <w:sz w:val="21"/>
                <w:szCs w:val="21"/>
                <w:u w:val="none"/>
                <w:lang w:val="en-US" w:eastAsia="zh-CN" w:bidi="ar"/>
              </w:rPr>
              <w:t>,-100</w:t>
            </w:r>
            <w:r>
              <w:rPr>
                <w:rFonts w:hint="eastAsia" w:ascii="宋体" w:hAnsi="宋体" w:eastAsia="宋体" w:cs="宋体"/>
                <w:i w:val="0"/>
                <w:iCs w:val="0"/>
                <w:color w:val="auto"/>
                <w:kern w:val="0"/>
                <w:sz w:val="21"/>
                <w:szCs w:val="21"/>
                <w:u w:val="none"/>
                <w:lang w:val="en-US" w:eastAsia="zh-CN" w:bidi="ar"/>
              </w:rPr>
              <w:t>）</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6D9935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2758406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19.0372</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6A08BC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4094B6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27.20 </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EB664D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达标</w:t>
            </w:r>
          </w:p>
        </w:tc>
      </w:tr>
    </w:tbl>
    <w:p w14:paraId="080ACC6B">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20</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叠加后质量浓度汇总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70"/>
        <w:gridCol w:w="1341"/>
        <w:gridCol w:w="1212"/>
        <w:gridCol w:w="955"/>
        <w:gridCol w:w="908"/>
        <w:gridCol w:w="1059"/>
        <w:gridCol w:w="693"/>
        <w:gridCol w:w="648"/>
      </w:tblGrid>
      <w:tr w14:paraId="457BB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2530A12">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745" w:type="pct"/>
            <w:tcBorders>
              <w:top w:val="single" w:color="auto" w:sz="4" w:space="0"/>
              <w:left w:val="single" w:color="auto" w:sz="4" w:space="0"/>
              <w:bottom w:val="single" w:color="auto" w:sz="4" w:space="0"/>
              <w:right w:val="single" w:color="auto" w:sz="4" w:space="0"/>
              <w:tl2br w:val="nil"/>
              <w:tr2bl w:val="nil"/>
            </w:tcBorders>
            <w:noWrap/>
            <w:vAlign w:val="center"/>
          </w:tcPr>
          <w:p w14:paraId="0B4161F2">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787" w:type="pct"/>
            <w:tcBorders>
              <w:top w:val="single" w:color="auto" w:sz="4" w:space="0"/>
              <w:left w:val="single" w:color="auto" w:sz="4" w:space="0"/>
              <w:bottom w:val="single" w:color="auto" w:sz="4" w:space="0"/>
              <w:right w:val="single" w:color="auto" w:sz="4" w:space="0"/>
              <w:tl2br w:val="nil"/>
              <w:tr2bl w:val="nil"/>
            </w:tcBorders>
            <w:noWrap/>
            <w:vAlign w:val="center"/>
          </w:tcPr>
          <w:p w14:paraId="757DE66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711" w:type="pct"/>
            <w:tcBorders>
              <w:top w:val="single" w:color="auto" w:sz="4" w:space="0"/>
              <w:left w:val="single" w:color="auto" w:sz="4" w:space="0"/>
              <w:bottom w:val="single" w:color="auto" w:sz="4" w:space="0"/>
              <w:right w:val="single" w:color="auto" w:sz="4" w:space="0"/>
              <w:tl2br w:val="nil"/>
              <w:tr2bl w:val="nil"/>
            </w:tcBorders>
            <w:noWrap/>
            <w:vAlign w:val="center"/>
          </w:tcPr>
          <w:p w14:paraId="4921A260">
            <w:pPr>
              <w:keepNext w:val="0"/>
              <w:keepLines w:val="0"/>
              <w:pageBreakBefore w:val="0"/>
              <w:widowControl/>
              <w:kinsoku/>
              <w:wordWrap/>
              <w:overflowPunct/>
              <w:topLinePunct w:val="0"/>
              <w:autoSpaceDE/>
              <w:autoSpaceDN/>
              <w:bidi w:val="0"/>
              <w:adjustRightInd/>
              <w:snapToGrid/>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叠加在建拟建源浓度增值（</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560" w:type="pct"/>
            <w:tcBorders>
              <w:top w:val="single" w:color="auto" w:sz="4" w:space="0"/>
              <w:left w:val="single" w:color="auto" w:sz="4" w:space="0"/>
              <w:bottom w:val="single" w:color="auto" w:sz="4" w:space="0"/>
              <w:right w:val="single" w:color="auto" w:sz="4" w:space="0"/>
              <w:tl2br w:val="nil"/>
              <w:tr2bl w:val="nil"/>
            </w:tcBorders>
            <w:noWrap/>
            <w:vAlign w:val="center"/>
          </w:tcPr>
          <w:p w14:paraId="5AC79D66">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12A0A8C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621" w:type="pct"/>
            <w:tcBorders>
              <w:top w:val="single" w:color="auto" w:sz="4" w:space="0"/>
              <w:left w:val="single" w:color="auto" w:sz="4" w:space="0"/>
              <w:bottom w:val="single" w:color="auto" w:sz="4" w:space="0"/>
              <w:right w:val="single" w:color="auto" w:sz="4" w:space="0"/>
              <w:tl2br w:val="nil"/>
              <w:tr2bl w:val="nil"/>
            </w:tcBorders>
            <w:noWrap/>
            <w:vAlign w:val="center"/>
          </w:tcPr>
          <w:p w14:paraId="72A88367">
            <w:pPr>
              <w:keepNext w:val="0"/>
              <w:keepLines w:val="0"/>
              <w:pageBreakBefore w:val="0"/>
              <w:widowControl/>
              <w:kinsoku/>
              <w:wordWrap/>
              <w:overflowPunct/>
              <w:topLinePunct w:val="0"/>
              <w:autoSpaceDE/>
              <w:autoSpaceDN/>
              <w:bidi w:val="0"/>
              <w:adjustRightInd/>
              <w:snapToGrid/>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叠加后浓度（</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406" w:type="pct"/>
            <w:tcBorders>
              <w:top w:val="single" w:color="auto" w:sz="4" w:space="0"/>
              <w:left w:val="single" w:color="auto" w:sz="4" w:space="0"/>
              <w:bottom w:val="single" w:color="auto" w:sz="4" w:space="0"/>
              <w:right w:val="single" w:color="auto" w:sz="4" w:space="0"/>
              <w:tl2br w:val="nil"/>
              <w:tr2bl w:val="nil"/>
            </w:tcBorders>
            <w:noWrap/>
            <w:vAlign w:val="center"/>
          </w:tcPr>
          <w:p w14:paraId="691B6E3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46103F7F">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63AF3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60DBADC">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6093BED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54F0BFA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6DDC24C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3.6417</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35BA04B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230510</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48DB5A3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2.43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476C0CA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103.0751</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3B92E16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68.72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6C7D158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FD18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85C947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25CB42F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7412F52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5EA1587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6.3207</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5AE3E27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230822</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10AE82C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4.21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3F6F114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102.9063</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41BBABB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68.60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7E3FE7F4">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F4C7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4444FC88">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5B5F726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1326569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2201883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2.9555</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2EA71FD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230919</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413A9DE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1.97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265DADA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102.4964</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4EBC2730">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68.33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6795F55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53F3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490A75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181FC36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1CCCD8B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3949AC8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3.0216</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7B86956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230413</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3204E1D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2.01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13B0CE7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103.1427</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3F00048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68.76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6423EAC8">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59B3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3053C91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6A0D18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5B4D860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0D5CAB9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2.7956</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6AD2AE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230921</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4191552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1.86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561A404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102.284</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03B4397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68.19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30DDC227">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C21D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0A6383D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1B393C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7218075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60B5EC0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4.0466</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054EB07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230805</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07ED969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2.70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0DE1C70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102.7765</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4AF941E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68.52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2F24E4B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3A4E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28A52A0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C52B84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694FE60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5C5FF02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3.2391</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542BDDE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231108</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5884705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2.16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5FDF73F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102.4907</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17B3213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68.33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32E11B2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DB83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FCA465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E2715C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网格（-300</w:t>
            </w:r>
            <w:r>
              <w:rPr>
                <w:rFonts w:hint="default" w:ascii="Times New Roman" w:hAnsi="Times New Roman" w:eastAsia="宋体" w:cs="Times New Roman"/>
                <w:i w:val="0"/>
                <w:iCs w:val="0"/>
                <w:color w:val="auto"/>
                <w:kern w:val="0"/>
                <w:sz w:val="21"/>
                <w:szCs w:val="21"/>
                <w:u w:val="none"/>
                <w:lang w:val="en-US" w:eastAsia="zh-CN" w:bidi="ar"/>
              </w:rPr>
              <w:t>,150</w:t>
            </w:r>
            <w:r>
              <w:rPr>
                <w:rFonts w:hint="eastAsia" w:ascii="宋体" w:hAnsi="宋体" w:eastAsia="宋体" w:cs="宋体"/>
                <w:i w:val="0"/>
                <w:iCs w:val="0"/>
                <w:color w:val="auto"/>
                <w:kern w:val="0"/>
                <w:sz w:val="21"/>
                <w:szCs w:val="21"/>
                <w:u w:val="none"/>
                <w:lang w:val="en-US" w:eastAsia="zh-CN" w:bidi="ar"/>
              </w:rPr>
              <w:t>）</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7B89F6A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日平均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55D6883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33.4158</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5D71AE8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230720</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6915428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22.28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5E376F3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124.6238</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346B42C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83.08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30594F4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1B4B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A2FF1B6">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9</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68F4B21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76B5D28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458456E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0.5716</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3E3136F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667767F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0.82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1560915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50.8894</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21A16B20">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72.70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6C0EDD0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A841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37E9E42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10</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1B84FA9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13DC787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2CB1F01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1.7193</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4A07D09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6D1C270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2.46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213626E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52.0371</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70FC5EB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74.34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07D5D3F1">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6086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2D864C1">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11</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4D82536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61F31F6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1529992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0.8751</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2F2E0E7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4EBBE11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2CDB0E5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51.1929</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3FFE81B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73.13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2385031C">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E252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533F289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12</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EFE8F7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4D35114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6ACF705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0.5704</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52D5CF5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12ABF29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0.81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33624C2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50.8882</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7383504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72.70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7FD158D2">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5D4C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24536AF0">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13</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4DD44CE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20FC3FA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5C54259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0.6919</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0260644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6D0F86D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0.99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5ACFE47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51.0097</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2E5AE21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72.87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1F8C292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26FE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25965DB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14</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33B1450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372702A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7C82386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0.8992</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10E7F80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63B3064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1.28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166F8F1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51.217</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45AD7A0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73.17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6479DD8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48F1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83B6DA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15</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4DD0FDE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69ED835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766D111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0.8478</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555C7D8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26BD65F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1.21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6651952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51.1656</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5C520FE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73.09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2057DD10">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C19F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527DCE2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16</w:t>
            </w:r>
          </w:p>
        </w:tc>
        <w:tc>
          <w:tcPr>
            <w:tcW w:w="1270" w:type="dxa"/>
            <w:tcBorders>
              <w:top w:val="single" w:color="auto" w:sz="4" w:space="0"/>
              <w:left w:val="single" w:color="auto" w:sz="4" w:space="0"/>
              <w:bottom w:val="single" w:color="auto" w:sz="4" w:space="0"/>
              <w:right w:val="single" w:color="auto" w:sz="4" w:space="0"/>
              <w:tl2br w:val="nil"/>
              <w:tr2bl w:val="nil"/>
            </w:tcBorders>
            <w:noWrap/>
            <w:vAlign w:val="center"/>
          </w:tcPr>
          <w:p w14:paraId="7D5E48F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网格（-50</w:t>
            </w:r>
            <w:r>
              <w:rPr>
                <w:rFonts w:hint="default" w:ascii="Times New Roman" w:hAnsi="Times New Roman" w:eastAsia="宋体" w:cs="Times New Roman"/>
                <w:i w:val="0"/>
                <w:iCs w:val="0"/>
                <w:color w:val="auto"/>
                <w:kern w:val="0"/>
                <w:sz w:val="21"/>
                <w:szCs w:val="21"/>
                <w:u w:val="none"/>
                <w:lang w:val="en-US" w:eastAsia="zh-CN" w:bidi="ar"/>
              </w:rPr>
              <w:t>,-100</w:t>
            </w:r>
            <w:r>
              <w:rPr>
                <w:rFonts w:hint="eastAsia" w:ascii="宋体" w:hAnsi="宋体" w:eastAsia="宋体" w:cs="宋体"/>
                <w:i w:val="0"/>
                <w:iCs w:val="0"/>
                <w:color w:val="auto"/>
                <w:kern w:val="0"/>
                <w:sz w:val="21"/>
                <w:szCs w:val="21"/>
                <w:u w:val="none"/>
                <w:lang w:val="en-US" w:eastAsia="zh-CN" w:bidi="ar"/>
              </w:rPr>
              <w:t>）</w:t>
            </w:r>
          </w:p>
        </w:tc>
        <w:tc>
          <w:tcPr>
            <w:tcW w:w="1341" w:type="dxa"/>
            <w:tcBorders>
              <w:top w:val="single" w:color="auto" w:sz="4" w:space="0"/>
              <w:left w:val="single" w:color="auto" w:sz="4" w:space="0"/>
              <w:bottom w:val="single" w:color="auto" w:sz="4" w:space="0"/>
              <w:right w:val="single" w:color="auto" w:sz="4" w:space="0"/>
              <w:tl2br w:val="nil"/>
              <w:tr2bl w:val="nil"/>
            </w:tcBorders>
            <w:noWrap/>
            <w:vAlign w:val="center"/>
          </w:tcPr>
          <w:p w14:paraId="199AC7A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年平均</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14:paraId="06D451C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19.0590 </w:t>
            </w:r>
          </w:p>
        </w:tc>
        <w:tc>
          <w:tcPr>
            <w:tcW w:w="955" w:type="dxa"/>
            <w:tcBorders>
              <w:top w:val="single" w:color="auto" w:sz="4" w:space="0"/>
              <w:left w:val="single" w:color="auto" w:sz="4" w:space="0"/>
              <w:bottom w:val="single" w:color="auto" w:sz="4" w:space="0"/>
              <w:right w:val="single" w:color="auto" w:sz="4" w:space="0"/>
              <w:tl2br w:val="nil"/>
              <w:tr2bl w:val="nil"/>
            </w:tcBorders>
            <w:noWrap/>
            <w:vAlign w:val="center"/>
          </w:tcPr>
          <w:p w14:paraId="2B826FA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平均值</w:t>
            </w:r>
          </w:p>
        </w:tc>
        <w:tc>
          <w:tcPr>
            <w:tcW w:w="908" w:type="dxa"/>
            <w:tcBorders>
              <w:top w:val="single" w:color="auto" w:sz="4" w:space="0"/>
              <w:left w:val="single" w:color="auto" w:sz="4" w:space="0"/>
              <w:bottom w:val="single" w:color="auto" w:sz="4" w:space="0"/>
              <w:right w:val="single" w:color="auto" w:sz="4" w:space="0"/>
              <w:tl2br w:val="nil"/>
              <w:tr2bl w:val="nil"/>
            </w:tcBorders>
            <w:noWrap/>
            <w:vAlign w:val="center"/>
          </w:tcPr>
          <w:p w14:paraId="490D4B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27.23 </w:t>
            </w:r>
          </w:p>
        </w:tc>
        <w:tc>
          <w:tcPr>
            <w:tcW w:w="1059" w:type="dxa"/>
            <w:tcBorders>
              <w:top w:val="single" w:color="auto" w:sz="4" w:space="0"/>
              <w:left w:val="single" w:color="auto" w:sz="4" w:space="0"/>
              <w:bottom w:val="single" w:color="auto" w:sz="4" w:space="0"/>
              <w:right w:val="single" w:color="auto" w:sz="4" w:space="0"/>
              <w:tl2br w:val="nil"/>
              <w:tr2bl w:val="nil"/>
            </w:tcBorders>
            <w:noWrap/>
            <w:vAlign w:val="center"/>
          </w:tcPr>
          <w:p w14:paraId="1AB5923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68.9489</w:t>
            </w:r>
          </w:p>
        </w:tc>
        <w:tc>
          <w:tcPr>
            <w:tcW w:w="693" w:type="dxa"/>
            <w:tcBorders>
              <w:top w:val="single" w:color="auto" w:sz="4" w:space="0"/>
              <w:left w:val="single" w:color="auto" w:sz="4" w:space="0"/>
              <w:bottom w:val="single" w:color="auto" w:sz="4" w:space="0"/>
              <w:right w:val="single" w:color="auto" w:sz="4" w:space="0"/>
              <w:tl2br w:val="nil"/>
              <w:tr2bl w:val="nil"/>
            </w:tcBorders>
            <w:noWrap/>
            <w:vAlign w:val="center"/>
          </w:tcPr>
          <w:p w14:paraId="1EBB343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98.50 </w:t>
            </w:r>
          </w:p>
        </w:tc>
        <w:tc>
          <w:tcPr>
            <w:tcW w:w="380" w:type="pct"/>
            <w:tcBorders>
              <w:top w:val="single" w:color="auto" w:sz="4" w:space="0"/>
              <w:left w:val="single" w:color="auto" w:sz="4" w:space="0"/>
              <w:bottom w:val="single" w:color="auto" w:sz="4" w:space="0"/>
              <w:right w:val="single" w:color="auto" w:sz="4" w:space="0"/>
              <w:tl2br w:val="nil"/>
              <w:tr2bl w:val="nil"/>
            </w:tcBorders>
            <w:noWrap/>
            <w:vAlign w:val="center"/>
          </w:tcPr>
          <w:p w14:paraId="592BA6DC">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49D98D96">
      <w:pPr>
        <w:pStyle w:val="48"/>
        <w:keepNext w:val="0"/>
        <w:keepLines w:val="0"/>
        <w:pageBreakBefore w:val="0"/>
        <w:widowControl w:val="0"/>
        <w:kinsoku/>
        <w:wordWrap/>
        <w:overflowPunct/>
        <w:topLinePunct w:val="0"/>
        <w:autoSpaceDE w:val="0"/>
        <w:autoSpaceDN w:val="0"/>
        <w:bidi w:val="0"/>
        <w:adjustRightInd w:val="0"/>
        <w:snapToGrid/>
        <w:spacing w:beforeLines="0" w:afterLines="0"/>
        <w:textAlignment w:val="baseline"/>
        <w:rPr>
          <w:rFonts w:hint="default" w:ascii="Times New Roman" w:hAnsi="Times New Roman" w:eastAsia="宋体" w:cs="Times New Roman"/>
          <w:b/>
          <w:color w:val="auto"/>
          <w:kern w:val="0"/>
          <w:sz w:val="24"/>
          <w:szCs w:val="24"/>
          <w:u w:val="single" w:color="auto"/>
        </w:rPr>
      </w:pPr>
    </w:p>
    <w:p w14:paraId="6F3ACF0D">
      <w:pPr>
        <w:autoSpaceDE w:val="0"/>
        <w:autoSpaceDN w:val="0"/>
        <w:adjustRightInd w:val="0"/>
        <w:spacing w:beforeLines="0" w:afterLines="0" w:line="360" w:lineRule="auto"/>
        <w:jc w:val="center"/>
        <w:rPr>
          <w:rFonts w:hint="default" w:ascii="Times New Roman" w:hAnsi="Times New Roman" w:eastAsia="宋体" w:cs="Times New Roman"/>
          <w:b/>
          <w:color w:val="auto"/>
          <w:kern w:val="0"/>
          <w:sz w:val="24"/>
          <w:szCs w:val="24"/>
          <w:u w:val="single" w:color="auto"/>
        </w:rPr>
      </w:pPr>
      <w:r>
        <w:rPr>
          <w:color w:val="auto"/>
        </w:rPr>
        <w:drawing>
          <wp:inline distT="0" distB="0" distL="114300" distR="114300">
            <wp:extent cx="5267960" cy="3258820"/>
            <wp:effectExtent l="0" t="0" r="8890" b="17780"/>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47"/>
                    <a:stretch>
                      <a:fillRect/>
                    </a:stretch>
                  </pic:blipFill>
                  <pic:spPr>
                    <a:xfrm>
                      <a:off x="0" y="0"/>
                      <a:ext cx="5267960" cy="3258820"/>
                    </a:xfrm>
                    <a:prstGeom prst="rect">
                      <a:avLst/>
                    </a:prstGeom>
                    <a:noFill/>
                    <a:ln>
                      <a:noFill/>
                    </a:ln>
                  </pic:spPr>
                </pic:pic>
              </a:graphicData>
            </a:graphic>
          </wp:inline>
        </w:drawing>
      </w:r>
    </w:p>
    <w:p w14:paraId="5663E854">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21</w:t>
      </w:r>
      <w:r>
        <w:rPr>
          <w:rFonts w:hint="default" w:ascii="Times New Roman" w:hAnsi="Times New Roman" w:eastAsia="Times New Roman" w:cs="Times New Roman"/>
          <w:b/>
          <w:color w:val="auto"/>
          <w:kern w:val="0"/>
          <w:sz w:val="24"/>
          <w:szCs w:val="24"/>
          <w:u w:val="single" w:color="auto"/>
        </w:rPr>
        <w:t xml:space="preserve"> 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日平均浓度贡献值分布图（单位：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5D139F1D">
      <w:pPr>
        <w:pStyle w:val="35"/>
        <w:keepNext w:val="0"/>
        <w:keepLines w:val="0"/>
        <w:pageBreakBefore w:val="0"/>
        <w:widowControl w:val="0"/>
        <w:kinsoku/>
        <w:wordWrap/>
        <w:overflowPunct/>
        <w:topLinePunct w:val="0"/>
        <w:autoSpaceDE/>
        <w:autoSpaceDN/>
        <w:bidi w:val="0"/>
        <w:adjustRightInd/>
        <w:snapToGrid/>
        <w:spacing w:beforeLines="0" w:afterLines="0"/>
        <w:ind w:firstLine="0" w:firstLineChars="0"/>
        <w:textAlignment w:val="auto"/>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8595" cy="3255010"/>
            <wp:effectExtent l="0" t="0" r="8255" b="254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48"/>
                    <a:stretch>
                      <a:fillRect/>
                    </a:stretch>
                  </pic:blipFill>
                  <pic:spPr>
                    <a:xfrm>
                      <a:off x="0" y="0"/>
                      <a:ext cx="5268595" cy="3255010"/>
                    </a:xfrm>
                    <a:prstGeom prst="rect">
                      <a:avLst/>
                    </a:prstGeom>
                    <a:noFill/>
                    <a:ln>
                      <a:noFill/>
                    </a:ln>
                  </pic:spPr>
                </pic:pic>
              </a:graphicData>
            </a:graphic>
          </wp:inline>
        </w:drawing>
      </w:r>
    </w:p>
    <w:p w14:paraId="7DF08BAB">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22</w:t>
      </w:r>
      <w:r>
        <w:rPr>
          <w:rFonts w:hint="default" w:ascii="Times New Roman" w:hAnsi="Times New Roman" w:eastAsia="Times New Roman" w:cs="Times New Roman"/>
          <w:b/>
          <w:color w:val="auto"/>
          <w:kern w:val="0"/>
          <w:sz w:val="24"/>
          <w:szCs w:val="24"/>
          <w:u w:val="single" w:color="auto"/>
        </w:rPr>
        <w:t xml:space="preserve"> 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年平均浓度贡献值分布图（单位：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615BD674">
      <w:pPr>
        <w:pStyle w:val="35"/>
        <w:spacing w:beforeLines="0" w:afterLines="0"/>
        <w:ind w:firstLine="241"/>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4785" cy="3195955"/>
            <wp:effectExtent l="0" t="0" r="12065" b="444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49"/>
                    <a:stretch>
                      <a:fillRect/>
                    </a:stretch>
                  </pic:blipFill>
                  <pic:spPr>
                    <a:xfrm>
                      <a:off x="0" y="0"/>
                      <a:ext cx="5264785" cy="3195955"/>
                    </a:xfrm>
                    <a:prstGeom prst="rect">
                      <a:avLst/>
                    </a:prstGeom>
                    <a:noFill/>
                    <a:ln>
                      <a:noFill/>
                    </a:ln>
                  </pic:spPr>
                </pic:pic>
              </a:graphicData>
            </a:graphic>
          </wp:inline>
        </w:drawing>
      </w:r>
    </w:p>
    <w:p w14:paraId="6CBBB158">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23</w:t>
      </w:r>
      <w:r>
        <w:rPr>
          <w:rFonts w:hint="default" w:ascii="Times New Roman" w:hAnsi="Times New Roman" w:eastAsia="Times New Roman" w:cs="Times New Roman"/>
          <w:b/>
          <w:color w:val="auto"/>
          <w:kern w:val="0"/>
          <w:sz w:val="24"/>
          <w:szCs w:val="24"/>
          <w:u w:val="single" w:color="auto"/>
        </w:rPr>
        <w:t xml:space="preserve"> 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95%日平均浓度贡献值分布图（叠加后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5640DBE4">
      <w:pPr>
        <w:pStyle w:val="35"/>
        <w:keepNext w:val="0"/>
        <w:keepLines w:val="0"/>
        <w:pageBreakBefore w:val="0"/>
        <w:widowControl w:val="0"/>
        <w:kinsoku/>
        <w:wordWrap/>
        <w:overflowPunct/>
        <w:topLinePunct w:val="0"/>
        <w:autoSpaceDE/>
        <w:autoSpaceDN/>
        <w:bidi w:val="0"/>
        <w:adjustRightInd/>
        <w:snapToGrid/>
        <w:spacing w:beforeLines="0" w:afterLines="0"/>
        <w:ind w:firstLine="0" w:firstLineChars="0"/>
        <w:textAlignment w:val="auto"/>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7960" cy="3243580"/>
            <wp:effectExtent l="0" t="0" r="8890" b="13970"/>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50"/>
                    <a:stretch>
                      <a:fillRect/>
                    </a:stretch>
                  </pic:blipFill>
                  <pic:spPr>
                    <a:xfrm>
                      <a:off x="0" y="0"/>
                      <a:ext cx="5267960" cy="3243580"/>
                    </a:xfrm>
                    <a:prstGeom prst="rect">
                      <a:avLst/>
                    </a:prstGeom>
                    <a:noFill/>
                    <a:ln>
                      <a:noFill/>
                    </a:ln>
                  </pic:spPr>
                </pic:pic>
              </a:graphicData>
            </a:graphic>
          </wp:inline>
        </w:drawing>
      </w:r>
    </w:p>
    <w:p w14:paraId="1C923043">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24</w:t>
      </w:r>
      <w:r>
        <w:rPr>
          <w:rFonts w:hint="default" w:ascii="Times New Roman" w:hAnsi="Times New Roman" w:eastAsia="Times New Roman" w:cs="Times New Roman"/>
          <w:b/>
          <w:color w:val="auto"/>
          <w:kern w:val="0"/>
          <w:sz w:val="24"/>
          <w:szCs w:val="24"/>
          <w:u w:val="single" w:color="auto"/>
        </w:rPr>
        <w:t xml:space="preserve"> PM</w:t>
      </w:r>
      <w:r>
        <w:rPr>
          <w:rFonts w:hint="default" w:ascii="Times New Roman" w:hAnsi="Times New Roman" w:eastAsia="Times New Roman"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年平均浓度贡献值分布图（叠加后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01112D9D">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正常排放情况下，PM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影响的预测计算结果见表4.2-19和表4.2-20。</w:t>
      </w:r>
    </w:p>
    <w:p w14:paraId="54F5C5BF">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日平均浓度，各敏感点浓度增量在</w:t>
      </w:r>
      <w:r>
        <w:rPr>
          <w:rFonts w:hint="eastAsia" w:ascii="Times New Roman" w:hAnsi="Times New Roman" w:eastAsia="宋体" w:cs="Times New Roman"/>
          <w:color w:val="auto"/>
          <w:kern w:val="0"/>
          <w:sz w:val="24"/>
          <w:szCs w:val="24"/>
          <w:u w:val="single" w:color="auto"/>
          <w:lang w:val="en-US" w:eastAsia="zh-CN"/>
        </w:rPr>
        <w:t>6.4114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14.</w:t>
      </w:r>
      <w:r>
        <w:rPr>
          <w:rFonts w:hint="eastAsia" w:ascii="Times New Roman" w:hAnsi="Times New Roman" w:eastAsia="宋体" w:cs="Times New Roman"/>
          <w:color w:val="auto"/>
          <w:kern w:val="0"/>
          <w:sz w:val="24"/>
          <w:szCs w:val="24"/>
          <w:u w:val="single" w:color="auto"/>
          <w:lang w:val="en-US" w:eastAsia="zh-CN"/>
        </w:rPr>
        <w:t>4761</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w:t>
      </w:r>
      <w:r>
        <w:rPr>
          <w:rFonts w:hint="eastAsia" w:ascii="Times New Roman" w:hAnsi="Times New Roman" w:eastAsia="宋体" w:cs="Times New Roman"/>
          <w:color w:val="auto"/>
          <w:kern w:val="0"/>
          <w:sz w:val="24"/>
          <w:szCs w:val="24"/>
          <w:u w:val="single" w:color="auto"/>
          <w:lang w:val="en-US" w:eastAsia="zh-CN"/>
        </w:rPr>
        <w:t>4.27</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9.6</w:t>
      </w:r>
      <w:r>
        <w:rPr>
          <w:rFonts w:hint="eastAsia" w:ascii="Times New Roman" w:hAnsi="Times New Roman" w:eastAsia="宋体" w:cs="Times New Roman"/>
          <w:color w:val="auto"/>
          <w:kern w:val="0"/>
          <w:sz w:val="24"/>
          <w:szCs w:val="24"/>
          <w:u w:val="single" w:color="auto"/>
          <w:lang w:val="en-US" w:eastAsia="zh-CN"/>
        </w:rPr>
        <w:t>5</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，小于100%；叠加在建拟建源和背景值后各敏感点PM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95%日平均浓度在102.</w:t>
      </w:r>
      <w:r>
        <w:rPr>
          <w:rFonts w:hint="eastAsia" w:ascii="Times New Roman" w:hAnsi="Times New Roman" w:eastAsia="宋体" w:cs="Times New Roman"/>
          <w:color w:val="auto"/>
          <w:kern w:val="0"/>
          <w:sz w:val="24"/>
          <w:szCs w:val="24"/>
          <w:u w:val="single" w:color="auto"/>
          <w:lang w:val="en-US" w:eastAsia="zh-CN"/>
        </w:rPr>
        <w:t>284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103.1427</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的范围，占标率为68.1</w:t>
      </w:r>
      <w:r>
        <w:rPr>
          <w:rFonts w:hint="eastAsia" w:ascii="Times New Roman" w:hAnsi="Times New Roman" w:eastAsia="宋体" w:cs="Times New Roman"/>
          <w:color w:val="auto"/>
          <w:kern w:val="0"/>
          <w:sz w:val="24"/>
          <w:szCs w:val="24"/>
          <w:u w:val="single" w:color="auto"/>
          <w:lang w:val="en-US" w:eastAsia="zh-CN"/>
        </w:rPr>
        <w:t>9</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68.76</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，小于100%；网格最大地面浓度点浓度增量为74.</w:t>
      </w:r>
      <w:r>
        <w:rPr>
          <w:rFonts w:hint="eastAsia" w:ascii="Times New Roman" w:hAnsi="Times New Roman" w:eastAsia="宋体" w:cs="Times New Roman"/>
          <w:color w:val="auto"/>
          <w:kern w:val="0"/>
          <w:sz w:val="24"/>
          <w:szCs w:val="24"/>
          <w:u w:val="single" w:color="auto"/>
          <w:lang w:val="en-US" w:eastAsia="zh-CN"/>
        </w:rPr>
        <w:t>3162</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，占标率为49.5</w:t>
      </w:r>
      <w:r>
        <w:rPr>
          <w:rFonts w:hint="eastAsia" w:ascii="Times New Roman" w:hAnsi="Times New Roman" w:eastAsia="宋体" w:cs="Times New Roman"/>
          <w:color w:val="auto"/>
          <w:kern w:val="0"/>
          <w:sz w:val="24"/>
          <w:szCs w:val="24"/>
          <w:u w:val="single" w:color="auto"/>
          <w:lang w:val="en-US" w:eastAsia="zh-CN"/>
        </w:rPr>
        <w:t>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95%网格最大地面浓度为124.</w:t>
      </w:r>
      <w:r>
        <w:rPr>
          <w:rFonts w:hint="eastAsia" w:ascii="Times New Roman" w:hAnsi="Times New Roman" w:eastAsia="宋体" w:cs="Times New Roman"/>
          <w:color w:val="auto"/>
          <w:kern w:val="0"/>
          <w:sz w:val="24"/>
          <w:szCs w:val="24"/>
          <w:u w:val="single" w:color="auto"/>
          <w:lang w:val="en-US" w:eastAsia="zh-CN"/>
        </w:rPr>
        <w:t>6238</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83.08</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年平均浓度，各敏感点浓度增量在0.</w:t>
      </w:r>
      <w:r>
        <w:rPr>
          <w:rFonts w:hint="eastAsia" w:ascii="Times New Roman" w:hAnsi="Times New Roman" w:eastAsia="宋体" w:cs="Times New Roman"/>
          <w:color w:val="auto"/>
          <w:kern w:val="0"/>
          <w:sz w:val="24"/>
          <w:szCs w:val="24"/>
          <w:u w:val="single" w:color="auto"/>
          <w:lang w:val="en-US" w:eastAsia="zh-CN"/>
        </w:rPr>
        <w:t>4714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1.</w:t>
      </w:r>
      <w:r>
        <w:rPr>
          <w:rFonts w:hint="eastAsia" w:ascii="Times New Roman" w:hAnsi="Times New Roman" w:eastAsia="宋体" w:cs="Times New Roman"/>
          <w:color w:val="auto"/>
          <w:kern w:val="0"/>
          <w:sz w:val="24"/>
          <w:szCs w:val="24"/>
          <w:u w:val="single" w:color="auto"/>
          <w:lang w:val="en-US" w:eastAsia="zh-CN"/>
        </w:rPr>
        <w:t>6799</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的范围内，占标率为0.6</w:t>
      </w:r>
      <w:r>
        <w:rPr>
          <w:rFonts w:hint="eastAsia" w:ascii="Times New Roman" w:hAnsi="Times New Roman" w:eastAsia="宋体" w:cs="Times New Roman"/>
          <w:color w:val="auto"/>
          <w:kern w:val="0"/>
          <w:sz w:val="24"/>
          <w:szCs w:val="24"/>
          <w:u w:val="single" w:color="auto"/>
          <w:lang w:val="en-US" w:eastAsia="zh-CN"/>
        </w:rPr>
        <w:t>7</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2.</w:t>
      </w:r>
      <w:r>
        <w:rPr>
          <w:rFonts w:hint="eastAsia" w:ascii="Times New Roman" w:hAnsi="Times New Roman" w:eastAsia="宋体" w:cs="Times New Roman"/>
          <w:color w:val="auto"/>
          <w:kern w:val="0"/>
          <w:sz w:val="24"/>
          <w:szCs w:val="24"/>
          <w:u w:val="single" w:color="auto"/>
          <w:lang w:val="en-US" w:eastAsia="zh-CN"/>
        </w:rPr>
        <w:t>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，小于30%，叠加在建拟建源和背景值后各敏感点PM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年平均浓度在50.8</w:t>
      </w:r>
      <w:r>
        <w:rPr>
          <w:rFonts w:hint="eastAsia" w:ascii="Times New Roman" w:hAnsi="Times New Roman" w:eastAsia="宋体" w:cs="Times New Roman"/>
          <w:color w:val="auto"/>
          <w:kern w:val="0"/>
          <w:sz w:val="24"/>
          <w:szCs w:val="24"/>
          <w:u w:val="single" w:color="auto"/>
          <w:lang w:val="en-US" w:eastAsia="zh-CN"/>
        </w:rPr>
        <w:t>882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5</w:t>
      </w:r>
      <w:r>
        <w:rPr>
          <w:rFonts w:hint="eastAsia" w:ascii="Times New Roman" w:hAnsi="Times New Roman" w:eastAsia="宋体" w:cs="Times New Roman"/>
          <w:color w:val="auto"/>
          <w:kern w:val="0"/>
          <w:sz w:val="24"/>
          <w:szCs w:val="24"/>
          <w:u w:val="single" w:color="auto"/>
          <w:lang w:val="en-US" w:eastAsia="zh-CN"/>
        </w:rPr>
        <w:t>2.0371</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的范围，占标率为72.</w:t>
      </w:r>
      <w:r>
        <w:rPr>
          <w:rFonts w:hint="eastAsia" w:ascii="Times New Roman" w:hAnsi="Times New Roman" w:eastAsia="宋体" w:cs="Times New Roman"/>
          <w:color w:val="auto"/>
          <w:kern w:val="0"/>
          <w:sz w:val="24"/>
          <w:szCs w:val="24"/>
          <w:u w:val="single" w:color="auto"/>
          <w:lang w:val="en-US" w:eastAsia="zh-CN"/>
        </w:rPr>
        <w:t>70</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74.</w:t>
      </w:r>
      <w:r>
        <w:rPr>
          <w:rFonts w:hint="eastAsia" w:ascii="Times New Roman" w:hAnsi="Times New Roman" w:eastAsia="宋体" w:cs="Times New Roman"/>
          <w:color w:val="auto"/>
          <w:kern w:val="0"/>
          <w:sz w:val="24"/>
          <w:szCs w:val="24"/>
          <w:u w:val="single" w:color="auto"/>
          <w:lang w:val="en-US" w:eastAsia="zh-CN"/>
        </w:rPr>
        <w:t>34</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w:t>
      </w:r>
      <w:r>
        <w:rPr>
          <w:rFonts w:hint="eastAsia" w:ascii="Times New Roman" w:hAnsi="Times New Roman" w:eastAsia="宋体" w:cs="Times New Roman"/>
          <w:color w:val="auto"/>
          <w:kern w:val="0"/>
          <w:sz w:val="24"/>
          <w:szCs w:val="24"/>
          <w:u w:val="single" w:color="auto"/>
          <w:lang w:val="en-US" w:eastAsia="zh-CN"/>
        </w:rPr>
        <w:t>19.0372</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27.20</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网格最大地面浓度为68.</w:t>
      </w:r>
      <w:r>
        <w:rPr>
          <w:rFonts w:hint="eastAsia" w:ascii="Times New Roman" w:hAnsi="Times New Roman" w:eastAsia="宋体" w:cs="Times New Roman"/>
          <w:color w:val="auto"/>
          <w:kern w:val="0"/>
          <w:sz w:val="24"/>
          <w:szCs w:val="24"/>
          <w:u w:val="single" w:color="auto"/>
          <w:lang w:val="en-US" w:eastAsia="zh-CN"/>
        </w:rPr>
        <w:t>9489</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，占标率为98.</w:t>
      </w:r>
      <w:r>
        <w:rPr>
          <w:rFonts w:hint="eastAsia" w:ascii="Times New Roman" w:hAnsi="Times New Roman" w:eastAsia="宋体" w:cs="Times New Roman"/>
          <w:color w:val="auto"/>
          <w:kern w:val="0"/>
          <w:sz w:val="24"/>
          <w:szCs w:val="24"/>
          <w:u w:val="single" w:color="auto"/>
          <w:lang w:val="en-US" w:eastAsia="zh-CN"/>
        </w:rPr>
        <w:t>5</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。对于环境空气二类功能区而言，本项目区域叠加现状浓度值，排放的PM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浓度能满足《环境空气质量标准》（GB3095-2012）及其修改单二级标准。</w:t>
      </w:r>
    </w:p>
    <w:p w14:paraId="1015054C">
      <w:pPr>
        <w:autoSpaceDE w:val="0"/>
        <w:autoSpaceDN w:val="0"/>
        <w:adjustRightInd w:val="0"/>
        <w:snapToGrid w:val="0"/>
        <w:spacing w:beforeLines="0" w:afterLines="0" w:line="360" w:lineRule="auto"/>
        <w:ind w:firstLine="482" w:firstLineChars="200"/>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3）非甲烷总烃</w:t>
      </w:r>
    </w:p>
    <w:p w14:paraId="08400F94">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环境敏感点地面质量浓度汇总见表4.2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21和表4.2-22。</w:t>
      </w:r>
    </w:p>
    <w:p w14:paraId="47D59700">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21</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环境敏感点非甲烷总烃贡献质量浓度汇总</w:t>
      </w:r>
    </w:p>
    <w:tbl>
      <w:tblPr>
        <w:tblStyle w:val="37"/>
        <w:tblW w:w="8416"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1966"/>
        <w:gridCol w:w="975"/>
        <w:gridCol w:w="1384"/>
        <w:gridCol w:w="1283"/>
        <w:gridCol w:w="772"/>
        <w:gridCol w:w="1019"/>
      </w:tblGrid>
      <w:tr w14:paraId="3F461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764F175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6E795A05">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454DF6CA">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79BEA762">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08562549">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09B3E189">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390109D9">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5F686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17640AC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32C3F2E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7EFDF7F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7D61B0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63.138</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6A066E5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23081606</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13FF958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3.16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2196E14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ACFF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7B0A7DB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7F8034F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66417FB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F3DF82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66.0622</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5D4AD28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23121021</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7C2F68B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3.30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422E23E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D7DB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19DCE37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2100369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5D33D33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454DD64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44.2335</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3CA45AF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23082724</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1998D4F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2.21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1A0748B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4264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79218DD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4CB50BA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23CC413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78D145E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34.4145</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26C106D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23012523</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601B5E8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1.72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275D88E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C52A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21EEE3C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03E0B1D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5C2D647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63E4FC1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29.5118</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767CF70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23122922</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1D24295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2DAA856A">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C14C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1BACC70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4ABF4E5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7A65590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57DCC40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43.6606</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5289262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23112422</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2CD4522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2.18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2B8EEF49">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0CAB2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672DF64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363C841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2DF6A40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31E1FA4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37.8358</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26C8024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23100101</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0857BE2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1.89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6A274CEE">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6F7A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7" w:type="dxa"/>
            <w:tcBorders>
              <w:top w:val="single" w:color="auto" w:sz="4" w:space="0"/>
              <w:left w:val="single" w:color="auto" w:sz="4" w:space="0"/>
              <w:bottom w:val="single" w:color="auto" w:sz="4" w:space="0"/>
              <w:right w:val="single" w:color="auto" w:sz="4" w:space="0"/>
              <w:tl2br w:val="nil"/>
              <w:tr2bl w:val="nil"/>
            </w:tcBorders>
            <w:noWrap/>
            <w:vAlign w:val="center"/>
          </w:tcPr>
          <w:p w14:paraId="079620B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966" w:type="dxa"/>
            <w:tcBorders>
              <w:top w:val="single" w:color="auto" w:sz="4" w:space="0"/>
              <w:left w:val="single" w:color="auto" w:sz="4" w:space="0"/>
              <w:bottom w:val="single" w:color="auto" w:sz="4" w:space="0"/>
              <w:right w:val="single" w:color="auto" w:sz="4" w:space="0"/>
              <w:tl2br w:val="nil"/>
              <w:tr2bl w:val="nil"/>
            </w:tcBorders>
            <w:noWrap/>
            <w:vAlign w:val="center"/>
          </w:tcPr>
          <w:p w14:paraId="3918FEF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-250,50</w:t>
            </w:r>
            <w:r>
              <w:rPr>
                <w:rFonts w:hint="eastAsia" w:ascii="宋体" w:hAnsi="宋体" w:eastAsia="宋体" w:cs="宋体"/>
                <w:i w:val="0"/>
                <w:iCs w:val="0"/>
                <w:color w:val="auto"/>
                <w:kern w:val="0"/>
                <w:sz w:val="21"/>
                <w:szCs w:val="21"/>
                <w:u w:val="none"/>
                <w:lang w:val="en-US" w:eastAsia="zh-CN" w:bidi="ar"/>
              </w:rPr>
              <w:t>）</w:t>
            </w:r>
          </w:p>
        </w:tc>
        <w:tc>
          <w:tcPr>
            <w:tcW w:w="975" w:type="dxa"/>
            <w:tcBorders>
              <w:top w:val="single" w:color="auto" w:sz="4" w:space="0"/>
              <w:left w:val="single" w:color="auto" w:sz="4" w:space="0"/>
              <w:bottom w:val="single" w:color="auto" w:sz="4" w:space="0"/>
              <w:right w:val="single" w:color="auto" w:sz="4" w:space="0"/>
              <w:tl2br w:val="nil"/>
              <w:tr2bl w:val="nil"/>
            </w:tcBorders>
            <w:noWrap/>
            <w:vAlign w:val="center"/>
          </w:tcPr>
          <w:p w14:paraId="63547F7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384" w:type="dxa"/>
            <w:tcBorders>
              <w:top w:val="single" w:color="auto" w:sz="4" w:space="0"/>
              <w:left w:val="single" w:color="auto" w:sz="4" w:space="0"/>
              <w:bottom w:val="single" w:color="auto" w:sz="4" w:space="0"/>
              <w:right w:val="single" w:color="auto" w:sz="4" w:space="0"/>
              <w:tl2br w:val="nil"/>
              <w:tr2bl w:val="nil"/>
            </w:tcBorders>
            <w:noWrap/>
            <w:vAlign w:val="center"/>
          </w:tcPr>
          <w:p w14:paraId="21159F7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346.4567</w:t>
            </w:r>
          </w:p>
        </w:tc>
        <w:tc>
          <w:tcPr>
            <w:tcW w:w="1283" w:type="dxa"/>
            <w:tcBorders>
              <w:top w:val="single" w:color="auto" w:sz="4" w:space="0"/>
              <w:left w:val="single" w:color="auto" w:sz="4" w:space="0"/>
              <w:bottom w:val="single" w:color="auto" w:sz="4" w:space="0"/>
              <w:right w:val="single" w:color="auto" w:sz="4" w:space="0"/>
              <w:tl2br w:val="nil"/>
              <w:tr2bl w:val="nil"/>
            </w:tcBorders>
            <w:noWrap/>
            <w:vAlign w:val="center"/>
          </w:tcPr>
          <w:p w14:paraId="028790A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772" w:type="dxa"/>
            <w:tcBorders>
              <w:top w:val="single" w:color="auto" w:sz="4" w:space="0"/>
              <w:left w:val="single" w:color="auto" w:sz="4" w:space="0"/>
              <w:bottom w:val="single" w:color="auto" w:sz="4" w:space="0"/>
              <w:right w:val="single" w:color="auto" w:sz="4" w:space="0"/>
              <w:tl2br w:val="nil"/>
              <w:tr2bl w:val="nil"/>
            </w:tcBorders>
            <w:noWrap/>
            <w:vAlign w:val="center"/>
          </w:tcPr>
          <w:p w14:paraId="328E807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17.32 </w:t>
            </w:r>
          </w:p>
        </w:tc>
        <w:tc>
          <w:tcPr>
            <w:tcW w:w="1019" w:type="dxa"/>
            <w:tcBorders>
              <w:top w:val="single" w:color="auto" w:sz="4" w:space="0"/>
              <w:left w:val="single" w:color="auto" w:sz="4" w:space="0"/>
              <w:bottom w:val="single" w:color="auto" w:sz="4" w:space="0"/>
              <w:right w:val="single" w:color="auto" w:sz="4" w:space="0"/>
              <w:tl2br w:val="nil"/>
              <w:tr2bl w:val="nil"/>
            </w:tcBorders>
            <w:noWrap/>
            <w:vAlign w:val="center"/>
          </w:tcPr>
          <w:p w14:paraId="1C9DD5D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2132D254">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p>
    <w:p w14:paraId="561C3934">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22</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环境敏感点非甲烷总烃叠加后质量浓度汇总</w:t>
      </w:r>
    </w:p>
    <w:tbl>
      <w:tblPr>
        <w:tblStyle w:val="37"/>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126"/>
        <w:gridCol w:w="1127"/>
        <w:gridCol w:w="1100"/>
        <w:gridCol w:w="1118"/>
        <w:gridCol w:w="863"/>
        <w:gridCol w:w="1241"/>
        <w:gridCol w:w="863"/>
        <w:gridCol w:w="647"/>
      </w:tblGrid>
      <w:tr w14:paraId="486F9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1C181A7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661" w:type="pct"/>
            <w:tcBorders>
              <w:top w:val="single" w:color="auto" w:sz="4" w:space="0"/>
              <w:left w:val="single" w:color="auto" w:sz="4" w:space="0"/>
              <w:bottom w:val="single" w:color="auto" w:sz="4" w:space="0"/>
              <w:right w:val="single" w:color="auto" w:sz="4" w:space="0"/>
              <w:tl2br w:val="nil"/>
              <w:tr2bl w:val="nil"/>
            </w:tcBorders>
            <w:noWrap/>
            <w:vAlign w:val="center"/>
          </w:tcPr>
          <w:p w14:paraId="7CDECE2B">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661" w:type="pct"/>
            <w:tcBorders>
              <w:top w:val="single" w:color="auto" w:sz="4" w:space="0"/>
              <w:left w:val="single" w:color="auto" w:sz="4" w:space="0"/>
              <w:bottom w:val="single" w:color="auto" w:sz="4" w:space="0"/>
              <w:right w:val="single" w:color="auto" w:sz="4" w:space="0"/>
              <w:tl2br w:val="nil"/>
              <w:tr2bl w:val="nil"/>
            </w:tcBorders>
            <w:noWrap/>
            <w:vAlign w:val="center"/>
          </w:tcPr>
          <w:p w14:paraId="5199C4A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645" w:type="pct"/>
            <w:tcBorders>
              <w:top w:val="single" w:color="auto" w:sz="4" w:space="0"/>
              <w:left w:val="single" w:color="auto" w:sz="4" w:space="0"/>
              <w:bottom w:val="single" w:color="auto" w:sz="4" w:space="0"/>
              <w:right w:val="single" w:color="auto" w:sz="4" w:space="0"/>
              <w:tl2br w:val="nil"/>
              <w:tr2bl w:val="nil"/>
            </w:tcBorders>
            <w:noWrap/>
            <w:vAlign w:val="center"/>
          </w:tcPr>
          <w:p w14:paraId="6499C63C">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叠加在建拟建源浓度增值（</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656" w:type="pct"/>
            <w:tcBorders>
              <w:top w:val="single" w:color="auto" w:sz="4" w:space="0"/>
              <w:left w:val="single" w:color="auto" w:sz="4" w:space="0"/>
              <w:bottom w:val="single" w:color="auto" w:sz="4" w:space="0"/>
              <w:right w:val="single" w:color="auto" w:sz="4" w:space="0"/>
              <w:tl2br w:val="nil"/>
              <w:tr2bl w:val="nil"/>
            </w:tcBorders>
            <w:noWrap/>
            <w:vAlign w:val="center"/>
          </w:tcPr>
          <w:p w14:paraId="0D4FBECB">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0A60D101">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3E7479C6">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叠加后浓度（</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6DE3A9D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6699632A">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7BBC5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5C207A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51B0727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32D4D6D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7FA31E4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66.1124</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4F9B22D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23012523</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66A08B5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3.31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7C39491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886.1124</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24719C0B">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44.31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56E2B52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0E7B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51364C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45E331F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21F32C5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23D4E54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169.6447</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227522B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23121021</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0838582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8.48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56531FE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989.6447</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2767CD4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49.48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55AE24EC">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EB17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1D6DC53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2F8E660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4F6429F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1EAAF7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145.3455</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01C7F8F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23110823</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5E3A581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7.27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7A8044A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965.3455</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70A7D5C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48.27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727F714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76BD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31540E3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3D31930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3B7EBF8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75A5950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148.6336</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6083568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23012523</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327ECE5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7.43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7C0B5FD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968.6336</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4565F12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48.43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23C1B8C8">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9CDB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015C192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76F6F9A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6930652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2FFB987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96.2473</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32DF9BD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23122922</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33995E7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4.81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2A9720C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916.2473</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1672976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45.81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19093197">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3CAF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F26534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6741C20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73ED1AE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7005A9E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118.405</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1AA891B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23112421</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592F3BB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5.92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1BCE708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938.405</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55A3E77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46.92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18279CFD">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368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628DCC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34CAB01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668FB92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090C731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94.945</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7CFE399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23122922</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4DBE970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4.75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09FDB7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914.9449</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2F6E59C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45.75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7E5C5A8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453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CEDCF1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126" w:type="dxa"/>
            <w:tcBorders>
              <w:top w:val="single" w:color="auto" w:sz="4" w:space="0"/>
              <w:left w:val="single" w:color="auto" w:sz="4" w:space="0"/>
              <w:bottom w:val="single" w:color="auto" w:sz="4" w:space="0"/>
              <w:right w:val="single" w:color="auto" w:sz="4" w:space="0"/>
              <w:tl2br w:val="nil"/>
              <w:tr2bl w:val="nil"/>
            </w:tcBorders>
            <w:noWrap/>
            <w:vAlign w:val="center"/>
          </w:tcPr>
          <w:p w14:paraId="02997CDE">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-1550,-950</w:t>
            </w:r>
            <w:r>
              <w:rPr>
                <w:rFonts w:hint="eastAsia" w:ascii="宋体" w:hAnsi="宋体" w:eastAsia="宋体" w:cs="宋体"/>
                <w:i w:val="0"/>
                <w:iCs w:val="0"/>
                <w:color w:val="auto"/>
                <w:kern w:val="0"/>
                <w:sz w:val="21"/>
                <w:szCs w:val="21"/>
                <w:u w:val="none"/>
                <w:lang w:val="en-US" w:eastAsia="zh-CN" w:bidi="ar"/>
              </w:rPr>
              <w:t>）</w:t>
            </w:r>
          </w:p>
        </w:tc>
        <w:tc>
          <w:tcPr>
            <w:tcW w:w="1127" w:type="dxa"/>
            <w:tcBorders>
              <w:top w:val="single" w:color="auto" w:sz="4" w:space="0"/>
              <w:left w:val="single" w:color="auto" w:sz="4" w:space="0"/>
              <w:bottom w:val="single" w:color="auto" w:sz="4" w:space="0"/>
              <w:right w:val="single" w:color="auto" w:sz="4" w:space="0"/>
              <w:tl2br w:val="nil"/>
              <w:tr2bl w:val="nil"/>
            </w:tcBorders>
            <w:noWrap/>
            <w:vAlign w:val="center"/>
          </w:tcPr>
          <w:p w14:paraId="4381777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00" w:type="dxa"/>
            <w:tcBorders>
              <w:top w:val="single" w:color="auto" w:sz="4" w:space="0"/>
              <w:left w:val="single" w:color="auto" w:sz="4" w:space="0"/>
              <w:bottom w:val="single" w:color="auto" w:sz="4" w:space="0"/>
              <w:right w:val="single" w:color="auto" w:sz="4" w:space="0"/>
              <w:tl2br w:val="nil"/>
              <w:tr2bl w:val="nil"/>
            </w:tcBorders>
            <w:noWrap/>
            <w:vAlign w:val="center"/>
          </w:tcPr>
          <w:p w14:paraId="69468D2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1066.99</w:t>
            </w:r>
          </w:p>
        </w:tc>
        <w:tc>
          <w:tcPr>
            <w:tcW w:w="1118" w:type="dxa"/>
            <w:tcBorders>
              <w:top w:val="single" w:color="auto" w:sz="4" w:space="0"/>
              <w:left w:val="single" w:color="auto" w:sz="4" w:space="0"/>
              <w:bottom w:val="single" w:color="auto" w:sz="4" w:space="0"/>
              <w:right w:val="single" w:color="auto" w:sz="4" w:space="0"/>
              <w:tl2br w:val="nil"/>
              <w:tr2bl w:val="nil"/>
            </w:tcBorders>
            <w:noWrap/>
            <w:vAlign w:val="center"/>
          </w:tcPr>
          <w:p w14:paraId="258FB8D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23081301</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5351F1D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53.35 </w:t>
            </w:r>
          </w:p>
        </w:tc>
        <w:tc>
          <w:tcPr>
            <w:tcW w:w="1241" w:type="dxa"/>
            <w:tcBorders>
              <w:top w:val="single" w:color="auto" w:sz="4" w:space="0"/>
              <w:left w:val="single" w:color="auto" w:sz="4" w:space="0"/>
              <w:bottom w:val="single" w:color="auto" w:sz="4" w:space="0"/>
              <w:right w:val="single" w:color="auto" w:sz="4" w:space="0"/>
              <w:tl2br w:val="nil"/>
              <w:tr2bl w:val="nil"/>
            </w:tcBorders>
            <w:noWrap/>
            <w:vAlign w:val="center"/>
          </w:tcPr>
          <w:p w14:paraId="227859B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1886.99</w:t>
            </w:r>
          </w:p>
        </w:tc>
        <w:tc>
          <w:tcPr>
            <w:tcW w:w="863" w:type="dxa"/>
            <w:tcBorders>
              <w:top w:val="single" w:color="auto" w:sz="4" w:space="0"/>
              <w:left w:val="single" w:color="auto" w:sz="4" w:space="0"/>
              <w:bottom w:val="single" w:color="auto" w:sz="4" w:space="0"/>
              <w:right w:val="single" w:color="auto" w:sz="4" w:space="0"/>
              <w:tl2br w:val="nil"/>
              <w:tr2bl w:val="nil"/>
            </w:tcBorders>
            <w:noWrap/>
            <w:vAlign w:val="center"/>
          </w:tcPr>
          <w:p w14:paraId="4920F4D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94.35 </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0B7FECB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60EA3863">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9865" cy="3208655"/>
            <wp:effectExtent l="0" t="0" r="6985" b="10795"/>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51"/>
                    <a:stretch>
                      <a:fillRect/>
                    </a:stretch>
                  </pic:blipFill>
                  <pic:spPr>
                    <a:xfrm>
                      <a:off x="0" y="0"/>
                      <a:ext cx="5269865" cy="3208655"/>
                    </a:xfrm>
                    <a:prstGeom prst="rect">
                      <a:avLst/>
                    </a:prstGeom>
                    <a:noFill/>
                    <a:ln>
                      <a:noFill/>
                    </a:ln>
                  </pic:spPr>
                </pic:pic>
              </a:graphicData>
            </a:graphic>
          </wp:inline>
        </w:drawing>
      </w:r>
    </w:p>
    <w:p w14:paraId="3E798C89">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25</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非甲烷总烃1小时浓度贡献值分布图（单位：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60E6EC57">
      <w:pPr>
        <w:autoSpaceDE w:val="0"/>
        <w:autoSpaceDN w:val="0"/>
        <w:adjustRightInd w:val="0"/>
        <w:snapToGrid w:val="0"/>
        <w:spacing w:beforeLines="0" w:afterLines="0" w:line="360" w:lineRule="auto"/>
        <w:rPr>
          <w:rFonts w:hint="default" w:ascii="Times New Roman" w:hAnsi="Times New Roman" w:eastAsia="Times New Roman" w:cs="Times New Roman"/>
          <w:color w:val="auto"/>
          <w:kern w:val="0"/>
          <w:sz w:val="24"/>
          <w:szCs w:val="24"/>
          <w:u w:val="single" w:color="auto"/>
        </w:rPr>
      </w:pPr>
      <w:r>
        <w:rPr>
          <w:color w:val="auto"/>
        </w:rPr>
        <w:drawing>
          <wp:inline distT="0" distB="0" distL="114300" distR="114300">
            <wp:extent cx="5266690" cy="3138170"/>
            <wp:effectExtent l="0" t="0" r="10160" b="5080"/>
            <wp:docPr id="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
                    <pic:cNvPicPr>
                      <a:picLocks noChangeAspect="1"/>
                    </pic:cNvPicPr>
                  </pic:nvPicPr>
                  <pic:blipFill>
                    <a:blip r:embed="rId52"/>
                    <a:stretch>
                      <a:fillRect/>
                    </a:stretch>
                  </pic:blipFill>
                  <pic:spPr>
                    <a:xfrm>
                      <a:off x="0" y="0"/>
                      <a:ext cx="5266690" cy="3138170"/>
                    </a:xfrm>
                    <a:prstGeom prst="rect">
                      <a:avLst/>
                    </a:prstGeom>
                    <a:noFill/>
                    <a:ln>
                      <a:noFill/>
                    </a:ln>
                  </pic:spPr>
                </pic:pic>
              </a:graphicData>
            </a:graphic>
          </wp:inline>
        </w:drawing>
      </w:r>
    </w:p>
    <w:p w14:paraId="4504CA23">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26</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非甲烷总烃1小时浓度贡献值分布图（叠加现后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6E82904D">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正常排放情况下，非甲烷总烃影响的预测计算结果见表4.2-21和表4.2-22。</w:t>
      </w:r>
    </w:p>
    <w:p w14:paraId="69BB18FF">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非甲烷总烃1小时浓度，各敏感点浓度增量在</w:t>
      </w:r>
      <w:r>
        <w:rPr>
          <w:rFonts w:hint="eastAsia" w:ascii="Times New Roman" w:hAnsi="Times New Roman" w:eastAsia="宋体" w:cs="Times New Roman"/>
          <w:color w:val="auto"/>
          <w:kern w:val="0"/>
          <w:sz w:val="24"/>
          <w:szCs w:val="24"/>
          <w:u w:val="single" w:color="auto"/>
          <w:lang w:val="en-US" w:eastAsia="zh-CN"/>
        </w:rPr>
        <w:t>29.5118</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66.0622</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的范围内，占标率为1.</w:t>
      </w:r>
      <w:r>
        <w:rPr>
          <w:rFonts w:hint="eastAsia" w:ascii="Times New Roman" w:hAnsi="Times New Roman" w:eastAsia="宋体" w:cs="Times New Roman"/>
          <w:color w:val="auto"/>
          <w:kern w:val="0"/>
          <w:sz w:val="24"/>
          <w:szCs w:val="24"/>
          <w:u w:val="single" w:color="auto"/>
          <w:lang w:val="en-US" w:eastAsia="zh-CN"/>
        </w:rPr>
        <w:t>48</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3.30</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，小于100%；叠加在建拟建源和背景值后各敏感点非甲烷总烃1小时浓度在</w:t>
      </w:r>
      <w:r>
        <w:rPr>
          <w:rFonts w:hint="eastAsia" w:ascii="Times New Roman" w:hAnsi="Times New Roman" w:eastAsia="宋体" w:cs="Times New Roman"/>
          <w:color w:val="auto"/>
          <w:kern w:val="0"/>
          <w:sz w:val="24"/>
          <w:szCs w:val="24"/>
          <w:u w:val="single" w:color="auto"/>
          <w:lang w:val="en-US" w:eastAsia="zh-CN"/>
        </w:rPr>
        <w:t>886.1124</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989.6447</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的范围，占标率为44.</w:t>
      </w:r>
      <w:r>
        <w:rPr>
          <w:rFonts w:hint="eastAsia" w:ascii="Times New Roman" w:hAnsi="Times New Roman" w:eastAsia="宋体" w:cs="Times New Roman"/>
          <w:color w:val="auto"/>
          <w:kern w:val="0"/>
          <w:sz w:val="24"/>
          <w:szCs w:val="24"/>
          <w:u w:val="single" w:color="auto"/>
          <w:lang w:val="en-US" w:eastAsia="zh-CN"/>
        </w:rPr>
        <w:t>31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49.</w:t>
      </w:r>
      <w:r>
        <w:rPr>
          <w:rFonts w:hint="eastAsia" w:ascii="Times New Roman" w:hAnsi="Times New Roman" w:eastAsia="宋体" w:cs="Times New Roman"/>
          <w:color w:val="auto"/>
          <w:kern w:val="0"/>
          <w:sz w:val="24"/>
          <w:szCs w:val="24"/>
          <w:u w:val="single" w:color="auto"/>
          <w:lang w:val="en-US" w:eastAsia="zh-CN"/>
        </w:rPr>
        <w:t>48</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w:t>
      </w:r>
      <w:r>
        <w:rPr>
          <w:rFonts w:hint="eastAsia" w:ascii="Times New Roman" w:hAnsi="Times New Roman" w:eastAsia="宋体" w:cs="Times New Roman"/>
          <w:color w:val="auto"/>
          <w:kern w:val="0"/>
          <w:sz w:val="24"/>
          <w:szCs w:val="24"/>
          <w:u w:val="single" w:color="auto"/>
          <w:lang w:val="en-US" w:eastAsia="zh-CN"/>
        </w:rPr>
        <w:t>346.4567</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17.32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，叠加在建拟建源和背景值后非甲烷总烃网格最大地面浓度为</w:t>
      </w:r>
      <w:r>
        <w:rPr>
          <w:rFonts w:hint="eastAsia" w:ascii="Times New Roman" w:hAnsi="Times New Roman" w:eastAsia="宋体" w:cs="Times New Roman"/>
          <w:color w:val="auto"/>
          <w:kern w:val="0"/>
          <w:sz w:val="24"/>
          <w:szCs w:val="24"/>
          <w:u w:val="single" w:color="auto"/>
          <w:lang w:val="en-US" w:eastAsia="zh-CN"/>
        </w:rPr>
        <w:t>1886.99</w:t>
      </w:r>
      <w:r>
        <w:rPr>
          <w:rFonts w:hint="default" w:ascii="Times New Roman" w:hAnsi="Times New Roman" w:eastAsia="Times New Roman" w:cs="Times New Roman"/>
          <w:color w:val="auto"/>
          <w:kern w:val="0"/>
          <w:sz w:val="24"/>
          <w:szCs w:val="24"/>
          <w:u w:val="single" w:color="auto"/>
        </w:rPr>
        <w:t>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94.35</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，小于100%。对于环境空气二类功能区而言，本项目区域叠加现状浓度值，排放的非甲烷总烃1小时浓度能满足《环境影响评价技术导则 大气环境》（HJ2.2-2018-2012）附录D。</w:t>
      </w:r>
    </w:p>
    <w:p w14:paraId="1004FDD7">
      <w:pPr>
        <w:autoSpaceDE w:val="0"/>
        <w:autoSpaceDN w:val="0"/>
        <w:adjustRightInd w:val="0"/>
        <w:snapToGrid w:val="0"/>
        <w:spacing w:beforeLines="0" w:afterLines="0" w:line="360" w:lineRule="auto"/>
        <w:ind w:firstLine="482" w:firstLineChars="200"/>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4）甲苯</w:t>
      </w:r>
    </w:p>
    <w:p w14:paraId="7B7D0A61">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环境敏感点地面质量浓度汇总见表4.2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23和表4.2-24。</w:t>
      </w:r>
    </w:p>
    <w:p w14:paraId="37415247">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23</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环境敏感点甲苯贡献质量浓度汇总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941"/>
        <w:gridCol w:w="909"/>
        <w:gridCol w:w="1522"/>
        <w:gridCol w:w="1420"/>
        <w:gridCol w:w="1255"/>
        <w:gridCol w:w="909"/>
      </w:tblGrid>
      <w:tr w14:paraId="74F7B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68BB2F37">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139" w:type="pct"/>
            <w:tcBorders>
              <w:top w:val="single" w:color="auto" w:sz="4" w:space="0"/>
              <w:left w:val="single" w:color="auto" w:sz="4" w:space="0"/>
              <w:bottom w:val="single" w:color="auto" w:sz="4" w:space="0"/>
              <w:right w:val="single" w:color="auto" w:sz="4" w:space="0"/>
              <w:tl2br w:val="nil"/>
              <w:tr2bl w:val="nil"/>
            </w:tcBorders>
            <w:noWrap/>
            <w:vAlign w:val="center"/>
          </w:tcPr>
          <w:p w14:paraId="57C7A5DD">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5BF21A44">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893" w:type="pct"/>
            <w:tcBorders>
              <w:top w:val="single" w:color="auto" w:sz="4" w:space="0"/>
              <w:left w:val="single" w:color="auto" w:sz="4" w:space="0"/>
              <w:bottom w:val="single" w:color="auto" w:sz="4" w:space="0"/>
              <w:right w:val="single" w:color="auto" w:sz="4" w:space="0"/>
              <w:tl2br w:val="nil"/>
              <w:tr2bl w:val="nil"/>
            </w:tcBorders>
            <w:noWrap/>
            <w:vAlign w:val="center"/>
          </w:tcPr>
          <w:p w14:paraId="4C238236">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833" w:type="pct"/>
            <w:tcBorders>
              <w:top w:val="single" w:color="auto" w:sz="4" w:space="0"/>
              <w:left w:val="single" w:color="auto" w:sz="4" w:space="0"/>
              <w:bottom w:val="single" w:color="auto" w:sz="4" w:space="0"/>
              <w:right w:val="single" w:color="auto" w:sz="4" w:space="0"/>
              <w:tl2br w:val="nil"/>
              <w:tr2bl w:val="nil"/>
            </w:tcBorders>
            <w:noWrap/>
            <w:vAlign w:val="center"/>
          </w:tcPr>
          <w:p w14:paraId="2BA06D75">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36" w:type="pct"/>
            <w:tcBorders>
              <w:top w:val="single" w:color="auto" w:sz="4" w:space="0"/>
              <w:left w:val="single" w:color="auto" w:sz="4" w:space="0"/>
              <w:bottom w:val="single" w:color="auto" w:sz="4" w:space="0"/>
              <w:right w:val="single" w:color="auto" w:sz="4" w:space="0"/>
              <w:tl2br w:val="nil"/>
              <w:tr2bl w:val="nil"/>
            </w:tcBorders>
            <w:noWrap/>
            <w:vAlign w:val="center"/>
          </w:tcPr>
          <w:p w14:paraId="35B31C63">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7AA7395B">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06484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468F18D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50A4203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过山路村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B98606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0A3A830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0.0665</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33A4EEC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23081606</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02A98E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0.03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9F1CB4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4927C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33A9203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673487C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淡水湾村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BE1D14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3DFA35B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0.0696</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7587E6F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23121021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53AA302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0.03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3FEE6E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52A50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4A822E2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5048AEF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金鼓村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444F4D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1820EDB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0.0466</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06219D2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23082724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3872390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0.02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4780787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38848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66F3591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5900E8D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钦州港安置小区</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470232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0AD15CB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0.0363</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79F3159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23012523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07371C8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0.02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4AF579F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63E93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5D25E72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79EA783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大榄坪</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66A80E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73E752F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0.0311</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01F684A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23122922</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7B5CA45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0.02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6D6BA8C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6D6F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004A7FB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2ADF020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钦州港开发区中学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FF3D18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11447A5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0.046</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187EB9F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23112422</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71C1CE0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0.02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A2CC19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5C910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6AC8BCF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02476F5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钦州港开发区第四小学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39C416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3A0F5E0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0.0399</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4064330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23100101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5CD9C5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0.02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45FAFA4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r w14:paraId="50FFE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9" w:type="pct"/>
            <w:tcBorders>
              <w:top w:val="single" w:color="auto" w:sz="4" w:space="0"/>
              <w:left w:val="single" w:color="auto" w:sz="4" w:space="0"/>
              <w:bottom w:val="single" w:color="auto" w:sz="4" w:space="0"/>
              <w:right w:val="single" w:color="auto" w:sz="4" w:space="0"/>
              <w:tl2br w:val="nil"/>
              <w:tr2bl w:val="nil"/>
            </w:tcBorders>
            <w:noWrap/>
            <w:vAlign w:val="center"/>
          </w:tcPr>
          <w:p w14:paraId="2765267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2AEDF7C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网格（</w:t>
            </w:r>
            <w:r>
              <w:rPr>
                <w:rFonts w:hint="default" w:ascii="Times New Roman" w:hAnsi="Times New Roman" w:eastAsia="宋体" w:cs="Times New Roman"/>
                <w:i w:val="0"/>
                <w:iCs w:val="0"/>
                <w:color w:val="auto"/>
                <w:kern w:val="0"/>
                <w:sz w:val="21"/>
                <w:szCs w:val="21"/>
                <w:u w:val="single" w:color="auto"/>
                <w:lang w:val="en-US" w:eastAsia="zh-CN" w:bidi="ar"/>
              </w:rPr>
              <w:t>-250,50</w:t>
            </w:r>
            <w:r>
              <w:rPr>
                <w:rFonts w:hint="eastAsia" w:ascii="宋体" w:hAnsi="宋体" w:eastAsia="宋体" w:cs="宋体"/>
                <w:i w:val="0"/>
                <w:iCs w:val="0"/>
                <w:color w:val="auto"/>
                <w:kern w:val="0"/>
                <w:sz w:val="21"/>
                <w:szCs w:val="21"/>
                <w:u w:val="single" w:color="auto"/>
                <w:lang w:val="en-US" w:eastAsia="zh-CN" w:bidi="ar"/>
              </w:rPr>
              <w:t>）</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63D74B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r>
              <w:rPr>
                <w:rFonts w:hint="eastAsia" w:ascii="宋体" w:hAnsi="宋体" w:eastAsia="宋体" w:cs="宋体"/>
                <w:i w:val="0"/>
                <w:iCs w:val="0"/>
                <w:color w:val="auto"/>
                <w:kern w:val="0"/>
                <w:sz w:val="21"/>
                <w:szCs w:val="21"/>
                <w:u w:val="single" w:color="auto"/>
                <w:lang w:val="en-US" w:eastAsia="zh-CN" w:bidi="ar"/>
              </w:rPr>
              <w:t>小时</w:t>
            </w:r>
          </w:p>
        </w:tc>
        <w:tc>
          <w:tcPr>
            <w:tcW w:w="1522" w:type="dxa"/>
            <w:tcBorders>
              <w:top w:val="single" w:color="auto" w:sz="4" w:space="0"/>
              <w:left w:val="single" w:color="auto" w:sz="4" w:space="0"/>
              <w:bottom w:val="single" w:color="auto" w:sz="4" w:space="0"/>
              <w:right w:val="single" w:color="auto" w:sz="4" w:space="0"/>
              <w:tl2br w:val="nil"/>
              <w:tr2bl w:val="nil"/>
            </w:tcBorders>
            <w:noWrap/>
            <w:vAlign w:val="center"/>
          </w:tcPr>
          <w:p w14:paraId="0A34053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0.3843</w:t>
            </w:r>
          </w:p>
        </w:tc>
        <w:tc>
          <w:tcPr>
            <w:tcW w:w="1420" w:type="dxa"/>
            <w:tcBorders>
              <w:top w:val="single" w:color="auto" w:sz="4" w:space="0"/>
              <w:left w:val="single" w:color="auto" w:sz="4" w:space="0"/>
              <w:bottom w:val="single" w:color="auto" w:sz="4" w:space="0"/>
              <w:right w:val="single" w:color="auto" w:sz="4" w:space="0"/>
              <w:tl2br w:val="nil"/>
              <w:tr2bl w:val="nil"/>
            </w:tcBorders>
            <w:noWrap/>
            <w:vAlign w:val="center"/>
          </w:tcPr>
          <w:p w14:paraId="0F455EC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23012608</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2D4F70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0.19 </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B2E431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single" w:color="auto"/>
                <w:lang w:val="en-US" w:eastAsia="zh-CN" w:bidi="ar"/>
              </w:rPr>
              <w:t>达标</w:t>
            </w:r>
          </w:p>
        </w:tc>
      </w:tr>
    </w:tbl>
    <w:p w14:paraId="676B54D2">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24</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环境敏感点甲苯叠加后质量浓度汇总</w:t>
      </w:r>
    </w:p>
    <w:tbl>
      <w:tblPr>
        <w:tblStyle w:val="37"/>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88"/>
        <w:gridCol w:w="897"/>
        <w:gridCol w:w="1260"/>
        <w:gridCol w:w="1166"/>
        <w:gridCol w:w="723"/>
        <w:gridCol w:w="1241"/>
        <w:gridCol w:w="863"/>
        <w:gridCol w:w="647"/>
      </w:tblGrid>
      <w:tr w14:paraId="0F772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2FFA214C">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3E82C10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2E8B03C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6A1DBC5A">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叠加在建拟建源浓度增值（</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083651CA">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7DFE8CD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3BC36687">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叠加后浓度（</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4C800E6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2B8BACC7">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5E20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1F0B3B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5E0A92E6">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过山路村</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29DD521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00026F1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0.0665</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5AE38832">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23081606</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34FEA25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0.03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3D6244B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0.8165</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74CDD9D5">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0.41</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0A901EE0">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EAD2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E2953D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315EA607">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淡水湾村</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18A40B6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5086913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0.0696</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3E25E0F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23121021</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33B7360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0.03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784ED41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0.8196</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60ABD725">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0.41</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6E26D80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AC2B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45BE816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1726EF6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金鼓村</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2DB70E7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3C3442E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0.0466</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20DEB5E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23082724</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7B9E0CB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0.02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5E510C6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0.7966</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29E3E5D4">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0.40</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4CF1DA3A">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38F2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2DF249D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7AFDD6B8">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钦州港安置小区</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68C5537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7F0CA96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0.0363</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079F36D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23012523</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7626A53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0.02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7E17573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0.7863</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6A8914C8">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0.39</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3BFD172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0F9D8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39236DD2">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6FA2B1A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大榄坪</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75D3450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74E684F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0.0311</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3092114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23122922</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600585C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0.02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53D2530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0.7811</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0ABBB3EC">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0.39</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4085A23D">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75CA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D7A71C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0065130F">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钦州港开发区中学</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7117AF2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35A59B2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0.046</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5888D14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23112422</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0234556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0.02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035D658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0.796</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5A651176">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0.40</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3044521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826B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6C32098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77BA382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钦州港开发区第四小学</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0C6A3F3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347EAAC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0.0399</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641A79F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23100101</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69AF99B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0.02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9CA493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0.7899</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0A6D03BF">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0.39</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50ADCB0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C2F4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52" w:type="pct"/>
            <w:tcBorders>
              <w:top w:val="single" w:color="auto" w:sz="4" w:space="0"/>
              <w:left w:val="single" w:color="auto" w:sz="4" w:space="0"/>
              <w:bottom w:val="single" w:color="auto" w:sz="4" w:space="0"/>
              <w:right w:val="single" w:color="auto" w:sz="4" w:space="0"/>
              <w:tl2br w:val="nil"/>
              <w:tr2bl w:val="nil"/>
            </w:tcBorders>
            <w:noWrap/>
            <w:vAlign w:val="center"/>
          </w:tcPr>
          <w:p w14:paraId="77E70F3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756" w:type="pct"/>
            <w:tcBorders>
              <w:top w:val="single" w:color="auto" w:sz="4" w:space="0"/>
              <w:left w:val="single" w:color="auto" w:sz="4" w:space="0"/>
              <w:bottom w:val="single" w:color="auto" w:sz="4" w:space="0"/>
              <w:right w:val="single" w:color="auto" w:sz="4" w:space="0"/>
              <w:tl2br w:val="nil"/>
              <w:tr2bl w:val="nil"/>
            </w:tcBorders>
            <w:noWrap/>
            <w:vAlign w:val="center"/>
          </w:tcPr>
          <w:p w14:paraId="630A397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网格（</w:t>
            </w:r>
            <w:r>
              <w:rPr>
                <w:rFonts w:hint="default" w:ascii="Times New Roman" w:hAnsi="Times New Roman" w:eastAsia="Times New Roman" w:cs="Times New Roman"/>
                <w:color w:val="auto"/>
                <w:kern w:val="0"/>
                <w:sz w:val="21"/>
                <w:szCs w:val="21"/>
                <w:u w:val="single" w:color="auto"/>
                <w:lang w:bidi="ar"/>
              </w:rPr>
              <w:t>-250,50</w:t>
            </w:r>
            <w:r>
              <w:rPr>
                <w:rFonts w:hint="default" w:ascii="Times New Roman" w:hAnsi="Times New Roman" w:eastAsia="宋体" w:cs="Times New Roman"/>
                <w:color w:val="auto"/>
                <w:kern w:val="0"/>
                <w:sz w:val="21"/>
                <w:szCs w:val="21"/>
                <w:u w:val="single" w:color="auto"/>
                <w:lang w:bidi="ar"/>
              </w:rPr>
              <w:t>）</w:t>
            </w:r>
          </w:p>
        </w:tc>
        <w:tc>
          <w:tcPr>
            <w:tcW w:w="526" w:type="pct"/>
            <w:tcBorders>
              <w:top w:val="single" w:color="auto" w:sz="4" w:space="0"/>
              <w:left w:val="single" w:color="auto" w:sz="4" w:space="0"/>
              <w:bottom w:val="single" w:color="auto" w:sz="4" w:space="0"/>
              <w:right w:val="single" w:color="auto" w:sz="4" w:space="0"/>
              <w:tl2br w:val="nil"/>
              <w:tr2bl w:val="nil"/>
            </w:tcBorders>
            <w:noWrap/>
            <w:vAlign w:val="center"/>
          </w:tcPr>
          <w:p w14:paraId="45686FB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r>
              <w:rPr>
                <w:rFonts w:hint="default" w:ascii="Times New Roman" w:hAnsi="Times New Roman" w:eastAsia="宋体" w:cs="Times New Roman"/>
                <w:color w:val="auto"/>
                <w:kern w:val="0"/>
                <w:sz w:val="21"/>
                <w:szCs w:val="21"/>
                <w:u w:val="single" w:color="auto"/>
                <w:lang w:bidi="ar"/>
              </w:rPr>
              <w:t>小时</w:t>
            </w:r>
          </w:p>
        </w:tc>
        <w:tc>
          <w:tcPr>
            <w:tcW w:w="739" w:type="pct"/>
            <w:tcBorders>
              <w:top w:val="single" w:color="auto" w:sz="4" w:space="0"/>
              <w:left w:val="single" w:color="auto" w:sz="4" w:space="0"/>
              <w:bottom w:val="single" w:color="auto" w:sz="4" w:space="0"/>
              <w:right w:val="single" w:color="auto" w:sz="4" w:space="0"/>
              <w:tl2br w:val="nil"/>
              <w:tr2bl w:val="nil"/>
            </w:tcBorders>
            <w:noWrap/>
            <w:vAlign w:val="center"/>
          </w:tcPr>
          <w:p w14:paraId="2A6FCDC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0.3843</w:t>
            </w:r>
          </w:p>
        </w:tc>
        <w:tc>
          <w:tcPr>
            <w:tcW w:w="684" w:type="pct"/>
            <w:tcBorders>
              <w:top w:val="single" w:color="auto" w:sz="4" w:space="0"/>
              <w:left w:val="single" w:color="auto" w:sz="4" w:space="0"/>
              <w:bottom w:val="single" w:color="auto" w:sz="4" w:space="0"/>
              <w:right w:val="single" w:color="auto" w:sz="4" w:space="0"/>
              <w:tl2br w:val="nil"/>
              <w:tr2bl w:val="nil"/>
            </w:tcBorders>
            <w:noWrap/>
            <w:vAlign w:val="center"/>
          </w:tcPr>
          <w:p w14:paraId="6363799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23012608</w:t>
            </w:r>
          </w:p>
        </w:tc>
        <w:tc>
          <w:tcPr>
            <w:tcW w:w="424" w:type="pct"/>
            <w:tcBorders>
              <w:top w:val="single" w:color="auto" w:sz="4" w:space="0"/>
              <w:left w:val="single" w:color="auto" w:sz="4" w:space="0"/>
              <w:bottom w:val="single" w:color="auto" w:sz="4" w:space="0"/>
              <w:right w:val="single" w:color="auto" w:sz="4" w:space="0"/>
              <w:tl2br w:val="nil"/>
              <w:tr2bl w:val="nil"/>
            </w:tcBorders>
            <w:noWrap/>
            <w:vAlign w:val="center"/>
          </w:tcPr>
          <w:p w14:paraId="70DC6D8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 xml:space="preserve">0.19 </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594359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1.1343</w:t>
            </w:r>
          </w:p>
        </w:tc>
        <w:tc>
          <w:tcPr>
            <w:tcW w:w="506" w:type="pct"/>
            <w:tcBorders>
              <w:top w:val="single" w:color="auto" w:sz="4" w:space="0"/>
              <w:left w:val="single" w:color="auto" w:sz="4" w:space="0"/>
              <w:bottom w:val="single" w:color="auto" w:sz="4" w:space="0"/>
              <w:right w:val="single" w:color="auto" w:sz="4" w:space="0"/>
              <w:tl2br w:val="nil"/>
              <w:tr2bl w:val="nil"/>
            </w:tcBorders>
            <w:noWrap/>
            <w:vAlign w:val="center"/>
          </w:tcPr>
          <w:p w14:paraId="664BC71D">
            <w:pPr>
              <w:jc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Times New Roman" w:cs="Times New Roman"/>
                <w:color w:val="auto"/>
                <w:sz w:val="21"/>
                <w:szCs w:val="24"/>
                <w:u w:val="single" w:color="auto"/>
              </w:rPr>
              <w:t>0.57</w:t>
            </w:r>
          </w:p>
        </w:tc>
        <w:tc>
          <w:tcPr>
            <w:tcW w:w="379" w:type="pct"/>
            <w:tcBorders>
              <w:top w:val="single" w:color="auto" w:sz="4" w:space="0"/>
              <w:left w:val="single" w:color="auto" w:sz="4" w:space="0"/>
              <w:bottom w:val="single" w:color="auto" w:sz="4" w:space="0"/>
              <w:right w:val="single" w:color="auto" w:sz="4" w:space="0"/>
              <w:tl2br w:val="nil"/>
              <w:tr2bl w:val="nil"/>
            </w:tcBorders>
            <w:noWrap/>
            <w:vAlign w:val="center"/>
          </w:tcPr>
          <w:p w14:paraId="6B5730BF">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034D250D">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p>
    <w:p w14:paraId="72298117">
      <w:pPr>
        <w:pStyle w:val="35"/>
        <w:spacing w:beforeLines="0" w:afterLines="0"/>
        <w:ind w:firstLine="210"/>
        <w:rPr>
          <w:rFonts w:hint="default" w:ascii="Times New Roman" w:hAnsi="Times New Roman" w:eastAsia="Times New Roman" w:cs="Times New Roman"/>
          <w:b/>
          <w:color w:val="auto"/>
          <w:kern w:val="0"/>
          <w:sz w:val="24"/>
          <w:szCs w:val="24"/>
          <w:u w:val="single" w:color="auto"/>
        </w:rPr>
      </w:pPr>
      <w:r>
        <w:rPr>
          <w:rFonts w:hint="default" w:ascii="Times New Roman" w:hAnsi="Times New Roman" w:cs="Times New Roman"/>
          <w:color w:val="auto"/>
          <w:sz w:val="21"/>
          <w:szCs w:val="22"/>
          <w:u w:val="single" w:color="auto"/>
        </w:rPr>
        <w:drawing>
          <wp:inline distT="0" distB="0" distL="114300" distR="114300">
            <wp:extent cx="5265420" cy="3261360"/>
            <wp:effectExtent l="0" t="0" r="1905" b="571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53"/>
                    <a:stretch>
                      <a:fillRect/>
                    </a:stretch>
                  </pic:blipFill>
                  <pic:spPr>
                    <a:xfrm>
                      <a:off x="0" y="0"/>
                      <a:ext cx="5265420" cy="3261360"/>
                    </a:xfrm>
                    <a:prstGeom prst="rect">
                      <a:avLst/>
                    </a:prstGeom>
                    <a:noFill/>
                    <a:ln>
                      <a:noFill/>
                    </a:ln>
                  </pic:spPr>
                </pic:pic>
              </a:graphicData>
            </a:graphic>
          </wp:inline>
        </w:drawing>
      </w:r>
    </w:p>
    <w:p w14:paraId="24E3E410">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27</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甲苯1小时浓度贡献值分布图（单位：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67D618A5">
      <w:pPr>
        <w:pStyle w:val="35"/>
        <w:spacing w:beforeLines="0" w:afterLines="0"/>
        <w:ind w:firstLine="241"/>
        <w:rPr>
          <w:rFonts w:hint="default" w:ascii="Times New Roman" w:hAnsi="Times New Roman" w:eastAsia="Times New Roman" w:cs="Times New Roman"/>
          <w:b/>
          <w:color w:val="auto"/>
          <w:kern w:val="0"/>
          <w:sz w:val="24"/>
          <w:szCs w:val="24"/>
          <w:u w:val="single" w:color="auto"/>
        </w:rPr>
      </w:pPr>
      <w:r>
        <w:rPr>
          <w:rFonts w:hint="default" w:ascii="Times New Roman" w:hAnsi="Times New Roman" w:cs="Times New Roman"/>
          <w:color w:val="auto"/>
          <w:sz w:val="21"/>
          <w:szCs w:val="22"/>
          <w:u w:val="single" w:color="auto"/>
        </w:rPr>
        <w:drawing>
          <wp:inline distT="0" distB="0" distL="114300" distR="114300">
            <wp:extent cx="5280660" cy="3261360"/>
            <wp:effectExtent l="0" t="0" r="5715" b="5715"/>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54"/>
                    <a:stretch>
                      <a:fillRect/>
                    </a:stretch>
                  </pic:blipFill>
                  <pic:spPr>
                    <a:xfrm>
                      <a:off x="0" y="0"/>
                      <a:ext cx="5280660" cy="3261360"/>
                    </a:xfrm>
                    <a:prstGeom prst="rect">
                      <a:avLst/>
                    </a:prstGeom>
                    <a:noFill/>
                    <a:ln>
                      <a:noFill/>
                    </a:ln>
                  </pic:spPr>
                </pic:pic>
              </a:graphicData>
            </a:graphic>
          </wp:inline>
        </w:drawing>
      </w:r>
    </w:p>
    <w:p w14:paraId="4DB92EE5">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图4.2-28</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甲苯1小时浓度贡献值分布图（叠加后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0934E354">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正常排放情况下，甲苯影响的预测计算结果见表4.2-23和表4.2-24。</w:t>
      </w:r>
    </w:p>
    <w:p w14:paraId="6A2AC61B">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甲苯1小时浓度，各敏感点浓度增量在0.0311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0.0.696</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的范围内，占标率为0.02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0.03</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，小于100%；叠加在建拟建源和背景值后各敏感点甲苯1小时浓度在0.7811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0.8196</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的范围，占标率为0.0.39</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0.41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，小于100%；网格最大地面浓度点浓度增量为0.3843</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，占标率为0.19</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，叠加在建拟建源和背景值后甲苯网格最大地面浓度为1.1343</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，占标率为0.57</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，小于100%。对于环境空气二类功能区而言，本项目区域叠加现状浓度值，排放的甲苯1小时浓度能满足《环境影响评价技术导则 大气环境》（HJ2.2-2018-2012）附录D。</w:t>
      </w:r>
    </w:p>
    <w:p w14:paraId="04B01930">
      <w:pPr>
        <w:autoSpaceDE w:val="0"/>
        <w:autoSpaceDN w:val="0"/>
        <w:adjustRightInd w:val="0"/>
        <w:snapToGrid w:val="0"/>
        <w:spacing w:beforeLines="0" w:afterLines="0" w:line="360" w:lineRule="auto"/>
        <w:ind w:firstLine="482" w:firstLineChars="200"/>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5）二甲苯</w:t>
      </w:r>
    </w:p>
    <w:p w14:paraId="264EDDBC">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环境敏感点地面质量浓度汇总见表4.2</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25和表4.2-26。</w:t>
      </w:r>
    </w:p>
    <w:p w14:paraId="5358A68D">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25</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环境敏感点二甲苯贡献质量浓度汇总</w:t>
      </w:r>
    </w:p>
    <w:tbl>
      <w:tblPr>
        <w:tblStyle w:val="37"/>
        <w:tblW w:w="8416"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2218"/>
        <w:gridCol w:w="1016"/>
        <w:gridCol w:w="1119"/>
        <w:gridCol w:w="1249"/>
        <w:gridCol w:w="783"/>
        <w:gridCol w:w="1016"/>
      </w:tblGrid>
      <w:tr w14:paraId="69CE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25" w:type="dxa"/>
            <w:tcBorders>
              <w:top w:val="single" w:color="auto" w:sz="4" w:space="0"/>
              <w:left w:val="single" w:color="auto" w:sz="4" w:space="0"/>
              <w:bottom w:val="single" w:color="auto" w:sz="4" w:space="0"/>
              <w:right w:val="single" w:color="auto" w:sz="4" w:space="0"/>
              <w:tl2br w:val="nil"/>
              <w:tr2bl w:val="nil"/>
            </w:tcBorders>
            <w:noWrap/>
            <w:vAlign w:val="center"/>
          </w:tcPr>
          <w:p w14:paraId="2353D1BB">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2184" w:type="dxa"/>
            <w:tcBorders>
              <w:top w:val="single" w:color="auto" w:sz="4" w:space="0"/>
              <w:left w:val="single" w:color="auto" w:sz="4" w:space="0"/>
              <w:bottom w:val="single" w:color="auto" w:sz="4" w:space="0"/>
              <w:right w:val="single" w:color="auto" w:sz="4" w:space="0"/>
              <w:tl2br w:val="nil"/>
              <w:tr2bl w:val="nil"/>
            </w:tcBorders>
            <w:noWrap/>
            <w:vAlign w:val="center"/>
          </w:tcPr>
          <w:p w14:paraId="26DC6B8D">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37707904">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1103" w:type="dxa"/>
            <w:tcBorders>
              <w:top w:val="single" w:color="auto" w:sz="4" w:space="0"/>
              <w:left w:val="single" w:color="auto" w:sz="4" w:space="0"/>
              <w:bottom w:val="single" w:color="auto" w:sz="4" w:space="0"/>
              <w:right w:val="single" w:color="auto" w:sz="4" w:space="0"/>
              <w:tl2br w:val="nil"/>
              <w:tr2bl w:val="nil"/>
            </w:tcBorders>
            <w:noWrap/>
            <w:vAlign w:val="center"/>
          </w:tcPr>
          <w:p w14:paraId="0C758328">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61895AE7">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107799C7">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1026" w:type="dxa"/>
            <w:tcBorders>
              <w:top w:val="single" w:color="auto" w:sz="4" w:space="0"/>
              <w:left w:val="single" w:color="auto" w:sz="4" w:space="0"/>
              <w:bottom w:val="single" w:color="auto" w:sz="4" w:space="0"/>
              <w:right w:val="single" w:color="auto" w:sz="4" w:space="0"/>
              <w:tl2br w:val="nil"/>
              <w:tr2bl w:val="nil"/>
            </w:tcBorders>
            <w:noWrap/>
            <w:vAlign w:val="center"/>
          </w:tcPr>
          <w:p w14:paraId="1984101D">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1B0E7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28C7EBE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0D78B20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764084A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323F28A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34.9924</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1E17C04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23081606</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7DC3DFE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17.50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3D4AD8A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6678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4DFF66C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2F76153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38431AF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08B4B2C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36.613</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70ED756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23121021</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4F1A68C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18.31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7718F5B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EF9C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05F0F0A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3B57006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6776443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17A78FA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24.5151</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0E3A4D7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23082724</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099FBC6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12.26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0808943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ECFB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40998FD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57BD64B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6A9CF2B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39A4B25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19.0732</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19DD353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23012523</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28078AE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9.54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7A05375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1A76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2FD6458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7CE5F0E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4BD19B9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295E5EB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16.3562</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018087C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23122922</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0BBC276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8.18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4ACDAF6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8AC1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3834FB2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79A8E4B9">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1165B30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5006A3C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24.1976</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683F2A9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23112422</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2B99043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12.10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42CE2C3C">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CA15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0D75D3C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4196159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39C4BF2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1ADAABA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20.9694</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0698CDA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23100101</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087B027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10.48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3D18124E">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06E1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96" w:type="dxa"/>
            <w:tcBorders>
              <w:top w:val="single" w:color="auto" w:sz="4" w:space="0"/>
              <w:left w:val="single" w:color="auto" w:sz="4" w:space="0"/>
              <w:bottom w:val="single" w:color="auto" w:sz="4" w:space="0"/>
              <w:right w:val="single" w:color="auto" w:sz="4" w:space="0"/>
              <w:tl2br w:val="nil"/>
              <w:tr2bl w:val="nil"/>
            </w:tcBorders>
            <w:noWrap/>
            <w:vAlign w:val="center"/>
          </w:tcPr>
          <w:p w14:paraId="10CF19F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2243" w:type="dxa"/>
            <w:tcBorders>
              <w:top w:val="single" w:color="auto" w:sz="4" w:space="0"/>
              <w:left w:val="single" w:color="auto" w:sz="4" w:space="0"/>
              <w:bottom w:val="single" w:color="auto" w:sz="4" w:space="0"/>
              <w:right w:val="single" w:color="auto" w:sz="4" w:space="0"/>
              <w:tl2br w:val="nil"/>
              <w:tr2bl w:val="nil"/>
            </w:tcBorders>
            <w:noWrap/>
            <w:vAlign w:val="center"/>
          </w:tcPr>
          <w:p w14:paraId="1EFFBFB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-300,200</w:t>
            </w:r>
            <w:r>
              <w:rPr>
                <w:rFonts w:hint="eastAsia" w:ascii="宋体" w:hAnsi="宋体" w:eastAsia="宋体" w:cs="宋体"/>
                <w:i w:val="0"/>
                <w:iCs w:val="0"/>
                <w:color w:val="auto"/>
                <w:kern w:val="0"/>
                <w:sz w:val="21"/>
                <w:szCs w:val="21"/>
                <w:u w:val="none"/>
                <w:lang w:val="en-US" w:eastAsia="zh-CN" w:bidi="ar"/>
              </w:rPr>
              <w:t>）</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705E196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30" w:type="dxa"/>
            <w:tcBorders>
              <w:top w:val="single" w:color="auto" w:sz="4" w:space="0"/>
              <w:left w:val="single" w:color="auto" w:sz="4" w:space="0"/>
              <w:bottom w:val="single" w:color="auto" w:sz="4" w:space="0"/>
              <w:right w:val="single" w:color="auto" w:sz="4" w:space="0"/>
              <w:tl2br w:val="nil"/>
              <w:tr2bl w:val="nil"/>
            </w:tcBorders>
            <w:noWrap/>
            <w:vAlign w:val="center"/>
          </w:tcPr>
          <w:p w14:paraId="3C9463C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192.1154</w:t>
            </w:r>
          </w:p>
        </w:tc>
        <w:tc>
          <w:tcPr>
            <w:tcW w:w="1262" w:type="dxa"/>
            <w:tcBorders>
              <w:top w:val="single" w:color="auto" w:sz="4" w:space="0"/>
              <w:left w:val="single" w:color="auto" w:sz="4" w:space="0"/>
              <w:bottom w:val="single" w:color="auto" w:sz="4" w:space="0"/>
              <w:right w:val="single" w:color="auto" w:sz="4" w:space="0"/>
              <w:tl2br w:val="nil"/>
              <w:tr2bl w:val="nil"/>
            </w:tcBorders>
            <w:noWrap/>
            <w:vAlign w:val="center"/>
          </w:tcPr>
          <w:p w14:paraId="490EBF0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23031507</w:t>
            </w:r>
          </w:p>
        </w:tc>
        <w:tc>
          <w:tcPr>
            <w:tcW w:w="790" w:type="dxa"/>
            <w:tcBorders>
              <w:top w:val="single" w:color="auto" w:sz="4" w:space="0"/>
              <w:left w:val="single" w:color="auto" w:sz="4" w:space="0"/>
              <w:bottom w:val="single" w:color="auto" w:sz="4" w:space="0"/>
              <w:right w:val="single" w:color="auto" w:sz="4" w:space="0"/>
              <w:tl2br w:val="nil"/>
              <w:tr2bl w:val="nil"/>
            </w:tcBorders>
            <w:noWrap/>
            <w:vAlign w:val="center"/>
          </w:tcPr>
          <w:p w14:paraId="7E705AA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96.06 </w:t>
            </w:r>
          </w:p>
        </w:tc>
        <w:tc>
          <w:tcPr>
            <w:tcW w:w="998" w:type="dxa"/>
            <w:tcBorders>
              <w:top w:val="single" w:color="auto" w:sz="4" w:space="0"/>
              <w:left w:val="single" w:color="auto" w:sz="4" w:space="0"/>
              <w:bottom w:val="single" w:color="auto" w:sz="4" w:space="0"/>
              <w:right w:val="single" w:color="auto" w:sz="4" w:space="0"/>
              <w:tl2br w:val="nil"/>
              <w:tr2bl w:val="nil"/>
            </w:tcBorders>
            <w:noWrap/>
            <w:vAlign w:val="center"/>
          </w:tcPr>
          <w:p w14:paraId="53B4136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024542A9">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26</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环境敏感点二甲苯叠加后质量浓度汇总</w:t>
      </w:r>
    </w:p>
    <w:tbl>
      <w:tblPr>
        <w:tblStyle w:val="3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0"/>
        <w:gridCol w:w="1288"/>
        <w:gridCol w:w="830"/>
        <w:gridCol w:w="1118"/>
        <w:gridCol w:w="1235"/>
        <w:gridCol w:w="863"/>
        <w:gridCol w:w="1241"/>
        <w:gridCol w:w="863"/>
        <w:gridCol w:w="647"/>
      </w:tblGrid>
      <w:tr w14:paraId="2BB7A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1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52271B7B">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756"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0B1E35CA">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487"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4D748489">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656"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331E0A61">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叠加在建拟建源浓度增值（</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725"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07E3F5F9">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506"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966E9AD">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728"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7999A12F">
            <w:pPr>
              <w:widowControl/>
              <w:spacing w:beforeLines="0" w:afterLines="0"/>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叠加后浓度（</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506"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09926303">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6BED65C6">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31FAD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3"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C85006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2886A6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859F05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FA90BC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34.9924</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D77163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23081606</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E600BA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17.50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A3EB9D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35.7424</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985DAA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17.87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4CB09D0C">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CB09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5E71F41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A04F4F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673EB0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1E3AF6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36.613</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24E9CD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23121021</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765C25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18.31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F3C642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37.363</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6FA24C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18.68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726870A">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0E3BD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60B3C5E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A5400E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EF8832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44D3ED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24.5151</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4781D6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23082724</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00F433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12.26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A31B6D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25.2651</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5BF8D9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12.63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4B9DCDF">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002D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8E6554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1AC9F5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A70EAF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0C14C6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19.0732</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A19AEE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23012523</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093551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9.54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290FBF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19.8232</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100325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9.91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0C40CBD9">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B69C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12EE722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4A9397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EF082B8">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61A044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16.3562</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BBC00A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23122922</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77BC51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8.18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5623D6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17.1062</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730328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8.55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1ADE16A7">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3322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6495549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A27C11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9E5A1B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661E27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24.1976</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38F506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23112422</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5362D6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12.10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6512AC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24.9476</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617141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12.47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759C6F0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B4A7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44B63C2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BCF046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F2F79C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485D3B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20.9694</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0072EE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23100101</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E7C9D9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10.48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6C436F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21.7194</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2D83F2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10.86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7A8D4D00">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AFED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52"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04B8C92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28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077761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-250,50</w:t>
            </w:r>
            <w:r>
              <w:rPr>
                <w:rFonts w:hint="eastAsia" w:ascii="宋体" w:hAnsi="宋体" w:eastAsia="宋体" w:cs="宋体"/>
                <w:i w:val="0"/>
                <w:iCs w:val="0"/>
                <w:color w:val="auto"/>
                <w:kern w:val="0"/>
                <w:sz w:val="21"/>
                <w:szCs w:val="21"/>
                <w:u w:val="none"/>
                <w:lang w:val="en-US" w:eastAsia="zh-CN" w:bidi="ar"/>
              </w:rPr>
              <w:t>）</w:t>
            </w:r>
          </w:p>
        </w:tc>
        <w:tc>
          <w:tcPr>
            <w:tcW w:w="830"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80C5E1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1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0516C7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192.1154</w:t>
            </w:r>
          </w:p>
        </w:tc>
        <w:tc>
          <w:tcPr>
            <w:tcW w:w="1235"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DD7889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AB848D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96.06 </w:t>
            </w:r>
          </w:p>
        </w:tc>
        <w:tc>
          <w:tcPr>
            <w:tcW w:w="124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88FFED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192.8654</w:t>
            </w:r>
          </w:p>
        </w:tc>
        <w:tc>
          <w:tcPr>
            <w:tcW w:w="863"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C08CB8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96.43 </w:t>
            </w:r>
          </w:p>
        </w:tc>
        <w:tc>
          <w:tcPr>
            <w:tcW w:w="380" w:type="pct"/>
            <w:tcBorders>
              <w:top w:val="single" w:color="000000" w:sz="4" w:space="0"/>
              <w:left w:val="single" w:color="000000" w:sz="4" w:space="0"/>
              <w:bottom w:val="single" w:color="000000" w:sz="4" w:space="0"/>
              <w:right w:val="single" w:color="000000" w:sz="4" w:space="0"/>
              <w:tl2br w:val="nil"/>
              <w:tr2bl w:val="nil"/>
            </w:tcBorders>
            <w:noWrap/>
            <w:vAlign w:val="center"/>
          </w:tcPr>
          <w:p w14:paraId="2C35431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72D20A9D">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4150" cy="3185160"/>
            <wp:effectExtent l="0" t="0" r="12700" b="15240"/>
            <wp:docPr id="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1"/>
                    <pic:cNvPicPr>
                      <a:picLocks noChangeAspect="1"/>
                    </pic:cNvPicPr>
                  </pic:nvPicPr>
                  <pic:blipFill>
                    <a:blip r:embed="rId55"/>
                    <a:stretch>
                      <a:fillRect/>
                    </a:stretch>
                  </pic:blipFill>
                  <pic:spPr>
                    <a:xfrm>
                      <a:off x="0" y="0"/>
                      <a:ext cx="5264150" cy="3185160"/>
                    </a:xfrm>
                    <a:prstGeom prst="rect">
                      <a:avLst/>
                    </a:prstGeom>
                    <a:noFill/>
                    <a:ln>
                      <a:noFill/>
                    </a:ln>
                  </pic:spPr>
                </pic:pic>
              </a:graphicData>
            </a:graphic>
          </wp:inline>
        </w:drawing>
      </w:r>
    </w:p>
    <w:p w14:paraId="15B39B4E">
      <w:pPr>
        <w:pStyle w:val="35"/>
        <w:spacing w:beforeLines="0" w:afterLines="0"/>
        <w:ind w:firstLine="210"/>
        <w:rPr>
          <w:rFonts w:hint="default" w:ascii="Times New Roman" w:hAnsi="Times New Roman" w:eastAsia="Times New Roman" w:cs="Times New Roman"/>
          <w:b/>
          <w:color w:val="auto"/>
          <w:kern w:val="0"/>
          <w:sz w:val="24"/>
          <w:szCs w:val="24"/>
          <w:u w:val="single" w:color="auto"/>
        </w:rPr>
      </w:pPr>
    </w:p>
    <w:p w14:paraId="2E1C2004">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29</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二甲苯1小时浓度贡献值分布图（单位：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0654376A">
      <w:pPr>
        <w:autoSpaceDE w:val="0"/>
        <w:autoSpaceDN w:val="0"/>
        <w:adjustRightInd w:val="0"/>
        <w:snapToGrid w:val="0"/>
        <w:spacing w:beforeLines="0" w:afterLines="0" w:line="360" w:lineRule="auto"/>
        <w:rPr>
          <w:rFonts w:hint="default" w:ascii="Times New Roman" w:hAnsi="Times New Roman" w:eastAsia="Times New Roman" w:cs="Times New Roman"/>
          <w:color w:val="auto"/>
          <w:kern w:val="0"/>
          <w:sz w:val="24"/>
          <w:szCs w:val="24"/>
          <w:u w:val="single" w:color="auto"/>
        </w:rPr>
      </w:pPr>
      <w:r>
        <w:rPr>
          <w:color w:val="auto"/>
        </w:rPr>
        <w:drawing>
          <wp:inline distT="0" distB="0" distL="114300" distR="114300">
            <wp:extent cx="5269230" cy="3197225"/>
            <wp:effectExtent l="0" t="0" r="7620" b="3175"/>
            <wp:docPr id="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pic:cNvPicPr>
                      <a:picLocks noChangeAspect="1"/>
                    </pic:cNvPicPr>
                  </pic:nvPicPr>
                  <pic:blipFill>
                    <a:blip r:embed="rId56"/>
                    <a:stretch>
                      <a:fillRect/>
                    </a:stretch>
                  </pic:blipFill>
                  <pic:spPr>
                    <a:xfrm>
                      <a:off x="0" y="0"/>
                      <a:ext cx="5269230" cy="3197225"/>
                    </a:xfrm>
                    <a:prstGeom prst="rect">
                      <a:avLst/>
                    </a:prstGeom>
                    <a:noFill/>
                    <a:ln>
                      <a:noFill/>
                    </a:ln>
                  </pic:spPr>
                </pic:pic>
              </a:graphicData>
            </a:graphic>
          </wp:inline>
        </w:drawing>
      </w:r>
    </w:p>
    <w:p w14:paraId="529C1302">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30</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二甲苯1小时浓度贡献值分布图（叠加后  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349AD9B2">
      <w:pPr>
        <w:autoSpaceDE w:val="0"/>
        <w:autoSpaceDN w:val="0"/>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正常排放情况下，二甲苯影响的预测计算结果见表4.2-25和表4.2-26。</w:t>
      </w:r>
    </w:p>
    <w:p w14:paraId="7F6E7A41">
      <w:pPr>
        <w:autoSpaceDE w:val="0"/>
        <w:autoSpaceDN w:val="0"/>
        <w:adjustRightInd w:val="0"/>
        <w:snapToGrid w:val="0"/>
        <w:spacing w:beforeLines="0" w:afterLines="0" w:line="360" w:lineRule="auto"/>
        <w:ind w:firstLine="480" w:firstLineChars="200"/>
        <w:rPr>
          <w:rFonts w:hint="default" w:ascii="Times New Roman" w:hAnsi="Times New Roman" w:eastAsia="宋体" w:cs="Times New Roman"/>
          <w:color w:val="auto"/>
          <w:kern w:val="0"/>
          <w:sz w:val="24"/>
          <w:szCs w:val="24"/>
          <w:u w:val="single" w:color="auto"/>
        </w:rPr>
      </w:pPr>
      <w:r>
        <w:rPr>
          <w:rFonts w:hint="default" w:ascii="Times New Roman" w:hAnsi="Times New Roman" w:eastAsia="宋体" w:cs="Times New Roman"/>
          <w:color w:val="auto"/>
          <w:kern w:val="0"/>
          <w:sz w:val="24"/>
          <w:szCs w:val="24"/>
          <w:u w:val="single" w:color="auto"/>
        </w:rPr>
        <w:t>二甲苯1小时浓度，各敏感点浓度增量在</w:t>
      </w:r>
      <w:r>
        <w:rPr>
          <w:rFonts w:hint="eastAsia" w:ascii="Times New Roman" w:hAnsi="Times New Roman" w:eastAsia="宋体" w:cs="Times New Roman"/>
          <w:color w:val="auto"/>
          <w:kern w:val="0"/>
          <w:sz w:val="24"/>
          <w:szCs w:val="24"/>
          <w:u w:val="single" w:color="auto"/>
          <w:lang w:val="en-US" w:eastAsia="zh-CN"/>
        </w:rPr>
        <w:t>16.3562</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36.613</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的范围内，占标率为</w:t>
      </w:r>
      <w:r>
        <w:rPr>
          <w:rFonts w:hint="eastAsia" w:ascii="Times New Roman" w:hAnsi="Times New Roman" w:eastAsia="宋体" w:cs="Times New Roman"/>
          <w:color w:val="auto"/>
          <w:kern w:val="0"/>
          <w:sz w:val="24"/>
          <w:szCs w:val="24"/>
          <w:u w:val="single" w:color="auto"/>
          <w:lang w:val="en-US" w:eastAsia="zh-CN"/>
        </w:rPr>
        <w:t>8.18</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18.31</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，小于100%；叠加在建拟建源和背景值后各敏感点二甲苯1小时浓度在</w:t>
      </w:r>
      <w:r>
        <w:rPr>
          <w:rFonts w:hint="eastAsia" w:ascii="Times New Roman" w:hAnsi="Times New Roman" w:eastAsia="宋体" w:cs="Times New Roman"/>
          <w:color w:val="auto"/>
          <w:kern w:val="0"/>
          <w:sz w:val="24"/>
          <w:szCs w:val="24"/>
          <w:u w:val="single" w:color="auto"/>
          <w:lang w:val="en-US" w:eastAsia="zh-CN"/>
        </w:rPr>
        <w:t>17.1062</w:t>
      </w:r>
      <w:r>
        <w:rPr>
          <w:rFonts w:hint="default" w:ascii="Times New Roman" w:hAnsi="Times New Roman" w:eastAsia="Times New Roman"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37.363</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的范围，占标率为</w:t>
      </w:r>
      <w:r>
        <w:rPr>
          <w:rFonts w:hint="eastAsia" w:ascii="Times New Roman" w:hAnsi="Times New Roman" w:eastAsia="宋体" w:cs="Times New Roman"/>
          <w:color w:val="auto"/>
          <w:kern w:val="0"/>
          <w:sz w:val="24"/>
          <w:szCs w:val="24"/>
          <w:u w:val="single" w:color="auto"/>
          <w:lang w:val="en-US" w:eastAsia="zh-CN"/>
        </w:rPr>
        <w:t>8.55</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1</w:t>
      </w:r>
      <w:r>
        <w:rPr>
          <w:rFonts w:hint="eastAsia" w:ascii="Times New Roman" w:hAnsi="Times New Roman" w:eastAsia="宋体" w:cs="Times New Roman"/>
          <w:color w:val="auto"/>
          <w:kern w:val="0"/>
          <w:sz w:val="24"/>
          <w:szCs w:val="24"/>
          <w:u w:val="single" w:color="auto"/>
          <w:lang w:val="en-US" w:eastAsia="zh-CN"/>
        </w:rPr>
        <w:t>8.68</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，小于100%；网格最大地面浓度点浓度增量为</w:t>
      </w:r>
      <w:r>
        <w:rPr>
          <w:rFonts w:hint="eastAsia" w:ascii="Times New Roman" w:hAnsi="Times New Roman" w:eastAsia="宋体" w:cs="Times New Roman"/>
          <w:color w:val="auto"/>
          <w:kern w:val="0"/>
          <w:sz w:val="24"/>
          <w:szCs w:val="24"/>
          <w:u w:val="single" w:color="auto"/>
          <w:lang w:val="en-US" w:eastAsia="zh-CN"/>
        </w:rPr>
        <w:t>192.1154</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96.06</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，叠加在建拟建源和背景值后二甲苯网格最大地面浓度为</w:t>
      </w:r>
      <w:r>
        <w:rPr>
          <w:rFonts w:hint="eastAsia" w:ascii="Times New Roman" w:hAnsi="Times New Roman" w:eastAsia="宋体" w:cs="Times New Roman"/>
          <w:color w:val="auto"/>
          <w:kern w:val="0"/>
          <w:sz w:val="24"/>
          <w:szCs w:val="24"/>
          <w:u w:val="single" w:color="auto"/>
          <w:lang w:val="en-US" w:eastAsia="zh-CN"/>
        </w:rPr>
        <w:t>192.8654</w:t>
      </w:r>
      <w:r>
        <w:rPr>
          <w:rFonts w:hint="default" w:ascii="Times New Roman" w:hAnsi="Times New Roman" w:eastAsia="Times New Roman" w:cs="Times New Roman"/>
          <w:color w:val="auto"/>
          <w:kern w:val="0"/>
          <w:sz w:val="24"/>
          <w:szCs w:val="24"/>
          <w:u w:val="single" w:color="auto"/>
        </w:rPr>
        <w:t>μg/m</w:t>
      </w:r>
      <w:r>
        <w:rPr>
          <w:rFonts w:hint="default" w:ascii="Times New Roman" w:hAnsi="Times New Roman" w:eastAsia="Times New Roman" w:cs="Times New Roman"/>
          <w:color w:val="auto"/>
          <w:kern w:val="0"/>
          <w:sz w:val="24"/>
          <w:szCs w:val="24"/>
          <w:u w:val="single" w:color="auto"/>
          <w:vertAlign w:val="superscript"/>
        </w:rPr>
        <w:t>3</w:t>
      </w:r>
      <w:r>
        <w:rPr>
          <w:rFonts w:hint="default" w:ascii="Times New Roman" w:hAnsi="Times New Roman" w:eastAsia="宋体" w:cs="Times New Roman"/>
          <w:color w:val="auto"/>
          <w:kern w:val="0"/>
          <w:sz w:val="24"/>
          <w:szCs w:val="24"/>
          <w:u w:val="single" w:color="auto"/>
        </w:rPr>
        <w:t>，占标率为</w:t>
      </w:r>
      <w:r>
        <w:rPr>
          <w:rFonts w:hint="eastAsia" w:ascii="Times New Roman" w:hAnsi="Times New Roman" w:eastAsia="宋体" w:cs="Times New Roman"/>
          <w:color w:val="auto"/>
          <w:kern w:val="0"/>
          <w:sz w:val="24"/>
          <w:szCs w:val="24"/>
          <w:u w:val="single" w:color="auto"/>
          <w:lang w:val="en-US" w:eastAsia="zh-CN"/>
        </w:rPr>
        <w:t>96.43</w:t>
      </w:r>
      <w:r>
        <w:rPr>
          <w:rFonts w:hint="default" w:ascii="Times New Roman" w:hAnsi="Times New Roman" w:eastAsia="Times New Roman" w:cs="Times New Roman"/>
          <w:color w:val="auto"/>
          <w:kern w:val="0"/>
          <w:sz w:val="24"/>
          <w:szCs w:val="24"/>
          <w:u w:val="single" w:color="auto"/>
        </w:rPr>
        <w:t>%</w:t>
      </w:r>
      <w:r>
        <w:rPr>
          <w:rFonts w:hint="default" w:ascii="Times New Roman" w:hAnsi="Times New Roman" w:eastAsia="宋体" w:cs="Times New Roman"/>
          <w:color w:val="auto"/>
          <w:kern w:val="0"/>
          <w:sz w:val="24"/>
          <w:szCs w:val="24"/>
          <w:u w:val="single" w:color="auto"/>
        </w:rPr>
        <w:t>，小于100%。对于环境空气二类功能区而言，本项目区域叠加现状浓度值，排放的二甲苯1小时浓度能满足《环境影响评价技术导则 大气环境》（HJ2.2-2018-2012）附录D。</w:t>
      </w:r>
    </w:p>
    <w:p w14:paraId="6E56A860">
      <w:pPr>
        <w:widowControl/>
        <w:autoSpaceDE w:val="0"/>
        <w:autoSpaceDN w:val="0"/>
        <w:spacing w:beforeLines="0" w:afterLines="0" w:line="360" w:lineRule="auto"/>
        <w:ind w:firstLine="482" w:firstLineChars="200"/>
        <w:jc w:val="left"/>
        <w:rPr>
          <w:rFonts w:hint="default" w:ascii="Times New Roman" w:hAnsi="Times New Roman" w:eastAsia="Times New Roman" w:cs="Times New Roman"/>
          <w:b/>
          <w:color w:val="auto"/>
          <w:kern w:val="0"/>
          <w:sz w:val="24"/>
          <w:szCs w:val="20"/>
          <w:u w:val="single" w:color="auto"/>
        </w:rPr>
      </w:pPr>
      <w:r>
        <w:rPr>
          <w:rFonts w:hint="default" w:ascii="Times New Roman" w:hAnsi="Times New Roman" w:eastAsia="宋体" w:cs="Times New Roman"/>
          <w:b/>
          <w:color w:val="auto"/>
          <w:kern w:val="0"/>
          <w:sz w:val="24"/>
          <w:szCs w:val="20"/>
          <w:u w:val="single" w:color="auto"/>
        </w:rPr>
        <w:t>2、事故工况</w:t>
      </w:r>
    </w:p>
    <w:p w14:paraId="4EC72683">
      <w:pPr>
        <w:autoSpaceDE w:val="0"/>
        <w:autoSpaceDN w:val="0"/>
        <w:adjustRightInd w:val="0"/>
        <w:snapToGrid w:val="0"/>
        <w:spacing w:beforeLines="0" w:afterLines="0" w:line="360" w:lineRule="auto"/>
        <w:ind w:firstLine="480" w:firstLineChars="200"/>
        <w:jc w:val="left"/>
        <w:rPr>
          <w:rFonts w:hint="default" w:ascii="Times New Roman" w:hAnsi="Times New Roman" w:eastAsia="Times New Roman" w:cs="Times New Roman"/>
          <w:color w:val="auto"/>
          <w:sz w:val="24"/>
          <w:szCs w:val="24"/>
          <w:u w:val="single" w:color="auto"/>
        </w:rPr>
      </w:pPr>
      <w:r>
        <w:rPr>
          <w:rFonts w:hint="default" w:ascii="Times New Roman" w:hAnsi="Times New Roman" w:eastAsia="宋体" w:cs="Times New Roman"/>
          <w:color w:val="auto"/>
          <w:sz w:val="24"/>
          <w:szCs w:val="24"/>
          <w:u w:val="single" w:color="auto"/>
        </w:rPr>
        <w:t>1）PM</w:t>
      </w:r>
      <w:r>
        <w:rPr>
          <w:rFonts w:hint="default" w:ascii="Times New Roman" w:hAnsi="Times New Roman" w:eastAsia="宋体" w:cs="Times New Roman"/>
          <w:color w:val="auto"/>
          <w:sz w:val="24"/>
          <w:szCs w:val="24"/>
          <w:u w:val="single" w:color="auto"/>
          <w:vertAlign w:val="subscript"/>
        </w:rPr>
        <w:t>10</w:t>
      </w:r>
    </w:p>
    <w:p w14:paraId="5B6DDE45">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2</w:t>
      </w:r>
      <w:r>
        <w:rPr>
          <w:rFonts w:hint="eastAsia" w:ascii="Times New Roman" w:hAnsi="Times New Roman" w:eastAsia="宋体" w:cs="Times New Roman"/>
          <w:b/>
          <w:color w:val="auto"/>
          <w:kern w:val="0"/>
          <w:sz w:val="24"/>
          <w:szCs w:val="24"/>
          <w:u w:val="single" w:color="auto"/>
          <w:lang w:val="en-US" w:eastAsia="zh-CN"/>
        </w:rPr>
        <w:t>7</w:t>
      </w:r>
      <w:r>
        <w:rPr>
          <w:rFonts w:hint="default" w:ascii="Times New Roman" w:hAnsi="Times New Roman" w:eastAsia="宋体" w:cs="Times New Roman"/>
          <w:b/>
          <w:color w:val="auto"/>
          <w:kern w:val="0"/>
          <w:sz w:val="24"/>
          <w:szCs w:val="24"/>
          <w:u w:val="single" w:color="auto"/>
        </w:rPr>
        <w:t xml:space="preserve"> 环境敏感点PM</w:t>
      </w:r>
      <w:r>
        <w:rPr>
          <w:rFonts w:hint="default" w:ascii="Times New Roman" w:hAnsi="Times New Roman" w:eastAsia="宋体"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地面质量浓度汇总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941"/>
        <w:gridCol w:w="909"/>
        <w:gridCol w:w="1614"/>
        <w:gridCol w:w="1328"/>
        <w:gridCol w:w="1255"/>
        <w:gridCol w:w="909"/>
      </w:tblGrid>
      <w:tr w14:paraId="6B0EB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F738D7C">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139" w:type="pct"/>
            <w:tcBorders>
              <w:top w:val="single" w:color="auto" w:sz="4" w:space="0"/>
              <w:left w:val="single" w:color="auto" w:sz="4" w:space="0"/>
              <w:bottom w:val="single" w:color="auto" w:sz="4" w:space="0"/>
              <w:right w:val="single" w:color="auto" w:sz="4" w:space="0"/>
              <w:tl2br w:val="nil"/>
              <w:tr2bl w:val="nil"/>
            </w:tcBorders>
            <w:noWrap/>
            <w:vAlign w:val="center"/>
          </w:tcPr>
          <w:p w14:paraId="124962E2">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76ACC469">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947" w:type="pct"/>
            <w:tcBorders>
              <w:top w:val="single" w:color="auto" w:sz="4" w:space="0"/>
              <w:left w:val="single" w:color="auto" w:sz="4" w:space="0"/>
              <w:bottom w:val="single" w:color="auto" w:sz="4" w:space="0"/>
              <w:right w:val="single" w:color="auto" w:sz="4" w:space="0"/>
              <w:tl2br w:val="nil"/>
              <w:tr2bl w:val="nil"/>
            </w:tcBorders>
            <w:noWrap/>
            <w:vAlign w:val="center"/>
          </w:tcPr>
          <w:p w14:paraId="7681CBB7">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779" w:type="pct"/>
            <w:tcBorders>
              <w:top w:val="single" w:color="auto" w:sz="4" w:space="0"/>
              <w:left w:val="single" w:color="auto" w:sz="4" w:space="0"/>
              <w:bottom w:val="single" w:color="auto" w:sz="4" w:space="0"/>
              <w:right w:val="single" w:color="auto" w:sz="4" w:space="0"/>
              <w:tl2br w:val="nil"/>
              <w:tr2bl w:val="nil"/>
            </w:tcBorders>
            <w:noWrap/>
            <w:vAlign w:val="center"/>
          </w:tcPr>
          <w:p w14:paraId="3D141CED">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36" w:type="pct"/>
            <w:tcBorders>
              <w:top w:val="single" w:color="auto" w:sz="4" w:space="0"/>
              <w:left w:val="single" w:color="auto" w:sz="4" w:space="0"/>
              <w:bottom w:val="single" w:color="auto" w:sz="4" w:space="0"/>
              <w:right w:val="single" w:color="auto" w:sz="4" w:space="0"/>
              <w:tl2br w:val="nil"/>
              <w:tr2bl w:val="nil"/>
            </w:tcBorders>
            <w:noWrap/>
            <w:vAlign w:val="center"/>
          </w:tcPr>
          <w:p w14:paraId="74888C40">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6483A17C">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59600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5CD0281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037D275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7809C61">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276F546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306.6319</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217A2FF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23082001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111E63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68.14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20D070F0">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1814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46E6CC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3C3F992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B0935A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69788F4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262.1912</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089576A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23082223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373C6E1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58.26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3F602CDF">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9CB6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50510F35">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0A5761A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7374C1F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6227060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255.7997</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4349894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23062822</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64D1AA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56.84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09C70ED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738F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24797B5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2605FDC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1636CE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6CAB1CD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236.6292</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2122B1D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23062720</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960FC5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52.58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209084DA">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291B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6C3B53FD">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1D47E07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145345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26A4E05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266.9877</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28162FD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23062301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C4736F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59.33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478EFDAA">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1FC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5768B8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051D1FC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D7EAE5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32D5543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258.8318</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63FDF71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23072504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7979C4C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57.52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41D70276">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EE63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53DF515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54D99D8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13C77E7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14EC864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278.0859</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0914D2C0">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23061023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82E915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61.80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45151C69">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08A29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17AE35B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470CA24B">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-200,0</w:t>
            </w:r>
            <w:r>
              <w:rPr>
                <w:rFonts w:hint="eastAsia" w:ascii="宋体" w:hAnsi="宋体" w:eastAsia="宋体" w:cs="宋体"/>
                <w:i w:val="0"/>
                <w:iCs w:val="0"/>
                <w:color w:val="auto"/>
                <w:kern w:val="0"/>
                <w:sz w:val="21"/>
                <w:szCs w:val="21"/>
                <w:u w:val="none"/>
                <w:lang w:val="en-US" w:eastAsia="zh-CN" w:bidi="ar"/>
              </w:rPr>
              <w:t>）</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62E01D0">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614" w:type="dxa"/>
            <w:tcBorders>
              <w:top w:val="single" w:color="auto" w:sz="4" w:space="0"/>
              <w:left w:val="single" w:color="auto" w:sz="4" w:space="0"/>
              <w:bottom w:val="single" w:color="auto" w:sz="4" w:space="0"/>
              <w:right w:val="single" w:color="auto" w:sz="4" w:space="0"/>
              <w:tl2br w:val="nil"/>
              <w:tr2bl w:val="nil"/>
            </w:tcBorders>
            <w:noWrap/>
            <w:vAlign w:val="center"/>
          </w:tcPr>
          <w:p w14:paraId="7B300A2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5238.432</w:t>
            </w:r>
          </w:p>
        </w:tc>
        <w:tc>
          <w:tcPr>
            <w:tcW w:w="1328" w:type="dxa"/>
            <w:tcBorders>
              <w:top w:val="single" w:color="auto" w:sz="4" w:space="0"/>
              <w:left w:val="single" w:color="auto" w:sz="4" w:space="0"/>
              <w:bottom w:val="single" w:color="auto" w:sz="4" w:space="0"/>
              <w:right w:val="single" w:color="auto" w:sz="4" w:space="0"/>
              <w:tl2br w:val="nil"/>
              <w:tr2bl w:val="nil"/>
            </w:tcBorders>
            <w:noWrap/>
            <w:vAlign w:val="center"/>
          </w:tcPr>
          <w:p w14:paraId="384A1F10">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435B25F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1164.10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58460032">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超标</w:t>
            </w:r>
          </w:p>
        </w:tc>
      </w:tr>
    </w:tbl>
    <w:p w14:paraId="6EBCD934">
      <w:pPr>
        <w:widowControl/>
        <w:autoSpaceDE w:val="0"/>
        <w:autoSpaceDN w:val="0"/>
        <w:spacing w:beforeLines="0" w:afterLines="0"/>
        <w:jc w:val="left"/>
        <w:rPr>
          <w:rFonts w:hint="default" w:ascii="Times New Roman" w:hAnsi="Times New Roman" w:eastAsia="Times New Roman" w:cs="Times New Roman"/>
          <w:b/>
          <w:color w:val="auto"/>
          <w:kern w:val="0"/>
          <w:sz w:val="32"/>
          <w:szCs w:val="32"/>
          <w:u w:val="single" w:color="auto"/>
        </w:rPr>
      </w:pPr>
      <w:r>
        <w:rPr>
          <w:color w:val="auto"/>
        </w:rPr>
        <w:drawing>
          <wp:inline distT="0" distB="0" distL="114300" distR="114300">
            <wp:extent cx="5265420" cy="3180080"/>
            <wp:effectExtent l="0" t="0" r="11430" b="1270"/>
            <wp:docPr id="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pic:cNvPicPr>
                      <a:picLocks noChangeAspect="1"/>
                    </pic:cNvPicPr>
                  </pic:nvPicPr>
                  <pic:blipFill>
                    <a:blip r:embed="rId57"/>
                    <a:stretch>
                      <a:fillRect/>
                    </a:stretch>
                  </pic:blipFill>
                  <pic:spPr>
                    <a:xfrm>
                      <a:off x="0" y="0"/>
                      <a:ext cx="5265420" cy="3180080"/>
                    </a:xfrm>
                    <a:prstGeom prst="rect">
                      <a:avLst/>
                    </a:prstGeom>
                    <a:noFill/>
                    <a:ln>
                      <a:noFill/>
                    </a:ln>
                  </pic:spPr>
                </pic:pic>
              </a:graphicData>
            </a:graphic>
          </wp:inline>
        </w:drawing>
      </w:r>
    </w:p>
    <w:p w14:paraId="533F62B5">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36</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非正常工况PM</w:t>
      </w:r>
      <w:r>
        <w:rPr>
          <w:rFonts w:hint="default" w:ascii="Times New Roman" w:hAnsi="Times New Roman" w:eastAsia="宋体" w:cs="Times New Roman"/>
          <w:b/>
          <w:color w:val="auto"/>
          <w:kern w:val="0"/>
          <w:sz w:val="24"/>
          <w:szCs w:val="24"/>
          <w:u w:val="single" w:color="auto"/>
          <w:vertAlign w:val="subscript"/>
        </w:rPr>
        <w:t>10</w:t>
      </w:r>
      <w:r>
        <w:rPr>
          <w:rFonts w:hint="default" w:ascii="Times New Roman" w:hAnsi="Times New Roman" w:eastAsia="宋体" w:cs="Times New Roman"/>
          <w:b/>
          <w:color w:val="auto"/>
          <w:kern w:val="0"/>
          <w:sz w:val="24"/>
          <w:szCs w:val="24"/>
          <w:u w:val="single" w:color="auto"/>
        </w:rPr>
        <w:t>小时平均浓度贡献值分布图（单位：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1B367EF8">
      <w:pPr>
        <w:autoSpaceDE w:val="0"/>
        <w:autoSpaceDN w:val="0"/>
        <w:adjustRightInd w:val="0"/>
        <w:snapToGrid w:val="0"/>
        <w:spacing w:beforeLines="0" w:afterLines="0" w:line="360" w:lineRule="auto"/>
        <w:ind w:firstLine="480" w:firstLineChars="200"/>
        <w:jc w:val="left"/>
        <w:rPr>
          <w:rFonts w:hint="default" w:ascii="Times New Roman" w:hAnsi="Times New Roman" w:eastAsia="Times New Roman" w:cs="Times New Roman"/>
          <w:color w:val="auto"/>
          <w:sz w:val="24"/>
          <w:szCs w:val="24"/>
          <w:u w:val="single" w:color="auto"/>
        </w:rPr>
      </w:pPr>
      <w:r>
        <w:rPr>
          <w:rFonts w:hint="default" w:ascii="Times New Roman" w:hAnsi="Times New Roman" w:eastAsia="宋体" w:cs="Times New Roman"/>
          <w:color w:val="auto"/>
          <w:sz w:val="24"/>
          <w:szCs w:val="24"/>
          <w:u w:val="single" w:color="auto"/>
        </w:rPr>
        <w:t>2）非甲烷总烃</w:t>
      </w:r>
    </w:p>
    <w:p w14:paraId="4F475D85">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lang w:val="en-US" w:eastAsia="zh-CN"/>
        </w:rPr>
        <w:t>28</w:t>
      </w:r>
      <w:r>
        <w:rPr>
          <w:rFonts w:hint="default" w:ascii="Times New Roman" w:hAnsi="Times New Roman" w:eastAsia="宋体" w:cs="Times New Roman"/>
          <w:b/>
          <w:color w:val="auto"/>
          <w:kern w:val="0"/>
          <w:sz w:val="24"/>
          <w:szCs w:val="24"/>
          <w:u w:val="single" w:color="auto"/>
        </w:rPr>
        <w:t>环境敏感点非甲烷总烃地面质量浓度汇总</w:t>
      </w:r>
    </w:p>
    <w:tbl>
      <w:tblPr>
        <w:tblStyle w:val="37"/>
        <w:tblW w:w="8416" w:type="dxa"/>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2227"/>
        <w:gridCol w:w="1013"/>
        <w:gridCol w:w="1123"/>
        <w:gridCol w:w="1163"/>
        <w:gridCol w:w="864"/>
        <w:gridCol w:w="1014"/>
      </w:tblGrid>
      <w:tr w14:paraId="6FBBB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1D5F16C2">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3E289336">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2DBF340A">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7450A631">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33D929AF">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3BEFE6D9">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7CEEB763">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42694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05BAF7C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41BF62CF">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7A8A53C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69536EE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66.5208</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5C9FAC7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23053006</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643E6BE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3.33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318173F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5265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5C03D25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32F18A6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09E6498D">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57EB15B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72.8761</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157C67D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23072124</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7093EBA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3.64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4E72A6DD">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EBE6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62856332">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2C4F9EF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6C14355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48B4457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57.3937</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0D451EB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23040123</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154755D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2.87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3E5B858B">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5A7F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4EE0F12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2B32E3C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4B0EC747">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2E23B17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59.6895</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0F5AA94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23081101</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624CCDB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2.98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382F49E8">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6B49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464AD9B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474A17C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506F04C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47FEAFA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59.3407</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535BE83D">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23062902</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431E1EB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2.97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3B4C37FD">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3203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54469A3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3DD7BF4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4CAF4ED6">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7DE1574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65.3107</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33D1B79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23072504</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1F5CC42B">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3.27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6A4AD90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B07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52BFDE51">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08D79D7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022F4E1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19AD480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60.4974</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261EBAA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23061023</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270072C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3.02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6DFC809E">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DBD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012" w:type="dxa"/>
            <w:tcBorders>
              <w:top w:val="single" w:color="auto" w:sz="4" w:space="0"/>
              <w:left w:val="single" w:color="auto" w:sz="4" w:space="0"/>
              <w:bottom w:val="single" w:color="auto" w:sz="4" w:space="0"/>
              <w:right w:val="single" w:color="auto" w:sz="4" w:space="0"/>
              <w:tl2br w:val="nil"/>
              <w:tr2bl w:val="nil"/>
            </w:tcBorders>
            <w:noWrap/>
            <w:vAlign w:val="center"/>
          </w:tcPr>
          <w:p w14:paraId="1173367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2227" w:type="dxa"/>
            <w:tcBorders>
              <w:top w:val="single" w:color="auto" w:sz="4" w:space="0"/>
              <w:left w:val="single" w:color="auto" w:sz="4" w:space="0"/>
              <w:bottom w:val="single" w:color="auto" w:sz="4" w:space="0"/>
              <w:right w:val="single" w:color="auto" w:sz="4" w:space="0"/>
              <w:tl2br w:val="nil"/>
              <w:tr2bl w:val="nil"/>
            </w:tcBorders>
            <w:noWrap/>
            <w:vAlign w:val="center"/>
          </w:tcPr>
          <w:p w14:paraId="7815F78A">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-300,50</w:t>
            </w:r>
            <w:r>
              <w:rPr>
                <w:rFonts w:hint="eastAsia" w:ascii="宋体" w:hAnsi="宋体" w:eastAsia="宋体" w:cs="宋体"/>
                <w:i w:val="0"/>
                <w:iCs w:val="0"/>
                <w:color w:val="auto"/>
                <w:kern w:val="0"/>
                <w:sz w:val="21"/>
                <w:szCs w:val="21"/>
                <w:u w:val="none"/>
                <w:lang w:val="en-US" w:eastAsia="zh-CN" w:bidi="ar"/>
              </w:rPr>
              <w:t>）</w:t>
            </w:r>
          </w:p>
        </w:tc>
        <w:tc>
          <w:tcPr>
            <w:tcW w:w="1013" w:type="dxa"/>
            <w:tcBorders>
              <w:top w:val="single" w:color="auto" w:sz="4" w:space="0"/>
              <w:left w:val="single" w:color="auto" w:sz="4" w:space="0"/>
              <w:bottom w:val="single" w:color="auto" w:sz="4" w:space="0"/>
              <w:right w:val="single" w:color="auto" w:sz="4" w:space="0"/>
              <w:tl2br w:val="nil"/>
              <w:tr2bl w:val="nil"/>
            </w:tcBorders>
            <w:noWrap/>
            <w:vAlign w:val="center"/>
          </w:tcPr>
          <w:p w14:paraId="4954FBA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123" w:type="dxa"/>
            <w:tcBorders>
              <w:top w:val="single" w:color="auto" w:sz="4" w:space="0"/>
              <w:left w:val="single" w:color="auto" w:sz="4" w:space="0"/>
              <w:bottom w:val="single" w:color="auto" w:sz="4" w:space="0"/>
              <w:right w:val="single" w:color="auto" w:sz="4" w:space="0"/>
              <w:tl2br w:val="nil"/>
              <w:tr2bl w:val="nil"/>
            </w:tcBorders>
            <w:noWrap/>
            <w:vAlign w:val="center"/>
          </w:tcPr>
          <w:p w14:paraId="1644BCA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2293.089</w:t>
            </w:r>
          </w:p>
        </w:tc>
        <w:tc>
          <w:tcPr>
            <w:tcW w:w="1163" w:type="dxa"/>
            <w:tcBorders>
              <w:top w:val="single" w:color="auto" w:sz="4" w:space="0"/>
              <w:left w:val="single" w:color="auto" w:sz="4" w:space="0"/>
              <w:bottom w:val="single" w:color="auto" w:sz="4" w:space="0"/>
              <w:right w:val="single" w:color="auto" w:sz="4" w:space="0"/>
              <w:tl2br w:val="nil"/>
              <w:tr2bl w:val="nil"/>
            </w:tcBorders>
            <w:noWrap/>
            <w:vAlign w:val="center"/>
          </w:tcPr>
          <w:p w14:paraId="658277D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864" w:type="dxa"/>
            <w:tcBorders>
              <w:top w:val="single" w:color="auto" w:sz="4" w:space="0"/>
              <w:left w:val="single" w:color="auto" w:sz="4" w:space="0"/>
              <w:bottom w:val="single" w:color="auto" w:sz="4" w:space="0"/>
              <w:right w:val="single" w:color="auto" w:sz="4" w:space="0"/>
              <w:tl2br w:val="nil"/>
              <w:tr2bl w:val="nil"/>
            </w:tcBorders>
            <w:noWrap/>
            <w:vAlign w:val="center"/>
          </w:tcPr>
          <w:p w14:paraId="5C4670A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114.65 </w:t>
            </w:r>
          </w:p>
        </w:tc>
        <w:tc>
          <w:tcPr>
            <w:tcW w:w="1014" w:type="dxa"/>
            <w:tcBorders>
              <w:top w:val="single" w:color="auto" w:sz="4" w:space="0"/>
              <w:left w:val="single" w:color="auto" w:sz="4" w:space="0"/>
              <w:bottom w:val="single" w:color="auto" w:sz="4" w:space="0"/>
              <w:right w:val="single" w:color="auto" w:sz="4" w:space="0"/>
              <w:tl2br w:val="nil"/>
              <w:tr2bl w:val="nil"/>
            </w:tcBorders>
            <w:noWrap/>
            <w:vAlign w:val="center"/>
          </w:tcPr>
          <w:p w14:paraId="286832DE">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超标</w:t>
            </w:r>
          </w:p>
        </w:tc>
      </w:tr>
    </w:tbl>
    <w:p w14:paraId="7BFEBF59">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p>
    <w:p w14:paraId="5EDEE6BE">
      <w:pPr>
        <w:widowControl/>
        <w:autoSpaceDE w:val="0"/>
        <w:autoSpaceDN w:val="0"/>
        <w:spacing w:beforeLines="0" w:afterLines="0"/>
        <w:jc w:val="left"/>
        <w:rPr>
          <w:rFonts w:hint="default" w:ascii="Times New Roman" w:hAnsi="Times New Roman" w:eastAsia="Times New Roman" w:cs="Times New Roman"/>
          <w:b/>
          <w:color w:val="auto"/>
          <w:kern w:val="0"/>
          <w:sz w:val="32"/>
          <w:szCs w:val="32"/>
          <w:u w:val="single" w:color="auto"/>
        </w:rPr>
      </w:pPr>
      <w:r>
        <w:rPr>
          <w:color w:val="auto"/>
        </w:rPr>
        <w:drawing>
          <wp:inline distT="0" distB="0" distL="114300" distR="114300">
            <wp:extent cx="5268595" cy="3194050"/>
            <wp:effectExtent l="0" t="0" r="8255" b="6350"/>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a:blip r:embed="rId58"/>
                    <a:stretch>
                      <a:fillRect/>
                    </a:stretch>
                  </pic:blipFill>
                  <pic:spPr>
                    <a:xfrm>
                      <a:off x="0" y="0"/>
                      <a:ext cx="5268595" cy="3194050"/>
                    </a:xfrm>
                    <a:prstGeom prst="rect">
                      <a:avLst/>
                    </a:prstGeom>
                    <a:noFill/>
                    <a:ln>
                      <a:noFill/>
                    </a:ln>
                  </pic:spPr>
                </pic:pic>
              </a:graphicData>
            </a:graphic>
          </wp:inline>
        </w:drawing>
      </w:r>
    </w:p>
    <w:p w14:paraId="40B42253">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37</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非正常工况非甲烷总烃小时平均浓度贡献值分布图（单位：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73A86FC4">
      <w:pPr>
        <w:autoSpaceDE w:val="0"/>
        <w:autoSpaceDN w:val="0"/>
        <w:adjustRightInd w:val="0"/>
        <w:snapToGrid w:val="0"/>
        <w:spacing w:beforeLines="0" w:afterLines="0" w:line="360" w:lineRule="auto"/>
        <w:ind w:firstLine="480" w:firstLineChars="200"/>
        <w:jc w:val="left"/>
        <w:rPr>
          <w:rFonts w:hint="default" w:ascii="Times New Roman" w:hAnsi="Times New Roman" w:eastAsia="Times New Roman" w:cs="Times New Roman"/>
          <w:color w:val="auto"/>
          <w:sz w:val="24"/>
          <w:szCs w:val="24"/>
          <w:u w:val="single" w:color="auto"/>
        </w:rPr>
      </w:pPr>
      <w:r>
        <w:rPr>
          <w:rFonts w:hint="default" w:ascii="Times New Roman" w:hAnsi="Times New Roman" w:eastAsia="宋体" w:cs="Times New Roman"/>
          <w:color w:val="auto"/>
          <w:sz w:val="24"/>
          <w:szCs w:val="24"/>
          <w:u w:val="single" w:color="auto"/>
        </w:rPr>
        <w:t>3）甲苯</w:t>
      </w:r>
    </w:p>
    <w:p w14:paraId="410A53C0">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lang w:val="en-US" w:eastAsia="zh-CN"/>
        </w:rPr>
        <w:t>29</w:t>
      </w:r>
      <w:r>
        <w:rPr>
          <w:rFonts w:hint="default" w:ascii="Times New Roman" w:hAnsi="Times New Roman" w:eastAsia="宋体" w:cs="Times New Roman"/>
          <w:b/>
          <w:color w:val="auto"/>
          <w:kern w:val="0"/>
          <w:sz w:val="24"/>
          <w:szCs w:val="24"/>
          <w:u w:val="single" w:color="auto"/>
        </w:rPr>
        <w:t xml:space="preserve"> 环境敏感点甲苯地面质量浓度汇总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942"/>
        <w:gridCol w:w="909"/>
        <w:gridCol w:w="1589"/>
        <w:gridCol w:w="1352"/>
        <w:gridCol w:w="1255"/>
        <w:gridCol w:w="909"/>
      </w:tblGrid>
      <w:tr w14:paraId="21F82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67FFB840">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140" w:type="pct"/>
            <w:tcBorders>
              <w:top w:val="single" w:color="auto" w:sz="4" w:space="0"/>
              <w:left w:val="single" w:color="auto" w:sz="4" w:space="0"/>
              <w:bottom w:val="single" w:color="auto" w:sz="4" w:space="0"/>
              <w:right w:val="single" w:color="auto" w:sz="4" w:space="0"/>
              <w:tl2br w:val="nil"/>
              <w:tr2bl w:val="nil"/>
            </w:tcBorders>
            <w:noWrap/>
            <w:vAlign w:val="center"/>
          </w:tcPr>
          <w:p w14:paraId="5A320C98">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1376626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932" w:type="pct"/>
            <w:tcBorders>
              <w:top w:val="single" w:color="auto" w:sz="4" w:space="0"/>
              <w:left w:val="single" w:color="auto" w:sz="4" w:space="0"/>
              <w:bottom w:val="single" w:color="auto" w:sz="4" w:space="0"/>
              <w:right w:val="single" w:color="auto" w:sz="4" w:space="0"/>
              <w:tl2br w:val="nil"/>
              <w:tr2bl w:val="nil"/>
            </w:tcBorders>
            <w:noWrap/>
            <w:vAlign w:val="center"/>
          </w:tcPr>
          <w:p w14:paraId="1C8ADF8B">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793" w:type="pct"/>
            <w:tcBorders>
              <w:top w:val="single" w:color="auto" w:sz="4" w:space="0"/>
              <w:left w:val="single" w:color="auto" w:sz="4" w:space="0"/>
              <w:bottom w:val="single" w:color="auto" w:sz="4" w:space="0"/>
              <w:right w:val="single" w:color="auto" w:sz="4" w:space="0"/>
              <w:tl2br w:val="nil"/>
              <w:tr2bl w:val="nil"/>
            </w:tcBorders>
            <w:noWrap/>
            <w:vAlign w:val="center"/>
          </w:tcPr>
          <w:p w14:paraId="0E1F495D">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36" w:type="pct"/>
            <w:tcBorders>
              <w:top w:val="single" w:color="auto" w:sz="4" w:space="0"/>
              <w:left w:val="single" w:color="auto" w:sz="4" w:space="0"/>
              <w:bottom w:val="single" w:color="auto" w:sz="4" w:space="0"/>
              <w:right w:val="single" w:color="auto" w:sz="4" w:space="0"/>
              <w:tl2br w:val="nil"/>
              <w:tr2bl w:val="nil"/>
            </w:tcBorders>
            <w:noWrap/>
            <w:vAlign w:val="center"/>
          </w:tcPr>
          <w:p w14:paraId="6F55A502">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6230F4E6">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7C38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13D8B0DE">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37C738B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712C524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1BDBC17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0.0875</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6BA88FB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23053006</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63AF02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7A9E131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8C84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F4A82F8">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3718CD0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0649055">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62252AD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0.0901</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23B1F05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23072124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EBECD2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22DFEBE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19AEC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5C1220A4">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55D02A7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29F24D3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2C624B1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0.0759</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7C0D23B0">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23040123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0EE7B1A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66C0FD26">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23613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1D753D8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4D3AFC77">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628A718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6A24900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0.0796</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5FBADDF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23081101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69BDEC9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194545C1">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0C44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217480D0">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281305B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438868B9">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1E4C97C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0.0795</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7046A60A">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23062902</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2BCFCB1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02DA000C">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01AE7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3DEC6B4F">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44DDD371">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7A31F88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162AE93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0.0876</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1514EBD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23072504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4A676BB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3B14C4B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6BF93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2F50FA6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04CB625D">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1C61E4B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3944F93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0.0811</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3A6EB1A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23061023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BF765D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524AC619">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3ACD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46C866E3">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942" w:type="dxa"/>
            <w:tcBorders>
              <w:top w:val="single" w:color="auto" w:sz="4" w:space="0"/>
              <w:left w:val="single" w:color="auto" w:sz="4" w:space="0"/>
              <w:bottom w:val="single" w:color="auto" w:sz="4" w:space="0"/>
              <w:right w:val="single" w:color="auto" w:sz="4" w:space="0"/>
              <w:tl2br w:val="nil"/>
              <w:tr2bl w:val="nil"/>
            </w:tcBorders>
            <w:noWrap/>
            <w:vAlign w:val="center"/>
          </w:tcPr>
          <w:p w14:paraId="7CEDD396">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-300,50</w:t>
            </w:r>
            <w:r>
              <w:rPr>
                <w:rFonts w:hint="eastAsia" w:ascii="宋体" w:hAnsi="宋体" w:eastAsia="宋体" w:cs="宋体"/>
                <w:i w:val="0"/>
                <w:iCs w:val="0"/>
                <w:color w:val="auto"/>
                <w:kern w:val="0"/>
                <w:sz w:val="21"/>
                <w:szCs w:val="21"/>
                <w:u w:val="none"/>
                <w:lang w:val="en-US" w:eastAsia="zh-CN" w:bidi="ar"/>
              </w:rPr>
              <w:t>）</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305A772">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89" w:type="dxa"/>
            <w:tcBorders>
              <w:top w:val="single" w:color="auto" w:sz="4" w:space="0"/>
              <w:left w:val="single" w:color="auto" w:sz="4" w:space="0"/>
              <w:bottom w:val="single" w:color="auto" w:sz="4" w:space="0"/>
              <w:right w:val="single" w:color="auto" w:sz="4" w:space="0"/>
              <w:tl2br w:val="nil"/>
              <w:tr2bl w:val="nil"/>
            </w:tcBorders>
            <w:noWrap/>
            <w:vAlign w:val="center"/>
          </w:tcPr>
          <w:p w14:paraId="121E591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3.1809</w:t>
            </w:r>
          </w:p>
        </w:tc>
        <w:tc>
          <w:tcPr>
            <w:tcW w:w="1352" w:type="dxa"/>
            <w:tcBorders>
              <w:top w:val="single" w:color="auto" w:sz="4" w:space="0"/>
              <w:left w:val="single" w:color="auto" w:sz="4" w:space="0"/>
              <w:bottom w:val="single" w:color="auto" w:sz="4" w:space="0"/>
              <w:right w:val="single" w:color="auto" w:sz="4" w:space="0"/>
              <w:tl2br w:val="nil"/>
              <w:tr2bl w:val="nil"/>
            </w:tcBorders>
            <w:noWrap/>
            <w:vAlign w:val="center"/>
          </w:tcPr>
          <w:p w14:paraId="2535F136">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7E42A9A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1.59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17D3066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bl>
    <w:p w14:paraId="1692CEFF">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color w:val="auto"/>
        </w:rPr>
        <w:drawing>
          <wp:inline distT="0" distB="0" distL="114300" distR="114300">
            <wp:extent cx="5267960" cy="3347085"/>
            <wp:effectExtent l="0" t="0" r="8890" b="5715"/>
            <wp:docPr id="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5"/>
                    <pic:cNvPicPr>
                      <a:picLocks noChangeAspect="1"/>
                    </pic:cNvPicPr>
                  </pic:nvPicPr>
                  <pic:blipFill>
                    <a:blip r:embed="rId59"/>
                    <a:stretch>
                      <a:fillRect/>
                    </a:stretch>
                  </pic:blipFill>
                  <pic:spPr>
                    <a:xfrm>
                      <a:off x="0" y="0"/>
                      <a:ext cx="5267960" cy="3347085"/>
                    </a:xfrm>
                    <a:prstGeom prst="rect">
                      <a:avLst/>
                    </a:prstGeom>
                    <a:noFill/>
                    <a:ln>
                      <a:noFill/>
                    </a:ln>
                  </pic:spPr>
                </pic:pic>
              </a:graphicData>
            </a:graphic>
          </wp:inline>
        </w:drawing>
      </w:r>
    </w:p>
    <w:p w14:paraId="4CA3FCBA">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38</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非正常工况甲苯小时平均浓度贡献值分布图（单位：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261DD50F">
      <w:pPr>
        <w:autoSpaceDE w:val="0"/>
        <w:autoSpaceDN w:val="0"/>
        <w:adjustRightInd w:val="0"/>
        <w:snapToGrid w:val="0"/>
        <w:spacing w:beforeLines="0" w:afterLines="0" w:line="360" w:lineRule="auto"/>
        <w:ind w:firstLine="480" w:firstLineChars="200"/>
        <w:jc w:val="left"/>
        <w:rPr>
          <w:rFonts w:hint="default" w:ascii="Times New Roman" w:hAnsi="Times New Roman" w:eastAsia="Times New Roman" w:cs="Times New Roman"/>
          <w:color w:val="auto"/>
          <w:sz w:val="24"/>
          <w:szCs w:val="24"/>
          <w:u w:val="single" w:color="auto"/>
        </w:rPr>
      </w:pPr>
      <w:r>
        <w:rPr>
          <w:rFonts w:hint="default" w:ascii="Times New Roman" w:hAnsi="Times New Roman" w:eastAsia="宋体" w:cs="Times New Roman"/>
          <w:color w:val="auto"/>
          <w:sz w:val="24"/>
          <w:szCs w:val="24"/>
          <w:u w:val="single" w:color="auto"/>
        </w:rPr>
        <w:t>4）二甲苯</w:t>
      </w:r>
    </w:p>
    <w:p w14:paraId="328E475C">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表4.2</w:t>
      </w:r>
      <w:r>
        <w:rPr>
          <w:rFonts w:hint="default" w:ascii="Times New Roman" w:hAnsi="Times New Roman" w:eastAsia="Times New Roman"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lang w:val="en-US" w:eastAsia="zh-CN"/>
        </w:rPr>
        <w:t>30</w:t>
      </w:r>
      <w:r>
        <w:rPr>
          <w:rFonts w:hint="default" w:ascii="Times New Roman" w:hAnsi="Times New Roman" w:eastAsia="宋体" w:cs="Times New Roman"/>
          <w:b/>
          <w:color w:val="auto"/>
          <w:kern w:val="0"/>
          <w:sz w:val="24"/>
          <w:szCs w:val="24"/>
          <w:u w:val="single" w:color="auto"/>
        </w:rPr>
        <w:t xml:space="preserve"> 环境敏感点二甲苯地面质量浓度汇总</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941"/>
        <w:gridCol w:w="909"/>
        <w:gridCol w:w="1548"/>
        <w:gridCol w:w="1394"/>
        <w:gridCol w:w="1255"/>
        <w:gridCol w:w="909"/>
      </w:tblGrid>
      <w:tr w14:paraId="6DA7C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2B67E21B">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序号</w:t>
            </w:r>
          </w:p>
        </w:tc>
        <w:tc>
          <w:tcPr>
            <w:tcW w:w="1139" w:type="pct"/>
            <w:tcBorders>
              <w:top w:val="single" w:color="auto" w:sz="4" w:space="0"/>
              <w:left w:val="single" w:color="auto" w:sz="4" w:space="0"/>
              <w:bottom w:val="single" w:color="auto" w:sz="4" w:space="0"/>
              <w:right w:val="single" w:color="auto" w:sz="4" w:space="0"/>
              <w:tl2br w:val="nil"/>
              <w:tr2bl w:val="nil"/>
            </w:tcBorders>
            <w:noWrap/>
            <w:vAlign w:val="center"/>
          </w:tcPr>
          <w:p w14:paraId="6DC88ACF">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环境敏感点</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70D93323">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统计时长</w:t>
            </w:r>
          </w:p>
        </w:tc>
        <w:tc>
          <w:tcPr>
            <w:tcW w:w="908" w:type="pct"/>
            <w:tcBorders>
              <w:top w:val="single" w:color="auto" w:sz="4" w:space="0"/>
              <w:left w:val="single" w:color="auto" w:sz="4" w:space="0"/>
              <w:bottom w:val="single" w:color="auto" w:sz="4" w:space="0"/>
              <w:right w:val="single" w:color="auto" w:sz="4" w:space="0"/>
              <w:tl2br w:val="nil"/>
              <w:tr2bl w:val="nil"/>
            </w:tcBorders>
            <w:noWrap/>
            <w:vAlign w:val="center"/>
          </w:tcPr>
          <w:p w14:paraId="599554DA">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最大贡献</w:t>
            </w:r>
            <w:r>
              <w:rPr>
                <w:rFonts w:hint="eastAsia" w:ascii="Times New Roman" w:hAnsi="Times New Roman" w:eastAsia="宋体" w:cs="Times New Roman"/>
                <w:b/>
                <w:color w:val="auto"/>
                <w:kern w:val="0"/>
                <w:sz w:val="21"/>
                <w:szCs w:val="21"/>
                <w:u w:val="single" w:color="auto"/>
                <w:lang w:eastAsia="zh-CN" w:bidi="ar"/>
              </w:rPr>
              <w:t>值</w:t>
            </w:r>
            <w:r>
              <w:rPr>
                <w:rFonts w:hint="default" w:ascii="Times New Roman" w:hAnsi="Times New Roman" w:eastAsia="宋体" w:cs="Times New Roman"/>
                <w:b/>
                <w:color w:val="auto"/>
                <w:kern w:val="0"/>
                <w:sz w:val="21"/>
                <w:szCs w:val="21"/>
                <w:u w:val="single" w:color="auto"/>
                <w:lang w:bidi="ar"/>
              </w:rPr>
              <w:t>（</w:t>
            </w:r>
            <w:r>
              <w:rPr>
                <w:rFonts w:hint="default" w:ascii="Times New Roman" w:hAnsi="Times New Roman" w:eastAsia="Times New Roman" w:cs="Times New Roman"/>
                <w:b/>
                <w:color w:val="auto"/>
                <w:kern w:val="0"/>
                <w:sz w:val="21"/>
                <w:szCs w:val="21"/>
                <w:u w:val="single" w:color="auto"/>
                <w:lang w:bidi="ar"/>
              </w:rPr>
              <w:t>μg/m</w:t>
            </w:r>
            <w:r>
              <w:rPr>
                <w:rFonts w:hint="default" w:ascii="Times New Roman" w:hAnsi="Times New Roman" w:eastAsia="Times New Roman" w:cs="Times New Roman"/>
                <w:b/>
                <w:color w:val="auto"/>
                <w:kern w:val="0"/>
                <w:sz w:val="21"/>
                <w:szCs w:val="21"/>
                <w:u w:val="single" w:color="auto"/>
                <w:vertAlign w:val="superscript"/>
                <w:lang w:bidi="ar"/>
              </w:rPr>
              <w:t>3</w:t>
            </w:r>
            <w:r>
              <w:rPr>
                <w:rFonts w:hint="default" w:ascii="Times New Roman" w:hAnsi="Times New Roman" w:eastAsia="宋体" w:cs="Times New Roman"/>
                <w:b/>
                <w:color w:val="auto"/>
                <w:kern w:val="0"/>
                <w:sz w:val="21"/>
                <w:szCs w:val="21"/>
                <w:u w:val="single" w:color="auto"/>
                <w:lang w:bidi="ar"/>
              </w:rPr>
              <w:t>）</w:t>
            </w:r>
          </w:p>
        </w:tc>
        <w:tc>
          <w:tcPr>
            <w:tcW w:w="818" w:type="pct"/>
            <w:tcBorders>
              <w:top w:val="single" w:color="auto" w:sz="4" w:space="0"/>
              <w:left w:val="single" w:color="auto" w:sz="4" w:space="0"/>
              <w:bottom w:val="single" w:color="auto" w:sz="4" w:space="0"/>
              <w:right w:val="single" w:color="auto" w:sz="4" w:space="0"/>
              <w:tl2br w:val="nil"/>
              <w:tr2bl w:val="nil"/>
            </w:tcBorders>
            <w:noWrap/>
            <w:vAlign w:val="center"/>
          </w:tcPr>
          <w:p w14:paraId="01A78EBD">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出现时间</w:t>
            </w:r>
          </w:p>
        </w:tc>
        <w:tc>
          <w:tcPr>
            <w:tcW w:w="736" w:type="pct"/>
            <w:tcBorders>
              <w:top w:val="single" w:color="auto" w:sz="4" w:space="0"/>
              <w:left w:val="single" w:color="auto" w:sz="4" w:space="0"/>
              <w:bottom w:val="single" w:color="auto" w:sz="4" w:space="0"/>
              <w:right w:val="single" w:color="auto" w:sz="4" w:space="0"/>
              <w:tl2br w:val="nil"/>
              <w:tr2bl w:val="nil"/>
            </w:tcBorders>
            <w:noWrap/>
            <w:vAlign w:val="center"/>
          </w:tcPr>
          <w:p w14:paraId="0A1B4A93">
            <w:pPr>
              <w:widowControl/>
              <w:spacing w:beforeLines="0" w:afterLines="0"/>
              <w:jc w:val="center"/>
              <w:textAlignment w:val="center"/>
              <w:rPr>
                <w:rFonts w:hint="default" w:ascii="Times New Roman" w:hAnsi="Times New Roman" w:eastAsia="Times New Roman"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占标率（%）</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0C74215A">
            <w:pPr>
              <w:widowControl/>
              <w:spacing w:beforeLines="0" w:afterLines="0"/>
              <w:jc w:val="center"/>
              <w:textAlignment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kern w:val="0"/>
                <w:sz w:val="21"/>
                <w:szCs w:val="21"/>
                <w:u w:val="single" w:color="auto"/>
                <w:lang w:bidi="ar"/>
              </w:rPr>
              <w:t>达标情况</w:t>
            </w:r>
          </w:p>
        </w:tc>
      </w:tr>
      <w:tr w14:paraId="45016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64803D3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1</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4FA85BA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过山路村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AB8F2E4">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093EB42C">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36.8476</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38CFDB1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23053006</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0706DE6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18.42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2FFB36B8">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5C108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4CFB530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2</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32C3B678">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淡水湾村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E54664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4DDE3F6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40.3744</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298308A4">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23072124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27E61E92">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20.19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5F26F41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1682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3030CB3B">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3</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0CE560D3">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金鼓村</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E0ACB8F">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1ABE99D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31.7914</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0CC14B8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23040123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232C6F53">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15.90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10F78313">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0136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44DE58FA">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4</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39F6632C">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钦州港安置小区</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092A07C3">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0FE648D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33.0623</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565C9CF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23081101</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76E1B71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16.53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419FE849">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7497A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B1CD016">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5</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1F219334">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大榄坪</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329D522C">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27EC7F4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32.8687</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670531B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23062902</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4F3CC06F">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16.43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22FFCBE6">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299D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7B554A19">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6</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2E4FFF82">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钦州港开发区中学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6BB71F3A">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48F11F4E">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36.1754</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2E3828C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23072504</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1019499B">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18.09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0758AC3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4FAED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23A425FC">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7</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1837098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钦州港开发区第四小学</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F7232EB">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28214AA7">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33.5094</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5EBF5F41">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23061023</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43D6254B">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16.75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6E20CB05">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达标</w:t>
            </w:r>
          </w:p>
        </w:tc>
      </w:tr>
      <w:tr w14:paraId="3CDCE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28" w:type="pct"/>
            <w:tcBorders>
              <w:top w:val="single" w:color="auto" w:sz="4" w:space="0"/>
              <w:left w:val="single" w:color="auto" w:sz="4" w:space="0"/>
              <w:bottom w:val="single" w:color="auto" w:sz="4" w:space="0"/>
              <w:right w:val="single" w:color="auto" w:sz="4" w:space="0"/>
              <w:tl2br w:val="nil"/>
              <w:tr2bl w:val="nil"/>
            </w:tcBorders>
            <w:noWrap/>
            <w:vAlign w:val="center"/>
          </w:tcPr>
          <w:p w14:paraId="00F4A8A7">
            <w:pPr>
              <w:widowControl/>
              <w:spacing w:beforeLines="0" w:afterLines="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Times New Roman" w:cs="Times New Roman"/>
                <w:color w:val="auto"/>
                <w:kern w:val="0"/>
                <w:sz w:val="21"/>
                <w:szCs w:val="21"/>
                <w:u w:val="single" w:color="auto"/>
                <w:lang w:bidi="ar"/>
              </w:rPr>
              <w:t>8</w:t>
            </w:r>
          </w:p>
        </w:tc>
        <w:tc>
          <w:tcPr>
            <w:tcW w:w="1941" w:type="dxa"/>
            <w:tcBorders>
              <w:top w:val="single" w:color="auto" w:sz="4" w:space="0"/>
              <w:left w:val="single" w:color="auto" w:sz="4" w:space="0"/>
              <w:bottom w:val="single" w:color="auto" w:sz="4" w:space="0"/>
              <w:right w:val="single" w:color="auto" w:sz="4" w:space="0"/>
              <w:tl2br w:val="nil"/>
              <w:tr2bl w:val="nil"/>
            </w:tcBorders>
            <w:noWrap/>
            <w:vAlign w:val="center"/>
          </w:tcPr>
          <w:p w14:paraId="351738F5">
            <w:pPr>
              <w:keepNext w:val="0"/>
              <w:keepLines w:val="0"/>
              <w:widowControl/>
              <w:suppressLineNumbers w:val="0"/>
              <w:jc w:val="center"/>
              <w:textAlignment w:val="center"/>
              <w:rPr>
                <w:rFonts w:hint="default" w:ascii="Times New Roman" w:hAnsi="Times New Roman" w:eastAsia="宋体" w:cs="Times New Roman"/>
                <w:color w:val="auto"/>
                <w:sz w:val="21"/>
                <w:szCs w:val="21"/>
                <w:u w:val="single" w:color="auto"/>
              </w:rPr>
            </w:pPr>
            <w:r>
              <w:rPr>
                <w:rFonts w:hint="eastAsia" w:ascii="宋体" w:hAnsi="宋体" w:eastAsia="宋体" w:cs="宋体"/>
                <w:i w:val="0"/>
                <w:iCs w:val="0"/>
                <w:color w:val="auto"/>
                <w:kern w:val="0"/>
                <w:sz w:val="21"/>
                <w:szCs w:val="21"/>
                <w:u w:val="none"/>
                <w:lang w:val="en-US" w:eastAsia="zh-CN" w:bidi="ar"/>
              </w:rPr>
              <w:t>网格（</w:t>
            </w:r>
            <w:r>
              <w:rPr>
                <w:rFonts w:hint="default" w:ascii="Times New Roman" w:hAnsi="Times New Roman" w:eastAsia="宋体" w:cs="Times New Roman"/>
                <w:i w:val="0"/>
                <w:iCs w:val="0"/>
                <w:color w:val="auto"/>
                <w:kern w:val="0"/>
                <w:sz w:val="21"/>
                <w:szCs w:val="21"/>
                <w:u w:val="none"/>
                <w:lang w:val="en-US" w:eastAsia="zh-CN" w:bidi="ar"/>
              </w:rPr>
              <w:t>-300,50</w:t>
            </w:r>
            <w:r>
              <w:rPr>
                <w:rFonts w:hint="eastAsia" w:ascii="宋体" w:hAnsi="宋体" w:eastAsia="宋体" w:cs="宋体"/>
                <w:i w:val="0"/>
                <w:iCs w:val="0"/>
                <w:color w:val="auto"/>
                <w:kern w:val="0"/>
                <w:sz w:val="21"/>
                <w:szCs w:val="21"/>
                <w:u w:val="none"/>
                <w:lang w:val="en-US" w:eastAsia="zh-CN" w:bidi="ar"/>
              </w:rPr>
              <w:t>）</w:t>
            </w:r>
          </w:p>
        </w:tc>
        <w:tc>
          <w:tcPr>
            <w:tcW w:w="909" w:type="dxa"/>
            <w:tcBorders>
              <w:top w:val="single" w:color="auto" w:sz="4" w:space="0"/>
              <w:left w:val="single" w:color="auto" w:sz="4" w:space="0"/>
              <w:bottom w:val="single" w:color="auto" w:sz="4" w:space="0"/>
              <w:right w:val="single" w:color="auto" w:sz="4" w:space="0"/>
              <w:tl2br w:val="nil"/>
              <w:tr2bl w:val="nil"/>
            </w:tcBorders>
            <w:noWrap/>
            <w:vAlign w:val="center"/>
          </w:tcPr>
          <w:p w14:paraId="554CF87E">
            <w:pPr>
              <w:keepNext w:val="0"/>
              <w:keepLines w:val="0"/>
              <w:widowControl/>
              <w:suppressLineNumbers w:val="0"/>
              <w:jc w:val="center"/>
              <w:textAlignment w:val="center"/>
              <w:rPr>
                <w:rFonts w:hint="default"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小时</w:t>
            </w:r>
          </w:p>
        </w:tc>
        <w:tc>
          <w:tcPr>
            <w:tcW w:w="1548" w:type="dxa"/>
            <w:tcBorders>
              <w:top w:val="single" w:color="auto" w:sz="4" w:space="0"/>
              <w:left w:val="single" w:color="auto" w:sz="4" w:space="0"/>
              <w:bottom w:val="single" w:color="auto" w:sz="4" w:space="0"/>
              <w:right w:val="single" w:color="auto" w:sz="4" w:space="0"/>
              <w:tl2br w:val="nil"/>
              <w:tr2bl w:val="nil"/>
            </w:tcBorders>
            <w:noWrap/>
            <w:vAlign w:val="center"/>
          </w:tcPr>
          <w:p w14:paraId="17919585">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1270.017</w:t>
            </w:r>
          </w:p>
        </w:tc>
        <w:tc>
          <w:tcPr>
            <w:tcW w:w="1394" w:type="dxa"/>
            <w:tcBorders>
              <w:top w:val="single" w:color="auto" w:sz="4" w:space="0"/>
              <w:left w:val="single" w:color="auto" w:sz="4" w:space="0"/>
              <w:bottom w:val="single" w:color="auto" w:sz="4" w:space="0"/>
              <w:right w:val="single" w:color="auto" w:sz="4" w:space="0"/>
              <w:tl2br w:val="nil"/>
              <w:tr2bl w:val="nil"/>
            </w:tcBorders>
            <w:noWrap/>
            <w:vAlign w:val="center"/>
          </w:tcPr>
          <w:p w14:paraId="63D3DFF9">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23012608</w:t>
            </w:r>
          </w:p>
        </w:tc>
        <w:tc>
          <w:tcPr>
            <w:tcW w:w="1255" w:type="dxa"/>
            <w:tcBorders>
              <w:top w:val="single" w:color="auto" w:sz="4" w:space="0"/>
              <w:left w:val="single" w:color="auto" w:sz="4" w:space="0"/>
              <w:bottom w:val="single" w:color="auto" w:sz="4" w:space="0"/>
              <w:right w:val="single" w:color="auto" w:sz="4" w:space="0"/>
              <w:tl2br w:val="nil"/>
              <w:tr2bl w:val="nil"/>
            </w:tcBorders>
            <w:noWrap/>
            <w:vAlign w:val="center"/>
          </w:tcPr>
          <w:p w14:paraId="57439358">
            <w:pPr>
              <w:keepNext w:val="0"/>
              <w:keepLines w:val="0"/>
              <w:widowControl/>
              <w:suppressLineNumbers w:val="0"/>
              <w:jc w:val="center"/>
              <w:textAlignment w:val="center"/>
              <w:rPr>
                <w:rFonts w:hint="default" w:ascii="Times New Roman" w:hAnsi="Times New Roman" w:eastAsia="Times New Roman" w:cs="Times New Roman"/>
                <w:color w:val="auto"/>
                <w:sz w:val="21"/>
                <w:szCs w:val="24"/>
                <w:u w:val="single" w:color="auto"/>
              </w:rPr>
            </w:pPr>
            <w:r>
              <w:rPr>
                <w:rFonts w:hint="default" w:ascii="Times New Roman" w:hAnsi="Times New Roman" w:eastAsia="宋体" w:cs="Times New Roman"/>
                <w:i w:val="0"/>
                <w:iCs w:val="0"/>
                <w:color w:val="auto"/>
                <w:kern w:val="0"/>
                <w:sz w:val="21"/>
                <w:szCs w:val="21"/>
                <w:u w:val="none"/>
                <w:lang w:val="en-US" w:eastAsia="zh-CN" w:bidi="ar"/>
              </w:rPr>
              <w:t xml:space="preserve">635.01 </w:t>
            </w:r>
          </w:p>
        </w:tc>
        <w:tc>
          <w:tcPr>
            <w:tcW w:w="533" w:type="pct"/>
            <w:tcBorders>
              <w:top w:val="single" w:color="auto" w:sz="4" w:space="0"/>
              <w:left w:val="single" w:color="auto" w:sz="4" w:space="0"/>
              <w:bottom w:val="single" w:color="auto" w:sz="4" w:space="0"/>
              <w:right w:val="single" w:color="auto" w:sz="4" w:space="0"/>
              <w:tl2br w:val="nil"/>
              <w:tr2bl w:val="nil"/>
            </w:tcBorders>
            <w:noWrap/>
            <w:vAlign w:val="center"/>
          </w:tcPr>
          <w:p w14:paraId="4997B194">
            <w:pPr>
              <w:widowControl/>
              <w:spacing w:beforeLines="0" w:afterLines="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kern w:val="0"/>
                <w:sz w:val="21"/>
                <w:szCs w:val="21"/>
                <w:u w:val="single" w:color="auto"/>
                <w:lang w:bidi="ar"/>
              </w:rPr>
              <w:t>超标</w:t>
            </w:r>
          </w:p>
        </w:tc>
      </w:tr>
    </w:tbl>
    <w:p w14:paraId="113CF826">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p>
    <w:p w14:paraId="35784B4E">
      <w:pPr>
        <w:autoSpaceDE w:val="0"/>
        <w:autoSpaceDN w:val="0"/>
        <w:spacing w:before="156" w:beforeLines="50" w:afterLines="0"/>
        <w:jc w:val="center"/>
        <w:rPr>
          <w:rFonts w:hint="default" w:ascii="Times New Roman" w:hAnsi="Times New Roman" w:eastAsia="Times New Roman" w:cs="Times New Roman"/>
          <w:b/>
          <w:color w:val="auto"/>
          <w:kern w:val="0"/>
          <w:sz w:val="24"/>
          <w:szCs w:val="24"/>
          <w:u w:val="single" w:color="auto"/>
        </w:rPr>
      </w:pPr>
    </w:p>
    <w:p w14:paraId="00FD1645">
      <w:pPr>
        <w:widowControl/>
        <w:autoSpaceDE w:val="0"/>
        <w:autoSpaceDN w:val="0"/>
        <w:spacing w:beforeLines="0" w:afterLines="0"/>
        <w:jc w:val="left"/>
        <w:rPr>
          <w:rFonts w:hint="default" w:ascii="Times New Roman" w:hAnsi="Times New Roman" w:eastAsia="Times New Roman" w:cs="Times New Roman"/>
          <w:b/>
          <w:color w:val="auto"/>
          <w:kern w:val="0"/>
          <w:sz w:val="32"/>
          <w:szCs w:val="32"/>
          <w:u w:val="single" w:color="auto"/>
        </w:rPr>
      </w:pPr>
      <w:r>
        <w:rPr>
          <w:color w:val="auto"/>
        </w:rPr>
        <w:drawing>
          <wp:inline distT="0" distB="0" distL="114300" distR="114300">
            <wp:extent cx="5268595" cy="3164205"/>
            <wp:effectExtent l="0" t="0" r="8255" b="17145"/>
            <wp:docPr id="8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6"/>
                    <pic:cNvPicPr>
                      <a:picLocks noChangeAspect="1"/>
                    </pic:cNvPicPr>
                  </pic:nvPicPr>
                  <pic:blipFill>
                    <a:blip r:embed="rId60"/>
                    <a:stretch>
                      <a:fillRect/>
                    </a:stretch>
                  </pic:blipFill>
                  <pic:spPr>
                    <a:xfrm>
                      <a:off x="0" y="0"/>
                      <a:ext cx="5268595" cy="3164205"/>
                    </a:xfrm>
                    <a:prstGeom prst="rect">
                      <a:avLst/>
                    </a:prstGeom>
                    <a:noFill/>
                    <a:ln>
                      <a:noFill/>
                    </a:ln>
                  </pic:spPr>
                </pic:pic>
              </a:graphicData>
            </a:graphic>
          </wp:inline>
        </w:drawing>
      </w:r>
    </w:p>
    <w:p w14:paraId="2F82C911">
      <w:pPr>
        <w:autoSpaceDE w:val="0"/>
        <w:autoSpaceDN w:val="0"/>
        <w:adjustRightInd w:val="0"/>
        <w:spacing w:beforeLines="0" w:afterLines="0" w:line="360" w:lineRule="auto"/>
        <w:jc w:val="center"/>
        <w:rPr>
          <w:rFonts w:hint="default" w:ascii="Times New Roman" w:hAnsi="Times New Roman" w:eastAsia="Times New Roman" w:cs="Times New Roman"/>
          <w:b/>
          <w:color w:val="auto"/>
          <w:kern w:val="0"/>
          <w:sz w:val="24"/>
          <w:szCs w:val="24"/>
          <w:u w:val="single" w:color="auto"/>
        </w:rPr>
      </w:pPr>
      <w:r>
        <w:rPr>
          <w:rFonts w:hint="default" w:ascii="Times New Roman" w:hAnsi="Times New Roman" w:eastAsia="宋体" w:cs="Times New Roman"/>
          <w:b/>
          <w:color w:val="auto"/>
          <w:kern w:val="0"/>
          <w:sz w:val="24"/>
          <w:szCs w:val="24"/>
          <w:u w:val="single" w:color="auto"/>
        </w:rPr>
        <w:t>图4.2</w:t>
      </w:r>
      <w:r>
        <w:rPr>
          <w:rFonts w:hint="default" w:ascii="Times New Roman" w:hAnsi="Times New Roman" w:eastAsia="Times New Roman" w:cs="Times New Roman"/>
          <w:b/>
          <w:color w:val="auto"/>
          <w:kern w:val="0"/>
          <w:sz w:val="24"/>
          <w:szCs w:val="24"/>
          <w:u w:val="single" w:color="auto"/>
        </w:rPr>
        <w:t>-</w:t>
      </w:r>
      <w:r>
        <w:rPr>
          <w:rFonts w:hint="default" w:ascii="Times New Roman" w:hAnsi="Times New Roman" w:eastAsia="宋体" w:cs="Times New Roman"/>
          <w:b/>
          <w:color w:val="auto"/>
          <w:kern w:val="0"/>
          <w:sz w:val="24"/>
          <w:szCs w:val="24"/>
          <w:u w:val="single" w:color="auto"/>
        </w:rPr>
        <w:t>39</w:t>
      </w:r>
      <w:r>
        <w:rPr>
          <w:rFonts w:hint="default" w:ascii="Times New Roman" w:hAnsi="Times New Roman" w:eastAsia="Times New Roman" w:cs="Times New Roman"/>
          <w:b/>
          <w:color w:val="auto"/>
          <w:kern w:val="0"/>
          <w:sz w:val="24"/>
          <w:szCs w:val="24"/>
          <w:u w:val="single" w:color="auto"/>
        </w:rPr>
        <w:t xml:space="preserve"> </w:t>
      </w:r>
      <w:r>
        <w:rPr>
          <w:rFonts w:hint="default" w:ascii="Times New Roman" w:hAnsi="Times New Roman" w:eastAsia="宋体" w:cs="Times New Roman"/>
          <w:b/>
          <w:color w:val="auto"/>
          <w:kern w:val="0"/>
          <w:sz w:val="24"/>
          <w:szCs w:val="24"/>
          <w:u w:val="single" w:color="auto"/>
        </w:rPr>
        <w:t>非正常工况二甲苯小时平均浓度贡献值分布图（单位：</w:t>
      </w:r>
      <w:r>
        <w:rPr>
          <w:rFonts w:hint="default" w:ascii="Times New Roman" w:hAnsi="Times New Roman" w:eastAsia="Times New Roman" w:cs="Times New Roman"/>
          <w:b/>
          <w:color w:val="auto"/>
          <w:kern w:val="0"/>
          <w:sz w:val="24"/>
          <w:szCs w:val="24"/>
          <w:u w:val="single" w:color="auto"/>
        </w:rPr>
        <w:t>μ</w:t>
      </w:r>
      <w:r>
        <w:rPr>
          <w:rFonts w:hint="default" w:ascii="Times New Roman" w:hAnsi="Times New Roman" w:eastAsia="宋体" w:cs="Times New Roman"/>
          <w:b/>
          <w:color w:val="auto"/>
          <w:kern w:val="0"/>
          <w:sz w:val="24"/>
          <w:szCs w:val="24"/>
          <w:u w:val="single" w:color="auto"/>
        </w:rPr>
        <w:t>g/m</w:t>
      </w:r>
      <w:r>
        <w:rPr>
          <w:rFonts w:hint="default" w:ascii="Times New Roman" w:hAnsi="Times New Roman" w:eastAsia="宋体" w:cs="Times New Roman"/>
          <w:b/>
          <w:color w:val="auto"/>
          <w:kern w:val="0"/>
          <w:sz w:val="24"/>
          <w:szCs w:val="24"/>
          <w:u w:val="single" w:color="auto"/>
          <w:vertAlign w:val="superscript"/>
        </w:rPr>
        <w:t>3</w:t>
      </w:r>
      <w:r>
        <w:rPr>
          <w:rFonts w:hint="default" w:ascii="Times New Roman" w:hAnsi="Times New Roman" w:eastAsia="宋体" w:cs="Times New Roman"/>
          <w:b/>
          <w:color w:val="auto"/>
          <w:kern w:val="0"/>
          <w:sz w:val="24"/>
          <w:szCs w:val="24"/>
          <w:u w:val="single" w:color="auto"/>
        </w:rPr>
        <w:t>）</w:t>
      </w:r>
    </w:p>
    <w:p w14:paraId="2219CA9B">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eastAsia="宋体" w:cs="Times New Roman"/>
          <w:color w:val="auto"/>
          <w:kern w:val="0"/>
          <w:sz w:val="24"/>
          <w:szCs w:val="24"/>
          <w:highlight w:val="none"/>
          <w:u w:val="single"/>
          <w:lang w:val="en-US"/>
        </w:rPr>
      </w:pPr>
      <w:r>
        <w:rPr>
          <w:rFonts w:hint="default" w:ascii="Times New Roman" w:hAnsi="Times New Roman" w:eastAsia="宋体" w:cs="Times New Roman"/>
          <w:color w:val="auto"/>
          <w:kern w:val="0"/>
          <w:sz w:val="24"/>
          <w:szCs w:val="24"/>
          <w:u w:val="single" w:color="auto"/>
        </w:rPr>
        <w:t>根据表4.2-2</w:t>
      </w:r>
      <w:r>
        <w:rPr>
          <w:rFonts w:hint="eastAsia" w:ascii="Times New Roman" w:hAnsi="Times New Roman" w:eastAsia="宋体" w:cs="Times New Roman"/>
          <w:color w:val="auto"/>
          <w:kern w:val="0"/>
          <w:sz w:val="24"/>
          <w:szCs w:val="24"/>
          <w:u w:val="single" w:color="auto"/>
          <w:lang w:val="en-US" w:eastAsia="zh-CN"/>
        </w:rPr>
        <w:t>7</w:t>
      </w:r>
      <w:r>
        <w:rPr>
          <w:rFonts w:hint="default" w:ascii="Times New Roman" w:hAnsi="Times New Roman" w:eastAsia="宋体" w:cs="Times New Roman"/>
          <w:color w:val="auto"/>
          <w:kern w:val="0"/>
          <w:sz w:val="24"/>
          <w:szCs w:val="24"/>
          <w:u w:val="single" w:color="auto"/>
        </w:rPr>
        <w:t>~4.2-3</w:t>
      </w:r>
      <w:r>
        <w:rPr>
          <w:rFonts w:hint="eastAsia" w:ascii="Times New Roman" w:hAnsi="Times New Roman" w:eastAsia="宋体" w:cs="Times New Roman"/>
          <w:color w:val="auto"/>
          <w:kern w:val="0"/>
          <w:sz w:val="24"/>
          <w:szCs w:val="24"/>
          <w:u w:val="single" w:color="auto"/>
          <w:lang w:val="en-US" w:eastAsia="zh-CN"/>
        </w:rPr>
        <w:t>0</w:t>
      </w:r>
      <w:r>
        <w:rPr>
          <w:rFonts w:hint="default" w:ascii="Times New Roman" w:hAnsi="Times New Roman" w:eastAsia="宋体" w:cs="Times New Roman"/>
          <w:color w:val="auto"/>
          <w:kern w:val="0"/>
          <w:sz w:val="24"/>
          <w:szCs w:val="24"/>
          <w:u w:val="single" w:color="auto"/>
        </w:rPr>
        <w:t>，非正常工况时，PM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、非甲烷总烃、甲苯和二甲苯在各敏感点均出现不同程度增加，PM</w:t>
      </w:r>
      <w:r>
        <w:rPr>
          <w:rFonts w:hint="default" w:ascii="Times New Roman" w:hAnsi="Times New Roman" w:eastAsia="宋体" w:cs="Times New Roman"/>
          <w:color w:val="auto"/>
          <w:kern w:val="0"/>
          <w:sz w:val="24"/>
          <w:szCs w:val="24"/>
          <w:u w:val="single" w:color="auto"/>
          <w:vertAlign w:val="subscript"/>
        </w:rPr>
        <w:t>10</w:t>
      </w:r>
      <w:r>
        <w:rPr>
          <w:rFonts w:hint="default" w:ascii="Times New Roman" w:hAnsi="Times New Roman" w:eastAsia="宋体" w:cs="Times New Roman"/>
          <w:color w:val="auto"/>
          <w:kern w:val="0"/>
          <w:sz w:val="24"/>
          <w:szCs w:val="24"/>
          <w:u w:val="single" w:color="auto"/>
        </w:rPr>
        <w:t>、非甲烷总烃、二甲苯评价范围内均出现超标的情况。为了减小废气对周边环境的影响，项目制定严格的</w:t>
      </w:r>
      <w:r>
        <w:rPr>
          <w:rFonts w:hint="eastAsia" w:ascii="Times New Roman" w:hAnsi="Times New Roman" w:eastAsia="宋体" w:cs="Times New Roman"/>
          <w:color w:val="auto"/>
          <w:kern w:val="0"/>
          <w:sz w:val="24"/>
          <w:szCs w:val="24"/>
          <w:u w:val="single" w:color="auto"/>
          <w:lang w:val="en-US" w:eastAsia="zh-CN"/>
        </w:rPr>
        <w:t>生产</w:t>
      </w:r>
      <w:r>
        <w:rPr>
          <w:rFonts w:hint="default" w:ascii="Times New Roman" w:hAnsi="Times New Roman" w:eastAsia="宋体" w:cs="Times New Roman"/>
          <w:color w:val="auto"/>
          <w:kern w:val="0"/>
          <w:sz w:val="24"/>
          <w:szCs w:val="24"/>
          <w:u w:val="single" w:color="auto"/>
        </w:rPr>
        <w:t>工艺操作规程，加强监督和管理，提高职工安全意识和环保意识。对</w:t>
      </w:r>
      <w:r>
        <w:rPr>
          <w:rFonts w:hint="default" w:ascii="Times New Roman" w:hAnsi="Times New Roman" w:eastAsia="宋体" w:cs="Times New Roman"/>
          <w:color w:val="auto"/>
          <w:kern w:val="0"/>
          <w:sz w:val="24"/>
          <w:szCs w:val="24"/>
          <w:u w:val="single" w:color="auto"/>
          <w:lang w:val="en-US" w:eastAsia="zh-CN"/>
        </w:rPr>
        <w:t>设备、</w:t>
      </w:r>
      <w:r>
        <w:rPr>
          <w:rFonts w:hint="default" w:ascii="Times New Roman" w:hAnsi="Times New Roman" w:eastAsia="宋体" w:cs="Times New Roman"/>
          <w:color w:val="auto"/>
          <w:kern w:val="0"/>
          <w:sz w:val="24"/>
          <w:szCs w:val="24"/>
          <w:u w:val="single" w:color="auto"/>
        </w:rPr>
        <w:t>管道、阀门、接口处都要定期检查，在生产过程中需要作业人员严格按照操作规程进行作业，加强各类控制仪表和报警系统的维护。</w:t>
      </w:r>
      <w:r>
        <w:rPr>
          <w:rFonts w:hint="default" w:ascii="Times New Roman" w:hAnsi="Times New Roman" w:eastAsia="宋体" w:cs="Times New Roman"/>
          <w:color w:val="auto"/>
          <w:kern w:val="0"/>
          <w:sz w:val="24"/>
          <w:szCs w:val="24"/>
          <w:u w:val="single" w:color="auto"/>
          <w:lang w:val="en-US" w:eastAsia="zh-CN"/>
        </w:rPr>
        <w:t>废气处理系统须按相关标准要求设计、施工和管理，同时，需对各废气处理系统进行定期与不定期检查，及时维修或更换不良部件，上岗操作人员进行岗前培训，使其具备操作资格及应急处理能力。</w:t>
      </w:r>
      <w:r>
        <w:rPr>
          <w:rFonts w:hint="eastAsia" w:ascii="Times New Roman" w:hAnsi="Times New Roman" w:eastAsia="宋体" w:cs="Times New Roman"/>
          <w:color w:val="auto"/>
          <w:kern w:val="0"/>
          <w:sz w:val="24"/>
          <w:szCs w:val="24"/>
          <w:u w:val="single" w:color="auto"/>
          <w:lang w:val="en-US" w:eastAsia="zh-CN"/>
        </w:rPr>
        <w:t>一旦废气处理设施发生故障，对应生产工序立即停工，待废气处理设施恢复正常，方可开工。</w:t>
      </w:r>
    </w:p>
    <w:p w14:paraId="0FDF9F7F">
      <w:pPr>
        <w:widowControl/>
        <w:autoSpaceDE w:val="0"/>
        <w:autoSpaceDN w:val="0"/>
        <w:spacing w:line="360" w:lineRule="auto"/>
        <w:ind w:firstLine="482" w:firstLineChars="200"/>
        <w:jc w:val="left"/>
        <w:rPr>
          <w:rFonts w:ascii="Times New Roman" w:hAnsi="Times New Roman" w:eastAsia="宋体" w:cs="Times New Roman"/>
          <w:b/>
          <w:color w:val="auto"/>
          <w:kern w:val="0"/>
          <w:sz w:val="24"/>
          <w:szCs w:val="20"/>
          <w:highlight w:val="none"/>
          <w:u w:val="single" w:color="auto"/>
        </w:rPr>
      </w:pPr>
      <w:r>
        <w:rPr>
          <w:rFonts w:hint="eastAsia" w:ascii="Times New Roman" w:hAnsi="Times New Roman" w:eastAsia="宋体" w:cs="Times New Roman"/>
          <w:b/>
          <w:color w:val="auto"/>
          <w:kern w:val="0"/>
          <w:sz w:val="24"/>
          <w:szCs w:val="20"/>
          <w:highlight w:val="none"/>
          <w:u w:val="single" w:color="auto"/>
        </w:rPr>
        <w:t>3</w:t>
      </w:r>
      <w:r>
        <w:rPr>
          <w:rFonts w:ascii="Times New Roman" w:hAnsi="Times New Roman" w:eastAsia="宋体" w:cs="Times New Roman"/>
          <w:b/>
          <w:color w:val="auto"/>
          <w:kern w:val="0"/>
          <w:sz w:val="24"/>
          <w:szCs w:val="20"/>
          <w:highlight w:val="none"/>
          <w:u w:val="single" w:color="auto"/>
        </w:rPr>
        <w:t>、</w:t>
      </w:r>
      <w:r>
        <w:rPr>
          <w:rFonts w:hint="eastAsia" w:ascii="Times New Roman" w:hAnsi="Times New Roman" w:eastAsia="宋体" w:cs="Times New Roman"/>
          <w:b/>
          <w:color w:val="auto"/>
          <w:kern w:val="0"/>
          <w:sz w:val="24"/>
          <w:szCs w:val="20"/>
          <w:highlight w:val="none"/>
          <w:u w:val="single" w:color="auto"/>
          <w:lang w:val="en-US" w:eastAsia="zh-CN"/>
        </w:rPr>
        <w:t>异味环境</w:t>
      </w:r>
      <w:r>
        <w:rPr>
          <w:rFonts w:hint="eastAsia" w:ascii="Times New Roman" w:hAnsi="Times New Roman" w:eastAsia="宋体" w:cs="Times New Roman"/>
          <w:b/>
          <w:color w:val="auto"/>
          <w:kern w:val="0"/>
          <w:sz w:val="24"/>
          <w:szCs w:val="20"/>
          <w:highlight w:val="none"/>
          <w:u w:val="single" w:color="auto"/>
        </w:rPr>
        <w:t>影响分析</w:t>
      </w:r>
    </w:p>
    <w:p w14:paraId="6525DE4E">
      <w:pPr>
        <w:pStyle w:val="111"/>
        <w:spacing w:line="360" w:lineRule="auto"/>
        <w:ind w:firstLine="480" w:firstLineChars="200"/>
        <w:jc w:val="both"/>
        <w:rPr>
          <w:rFonts w:hint="default" w:ascii="Times New Roman" w:hAnsi="Times New Roman" w:eastAsia="宋体" w:cs="Times New Roman"/>
          <w:color w:val="auto"/>
          <w:kern w:val="2"/>
          <w:sz w:val="24"/>
          <w:szCs w:val="24"/>
          <w:highlight w:val="none"/>
          <w:u w:val="single" w:color="auto"/>
        </w:rPr>
      </w:pPr>
      <w:r>
        <w:rPr>
          <w:rFonts w:hint="eastAsia" w:ascii="Times New Roman" w:hAnsi="Times New Roman" w:eastAsia="宋体" w:cs="Times New Roman"/>
          <w:color w:val="auto"/>
          <w:kern w:val="2"/>
          <w:sz w:val="24"/>
          <w:szCs w:val="24"/>
          <w:highlight w:val="none"/>
          <w:u w:val="single" w:color="auto"/>
          <w:lang w:val="en-US" w:eastAsia="zh-CN"/>
        </w:rPr>
        <w:t>本项目调漆、喷漆和晾干工序会产生少量异味（用臭气浓度表征），</w:t>
      </w:r>
      <w:r>
        <w:rPr>
          <w:rFonts w:hint="eastAsia" w:ascii="Times New Roman" w:hAnsi="Times New Roman" w:cs="Times New Roman"/>
          <w:color w:val="auto"/>
          <w:sz w:val="24"/>
          <w:szCs w:val="24"/>
          <w:highlight w:val="none"/>
          <w:u w:val="single" w:color="auto"/>
          <w:lang w:val="en-US" w:eastAsia="zh-CN"/>
        </w:rPr>
        <w:t>本项目涂装车间产生的</w:t>
      </w:r>
      <w:r>
        <w:rPr>
          <w:rFonts w:hint="eastAsia" w:ascii="Times New Roman" w:hAnsi="Times New Roman" w:eastAsia="宋体" w:cs="Times New Roman"/>
          <w:color w:val="auto"/>
          <w:kern w:val="2"/>
          <w:sz w:val="24"/>
          <w:szCs w:val="24"/>
          <w:highlight w:val="none"/>
          <w:u w:val="single" w:color="auto"/>
          <w:lang w:val="en-US" w:eastAsia="zh-CN"/>
        </w:rPr>
        <w:t>异味</w:t>
      </w:r>
      <w:r>
        <w:rPr>
          <w:rFonts w:hint="eastAsia" w:ascii="Times New Roman" w:hAnsi="Times New Roman" w:cs="Times New Roman"/>
          <w:color w:val="auto"/>
          <w:sz w:val="24"/>
          <w:szCs w:val="24"/>
          <w:highlight w:val="none"/>
          <w:u w:val="single" w:color="auto"/>
          <w:lang w:val="en-US" w:eastAsia="zh-CN"/>
        </w:rPr>
        <w:t>与有机废气一同被收集和处理排放，未收集到的</w:t>
      </w:r>
      <w:r>
        <w:rPr>
          <w:rFonts w:hint="eastAsia" w:ascii="Times New Roman" w:hAnsi="Times New Roman" w:eastAsia="宋体" w:cs="Times New Roman"/>
          <w:color w:val="auto"/>
          <w:kern w:val="2"/>
          <w:sz w:val="24"/>
          <w:szCs w:val="24"/>
          <w:highlight w:val="none"/>
          <w:u w:val="single" w:color="auto"/>
          <w:lang w:val="en-US" w:eastAsia="zh-CN"/>
        </w:rPr>
        <w:t>异味</w:t>
      </w:r>
      <w:r>
        <w:rPr>
          <w:rFonts w:hint="eastAsia" w:ascii="Times New Roman" w:hAnsi="Times New Roman" w:cs="Times New Roman"/>
          <w:color w:val="auto"/>
          <w:sz w:val="24"/>
          <w:szCs w:val="24"/>
          <w:highlight w:val="none"/>
          <w:u w:val="single" w:color="auto"/>
          <w:lang w:val="en-US" w:eastAsia="zh-CN"/>
        </w:rPr>
        <w:t>在车间无组织排放</w:t>
      </w:r>
      <w:r>
        <w:rPr>
          <w:rFonts w:hint="eastAsia" w:ascii="Times New Roman" w:hAnsi="Times New Roman" w:eastAsia="宋体" w:cs="Times New Roman"/>
          <w:color w:val="auto"/>
          <w:kern w:val="2"/>
          <w:sz w:val="24"/>
          <w:szCs w:val="24"/>
          <w:highlight w:val="none"/>
          <w:u w:val="single" w:color="auto"/>
          <w:lang w:val="en-US" w:eastAsia="zh-CN"/>
        </w:rPr>
        <w:t>。异味的产生与操作温度、原料性能等诸多因素有关，难以对异味的产生做定量评价。</w:t>
      </w:r>
      <w:r>
        <w:rPr>
          <w:rFonts w:hint="eastAsia" w:ascii="Times New Roman" w:hAnsi="Times New Roman" w:cs="Times New Roman"/>
          <w:color w:val="auto"/>
          <w:sz w:val="24"/>
          <w:szCs w:val="24"/>
          <w:highlight w:val="none"/>
          <w:u w:val="single" w:color="auto"/>
          <w:lang w:val="en-US" w:eastAsia="zh-CN"/>
        </w:rPr>
        <w:t>因此，建议建设单位加强车间通风，在采取上述控制措施情况下，项目产生的</w:t>
      </w:r>
      <w:r>
        <w:rPr>
          <w:rFonts w:hint="eastAsia" w:ascii="Times New Roman" w:hAnsi="Times New Roman" w:eastAsia="宋体" w:cs="Times New Roman"/>
          <w:color w:val="auto"/>
          <w:kern w:val="2"/>
          <w:sz w:val="24"/>
          <w:szCs w:val="24"/>
          <w:highlight w:val="none"/>
          <w:u w:val="single" w:color="auto"/>
          <w:lang w:val="en-US" w:eastAsia="zh-CN"/>
        </w:rPr>
        <w:t>异味</w:t>
      </w:r>
      <w:r>
        <w:rPr>
          <w:rFonts w:hint="eastAsia" w:ascii="Times New Roman" w:hAnsi="Times New Roman" w:cs="Times New Roman"/>
          <w:color w:val="auto"/>
          <w:sz w:val="24"/>
          <w:szCs w:val="24"/>
          <w:highlight w:val="none"/>
          <w:u w:val="single" w:color="auto"/>
          <w:lang w:val="en-US" w:eastAsia="zh-CN"/>
        </w:rPr>
        <w:t>不大，臭气浓度排放可达到国家《恶臭污染物排放标准》（</w:t>
      </w:r>
      <w:r>
        <w:rPr>
          <w:rFonts w:hint="default" w:ascii="Times New Roman" w:hAnsi="Times New Roman" w:cs="Times New Roman"/>
          <w:color w:val="auto"/>
          <w:sz w:val="24"/>
          <w:szCs w:val="24"/>
          <w:highlight w:val="none"/>
          <w:u w:val="single" w:color="auto"/>
          <w:lang w:val="en-US" w:eastAsia="zh-CN"/>
        </w:rPr>
        <w:t>GB14554-93</w:t>
      </w:r>
      <w:r>
        <w:rPr>
          <w:rFonts w:hint="eastAsia" w:ascii="Times New Roman" w:hAnsi="Times New Roman" w:cs="Times New Roman"/>
          <w:color w:val="auto"/>
          <w:sz w:val="24"/>
          <w:szCs w:val="24"/>
          <w:highlight w:val="none"/>
          <w:u w:val="single" w:color="auto"/>
          <w:lang w:val="en-US" w:eastAsia="zh-CN"/>
        </w:rPr>
        <w:t>）表</w:t>
      </w:r>
      <w:r>
        <w:rPr>
          <w:rFonts w:hint="default" w:ascii="Times New Roman" w:hAnsi="Times New Roman" w:cs="Times New Roman"/>
          <w:color w:val="auto"/>
          <w:sz w:val="24"/>
          <w:szCs w:val="24"/>
          <w:highlight w:val="none"/>
          <w:u w:val="single" w:color="auto"/>
          <w:lang w:val="en-US" w:eastAsia="zh-CN"/>
        </w:rPr>
        <w:t>1</w:t>
      </w:r>
      <w:r>
        <w:rPr>
          <w:rFonts w:hint="eastAsia" w:ascii="Times New Roman" w:hAnsi="Times New Roman" w:cs="Times New Roman"/>
          <w:color w:val="auto"/>
          <w:sz w:val="24"/>
          <w:szCs w:val="24"/>
          <w:highlight w:val="none"/>
          <w:u w:val="single" w:color="auto"/>
          <w:lang w:val="en-US" w:eastAsia="zh-CN"/>
        </w:rPr>
        <w:t>新扩改建二级及表</w:t>
      </w:r>
      <w:r>
        <w:rPr>
          <w:rFonts w:hint="default" w:ascii="Times New Roman" w:hAnsi="Times New Roman" w:cs="Times New Roman"/>
          <w:color w:val="auto"/>
          <w:sz w:val="24"/>
          <w:szCs w:val="24"/>
          <w:highlight w:val="none"/>
          <w:u w:val="single" w:color="auto"/>
          <w:lang w:val="en-US" w:eastAsia="zh-CN"/>
        </w:rPr>
        <w:t>2</w:t>
      </w:r>
      <w:r>
        <w:rPr>
          <w:rFonts w:hint="eastAsia" w:ascii="Times New Roman" w:hAnsi="Times New Roman" w:cs="Times New Roman"/>
          <w:color w:val="auto"/>
          <w:sz w:val="24"/>
          <w:szCs w:val="24"/>
          <w:highlight w:val="none"/>
          <w:u w:val="single" w:color="auto"/>
          <w:lang w:val="en-US" w:eastAsia="zh-CN"/>
        </w:rPr>
        <w:t>中的臭气浓度排放标准，即排气筒DA001的臭气浓度排放标准值</w:t>
      </w:r>
      <w:r>
        <w:rPr>
          <w:rFonts w:hint="default" w:ascii="Times New Roman" w:hAnsi="Times New Roman" w:cs="Times New Roman"/>
          <w:color w:val="auto"/>
          <w:sz w:val="24"/>
          <w:szCs w:val="24"/>
          <w:highlight w:val="none"/>
          <w:u w:val="single" w:color="auto"/>
          <w:lang w:val="en-US" w:eastAsia="zh-CN"/>
        </w:rPr>
        <w:t>≤2000</w:t>
      </w:r>
      <w:r>
        <w:rPr>
          <w:rFonts w:hint="eastAsia" w:ascii="Times New Roman" w:hAnsi="Times New Roman" w:cs="Times New Roman"/>
          <w:color w:val="auto"/>
          <w:sz w:val="24"/>
          <w:szCs w:val="24"/>
          <w:highlight w:val="none"/>
          <w:u w:val="single" w:color="auto"/>
          <w:lang w:val="en-US" w:eastAsia="zh-CN"/>
        </w:rPr>
        <w:t>（无量纲），无组织排放厂界臭气浓度</w:t>
      </w:r>
      <w:r>
        <w:rPr>
          <w:rFonts w:hint="default" w:ascii="Times New Roman" w:hAnsi="Times New Roman" w:cs="Times New Roman"/>
          <w:color w:val="auto"/>
          <w:sz w:val="24"/>
          <w:szCs w:val="24"/>
          <w:highlight w:val="none"/>
          <w:u w:val="single" w:color="auto"/>
          <w:lang w:val="en-US" w:eastAsia="zh-CN"/>
        </w:rPr>
        <w:t>≤20</w:t>
      </w:r>
      <w:r>
        <w:rPr>
          <w:rFonts w:hint="eastAsia" w:ascii="Times New Roman" w:hAnsi="Times New Roman" w:cs="Times New Roman"/>
          <w:color w:val="auto"/>
          <w:sz w:val="24"/>
          <w:szCs w:val="24"/>
          <w:highlight w:val="none"/>
          <w:u w:val="single" w:color="auto"/>
          <w:lang w:val="en-US" w:eastAsia="zh-CN"/>
        </w:rPr>
        <w:t>（无量纲）。</w:t>
      </w:r>
    </w:p>
    <w:p w14:paraId="5702A28E">
      <w:pPr>
        <w:autoSpaceDE w:val="0"/>
        <w:autoSpaceDN w:val="0"/>
        <w:adjustRightInd w:val="0"/>
        <w:snapToGrid w:val="0"/>
        <w:spacing w:line="360" w:lineRule="auto"/>
        <w:ind w:firstLine="482" w:firstLineChars="200"/>
        <w:rPr>
          <w:rFonts w:ascii="Times New Roman" w:hAnsi="Times New Roman" w:eastAsia="宋体" w:cs="Times New Roman"/>
          <w:color w:val="auto"/>
          <w:kern w:val="0"/>
          <w:sz w:val="24"/>
          <w:szCs w:val="24"/>
          <w:u w:val="single" w:color="auto"/>
        </w:rPr>
      </w:pPr>
      <w:r>
        <w:rPr>
          <w:rFonts w:hint="eastAsia" w:ascii="Times New Roman" w:hAnsi="Times New Roman" w:eastAsia="宋体" w:cs="Times New Roman"/>
          <w:b/>
          <w:color w:val="auto"/>
          <w:kern w:val="0"/>
          <w:sz w:val="24"/>
          <w:szCs w:val="20"/>
          <w:u w:val="single" w:color="auto"/>
        </w:rPr>
        <w:t>4</w:t>
      </w:r>
      <w:r>
        <w:rPr>
          <w:rFonts w:ascii="Times New Roman" w:hAnsi="Times New Roman" w:eastAsia="宋体" w:cs="Times New Roman"/>
          <w:b/>
          <w:color w:val="auto"/>
          <w:kern w:val="0"/>
          <w:sz w:val="24"/>
          <w:szCs w:val="20"/>
          <w:u w:val="single" w:color="auto"/>
        </w:rPr>
        <w:t>、运营期运输影响分析</w:t>
      </w:r>
    </w:p>
    <w:p w14:paraId="523438B0">
      <w:pPr>
        <w:autoSpaceDE w:val="0"/>
        <w:autoSpaceDN w:val="0"/>
        <w:adjustRightInd w:val="0"/>
        <w:snapToGrid w:val="0"/>
        <w:spacing w:line="360" w:lineRule="auto"/>
        <w:ind w:firstLine="480" w:firstLineChars="200"/>
        <w:rPr>
          <w:rFonts w:ascii="Times New Roman" w:hAnsi="Times New Roman" w:eastAsia="宋体" w:cs="Times New Roman"/>
          <w:color w:val="auto"/>
          <w:kern w:val="0"/>
          <w:sz w:val="24"/>
          <w:szCs w:val="24"/>
          <w:u w:val="single" w:color="auto"/>
        </w:rPr>
      </w:pPr>
      <w:r>
        <w:rPr>
          <w:rFonts w:ascii="Times New Roman" w:hAnsi="Times New Roman" w:eastAsia="宋体" w:cs="Times New Roman"/>
          <w:color w:val="auto"/>
          <w:kern w:val="0"/>
          <w:sz w:val="24"/>
          <w:szCs w:val="24"/>
          <w:u w:val="single" w:color="auto"/>
        </w:rPr>
        <w:t>项目运输过程会产生车辆废气CO、NO</w:t>
      </w:r>
      <w:r>
        <w:rPr>
          <w:rFonts w:ascii="Times New Roman" w:hAnsi="Times New Roman" w:eastAsia="宋体" w:cs="Times New Roman"/>
          <w:color w:val="auto"/>
          <w:kern w:val="0"/>
          <w:sz w:val="24"/>
          <w:szCs w:val="24"/>
          <w:u w:val="single" w:color="auto"/>
          <w:vertAlign w:val="subscript"/>
        </w:rPr>
        <w:t>X</w:t>
      </w:r>
      <w:r>
        <w:rPr>
          <w:rFonts w:ascii="Times New Roman" w:hAnsi="Times New Roman" w:eastAsia="宋体" w:cs="Times New Roman"/>
          <w:color w:val="auto"/>
          <w:kern w:val="0"/>
          <w:sz w:val="24"/>
          <w:szCs w:val="24"/>
          <w:u w:val="single" w:color="auto"/>
        </w:rPr>
        <w:t>，目前车辆废气排放按照国六标准执行，项目原辅材料货车运输时以桶、</w:t>
      </w:r>
      <w:r>
        <w:rPr>
          <w:rFonts w:hint="eastAsia" w:ascii="Times New Roman" w:hAnsi="Times New Roman" w:eastAsia="宋体" w:cs="Times New Roman"/>
          <w:color w:val="auto"/>
          <w:kern w:val="0"/>
          <w:sz w:val="24"/>
          <w:szCs w:val="24"/>
          <w:u w:val="single" w:color="auto"/>
        </w:rPr>
        <w:t>钢瓶、编织袋等</w:t>
      </w:r>
      <w:r>
        <w:rPr>
          <w:rFonts w:ascii="Times New Roman" w:hAnsi="Times New Roman" w:eastAsia="宋体" w:cs="Times New Roman"/>
          <w:color w:val="auto"/>
          <w:kern w:val="0"/>
          <w:sz w:val="24"/>
          <w:szCs w:val="24"/>
          <w:u w:val="single" w:color="auto"/>
        </w:rPr>
        <w:t>包装，故运输过程中产生的废气主要为运输车辆燃烧0#柴油产生的废气，主要污染因子为一氧化碳、氮氧化物。项目运输车辆均为大型车，项目主要服务于本地并兼顾周边地区，项目运营期间车辆产生废气在运输过程易扩散，影响较小。</w:t>
      </w:r>
    </w:p>
    <w:p w14:paraId="4668F8B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single" w:color="auto"/>
        </w:rPr>
      </w:pPr>
      <w:r>
        <w:rPr>
          <w:rFonts w:hint="eastAsia" w:ascii="Times New Roman" w:hAnsi="Times New Roman" w:eastAsia="宋体" w:cs="Times New Roman"/>
          <w:b/>
          <w:color w:val="auto"/>
          <w:kern w:val="0"/>
          <w:sz w:val="28"/>
          <w:szCs w:val="20"/>
          <w:u w:val="single" w:color="auto"/>
        </w:rPr>
        <w:t>4.2</w:t>
      </w:r>
      <w:r>
        <w:rPr>
          <w:rFonts w:ascii="Times New Roman" w:hAnsi="Times New Roman" w:eastAsia="宋体" w:cs="Times New Roman"/>
          <w:b/>
          <w:color w:val="auto"/>
          <w:kern w:val="0"/>
          <w:sz w:val="28"/>
          <w:szCs w:val="20"/>
          <w:u w:val="single" w:color="auto"/>
        </w:rPr>
        <w:t>.5大气防护距离</w:t>
      </w:r>
    </w:p>
    <w:p w14:paraId="03F1F9E2">
      <w:pPr>
        <w:pStyle w:val="133"/>
        <w:tabs>
          <w:tab w:val="left" w:pos="0"/>
        </w:tabs>
        <w:spacing w:line="360" w:lineRule="auto"/>
        <w:rPr>
          <w:rFonts w:eastAsia="宋体" w:cs="Times New Roman"/>
          <w:snapToGrid/>
          <w:color w:val="auto"/>
          <w:kern w:val="0"/>
          <w:u w:val="single" w:color="auto"/>
        </w:rPr>
      </w:pPr>
      <w:r>
        <w:rPr>
          <w:rFonts w:eastAsia="宋体" w:cs="Times New Roman"/>
          <w:snapToGrid/>
          <w:color w:val="auto"/>
          <w:kern w:val="0"/>
          <w:u w:val="single" w:color="auto"/>
        </w:rPr>
        <w:t>本项目利用《环境影响评价技术导则》（HJ 2.2-2018）推荐的AERMOD模式系统对项目建成后所有源强（包括点源、面源），本次大气防护距离评价以项目</w:t>
      </w:r>
      <w:r>
        <w:rPr>
          <w:rFonts w:hint="eastAsia" w:eastAsia="宋体" w:cs="Times New Roman"/>
          <w:snapToGrid/>
          <w:color w:val="auto"/>
          <w:kern w:val="0"/>
          <w:u w:val="single" w:color="auto"/>
        </w:rPr>
        <w:t>建设</w:t>
      </w:r>
      <w:r>
        <w:rPr>
          <w:rFonts w:eastAsia="宋体" w:cs="Times New Roman"/>
          <w:snapToGrid/>
          <w:color w:val="auto"/>
          <w:kern w:val="0"/>
          <w:u w:val="single" w:color="auto"/>
        </w:rPr>
        <w:t>后情景（包含所有源强）进行预测，计算网格间距为50米，预测结果详见上述大气预测内容，根据预测结果，正常排放情况下，各污染物区域最大落地浓度未超过质量短期浓度标准值，因此项目无需设置大气环境防护距离。</w:t>
      </w:r>
    </w:p>
    <w:p w14:paraId="00677927">
      <w:pPr>
        <w:tabs>
          <w:tab w:val="left" w:pos="1288"/>
        </w:tabs>
        <w:autoSpaceDE w:val="0"/>
        <w:autoSpaceDN w:val="0"/>
        <w:adjustRightInd w:val="0"/>
        <w:spacing w:line="360" w:lineRule="auto"/>
        <w:jc w:val="left"/>
        <w:textAlignment w:val="baseline"/>
        <w:outlineLvl w:val="2"/>
        <w:rPr>
          <w:rFonts w:hint="eastAsia" w:ascii="Times New Roman" w:hAnsi="Times New Roman" w:eastAsia="宋体" w:cs="Times New Roman"/>
          <w:b/>
          <w:color w:val="auto"/>
          <w:kern w:val="0"/>
          <w:sz w:val="28"/>
          <w:szCs w:val="20"/>
          <w:u w:val="single" w:color="auto"/>
        </w:rPr>
      </w:pPr>
      <w:r>
        <w:rPr>
          <w:rFonts w:hint="eastAsia" w:ascii="Times New Roman" w:hAnsi="Times New Roman" w:eastAsia="宋体" w:cs="Times New Roman"/>
          <w:b/>
          <w:color w:val="auto"/>
          <w:kern w:val="0"/>
          <w:sz w:val="28"/>
          <w:szCs w:val="20"/>
          <w:u w:val="single" w:color="auto"/>
          <w:lang w:val="en-US" w:eastAsia="zh-CN"/>
        </w:rPr>
        <w:t>4.2.6</w:t>
      </w:r>
      <w:r>
        <w:rPr>
          <w:rFonts w:hint="eastAsia" w:ascii="Times New Roman" w:hAnsi="Times New Roman" w:eastAsia="宋体" w:cs="Times New Roman"/>
          <w:b/>
          <w:color w:val="auto"/>
          <w:kern w:val="0"/>
          <w:sz w:val="28"/>
          <w:szCs w:val="20"/>
          <w:u w:val="single" w:color="auto"/>
        </w:rPr>
        <w:t>排气筒高度的合理性分析</w:t>
      </w:r>
    </w:p>
    <w:p w14:paraId="71B43A4B">
      <w:pPr>
        <w:keepNext w:val="0"/>
        <w:keepLines w:val="0"/>
        <w:pageBreakBefore w:val="0"/>
        <w:widowControl w:val="0"/>
        <w:numPr>
          <w:ilvl w:val="0"/>
          <w:numId w:val="14"/>
        </w:numPr>
        <w:tabs>
          <w:tab w:val="left" w:pos="1288"/>
        </w:tabs>
        <w:kinsoku/>
        <w:wordWrap/>
        <w:overflowPunct/>
        <w:topLinePunct w:val="0"/>
        <w:autoSpaceDE w:val="0"/>
        <w:autoSpaceDN w:val="0"/>
        <w:bidi w:val="0"/>
        <w:adjustRightInd w:val="0"/>
        <w:snapToGrid/>
        <w:spacing w:line="360" w:lineRule="auto"/>
        <w:ind w:firstLine="480" w:firstLineChars="200"/>
        <w:jc w:val="left"/>
        <w:textAlignment w:val="baseline"/>
        <w:outlineLvl w:val="9"/>
        <w:rPr>
          <w:rFonts w:ascii="Times New Roman" w:hAnsi="宋体" w:eastAsia="宋体" w:cs="Times New Roman"/>
          <w:color w:val="auto"/>
          <w:kern w:val="0"/>
          <w:sz w:val="24"/>
          <w:szCs w:val="24"/>
          <w:u w:val="single" w:color="auto"/>
        </w:rPr>
      </w:pPr>
      <w:r>
        <w:rPr>
          <w:rFonts w:ascii="Times New Roman" w:hAnsi="宋体" w:eastAsia="宋体" w:cs="Times New Roman"/>
          <w:color w:val="auto"/>
          <w:kern w:val="0"/>
          <w:sz w:val="24"/>
          <w:szCs w:val="24"/>
          <w:u w:val="single" w:color="auto"/>
        </w:rPr>
        <w:t>烟囱高度对污染物的扩散影响</w:t>
      </w:r>
      <w:r>
        <w:rPr>
          <w:rFonts w:hint="eastAsia" w:ascii="Times New Roman" w:hAnsi="宋体" w:eastAsia="宋体" w:cs="Times New Roman"/>
          <w:color w:val="auto"/>
          <w:kern w:val="0"/>
          <w:sz w:val="24"/>
          <w:szCs w:val="24"/>
          <w:u w:val="single" w:color="auto"/>
        </w:rPr>
        <w:t>：</w:t>
      </w:r>
      <w:r>
        <w:rPr>
          <w:rFonts w:ascii="Times New Roman" w:hAnsi="宋体" w:eastAsia="宋体" w:cs="Times New Roman"/>
          <w:color w:val="auto"/>
          <w:kern w:val="0"/>
          <w:sz w:val="24"/>
          <w:szCs w:val="24"/>
          <w:u w:val="single" w:color="auto"/>
        </w:rPr>
        <w:t>本项目设置</w:t>
      </w:r>
      <w:r>
        <w:rPr>
          <w:rFonts w:hint="eastAsia" w:ascii="Times New Roman" w:hAnsi="Times New Roman" w:eastAsia="宋体" w:cs="Times New Roman"/>
          <w:color w:val="auto"/>
          <w:kern w:val="0"/>
          <w:sz w:val="24"/>
          <w:szCs w:val="24"/>
          <w:u w:val="single" w:color="auto"/>
          <w:lang w:eastAsia="zh-CN"/>
        </w:rPr>
        <w:t>30m</w:t>
      </w:r>
      <w:r>
        <w:rPr>
          <w:rFonts w:ascii="Times New Roman" w:hAnsi="宋体" w:eastAsia="宋体" w:cs="Times New Roman"/>
          <w:color w:val="auto"/>
          <w:kern w:val="0"/>
          <w:sz w:val="24"/>
          <w:szCs w:val="24"/>
          <w:u w:val="single" w:color="auto"/>
        </w:rPr>
        <w:t>的烟囱，本项目烟囱高度高于周围</w:t>
      </w:r>
      <w:r>
        <w:rPr>
          <w:rFonts w:hint="eastAsia" w:ascii="Times New Roman" w:hAnsi="宋体" w:eastAsia="宋体" w:cs="Times New Roman"/>
          <w:color w:val="auto"/>
          <w:kern w:val="0"/>
          <w:sz w:val="24"/>
          <w:szCs w:val="24"/>
          <w:u w:val="single" w:color="auto"/>
        </w:rPr>
        <w:t>2</w:t>
      </w:r>
      <w:r>
        <w:rPr>
          <w:rFonts w:ascii="Times New Roman" w:hAnsi="宋体" w:eastAsia="宋体" w:cs="Times New Roman"/>
          <w:color w:val="auto"/>
          <w:kern w:val="0"/>
          <w:sz w:val="24"/>
          <w:szCs w:val="24"/>
          <w:u w:val="single" w:color="auto"/>
        </w:rPr>
        <w:t>00</w:t>
      </w:r>
      <w:r>
        <w:rPr>
          <w:rFonts w:hint="eastAsia" w:ascii="Times New Roman" w:hAnsi="宋体" w:eastAsia="宋体" w:cs="Times New Roman"/>
          <w:color w:val="auto"/>
          <w:kern w:val="0"/>
          <w:sz w:val="24"/>
          <w:szCs w:val="24"/>
          <w:u w:val="single" w:color="auto"/>
        </w:rPr>
        <w:t>m</w:t>
      </w:r>
      <w:r>
        <w:rPr>
          <w:rFonts w:ascii="Times New Roman" w:hAnsi="宋体" w:eastAsia="宋体" w:cs="Times New Roman"/>
          <w:color w:val="auto"/>
          <w:kern w:val="0"/>
          <w:sz w:val="24"/>
          <w:szCs w:val="24"/>
          <w:u w:val="single" w:color="auto"/>
        </w:rPr>
        <w:t>建筑物</w:t>
      </w:r>
      <w:r>
        <w:rPr>
          <w:rFonts w:ascii="Times New Roman" w:hAnsi="Times New Roman" w:eastAsia="宋体" w:cs="Times New Roman"/>
          <w:color w:val="auto"/>
          <w:kern w:val="0"/>
          <w:sz w:val="24"/>
          <w:szCs w:val="24"/>
          <w:u w:val="single" w:color="auto"/>
        </w:rPr>
        <w:t>5m</w:t>
      </w:r>
      <w:r>
        <w:rPr>
          <w:rFonts w:ascii="Times New Roman" w:hAnsi="宋体" w:eastAsia="宋体" w:cs="Times New Roman"/>
          <w:color w:val="auto"/>
          <w:kern w:val="0"/>
          <w:sz w:val="24"/>
          <w:szCs w:val="24"/>
          <w:u w:val="single" w:color="auto"/>
        </w:rPr>
        <w:t>以上</w:t>
      </w:r>
      <w:r>
        <w:rPr>
          <w:rFonts w:hint="eastAsia" w:ascii="Times New Roman" w:hAnsi="宋体" w:eastAsia="宋体" w:cs="Times New Roman"/>
          <w:color w:val="auto"/>
          <w:kern w:val="0"/>
          <w:sz w:val="24"/>
          <w:szCs w:val="24"/>
          <w:u w:val="single" w:color="auto"/>
        </w:rPr>
        <w:t>，有利于污染物的扩散。</w:t>
      </w:r>
      <w:r>
        <w:rPr>
          <w:rFonts w:ascii="Times New Roman" w:hAnsi="宋体" w:eastAsia="宋体" w:cs="Times New Roman"/>
          <w:color w:val="auto"/>
          <w:kern w:val="0"/>
          <w:sz w:val="24"/>
          <w:szCs w:val="24"/>
          <w:u w:val="single" w:color="auto"/>
        </w:rPr>
        <w:t>在污染物排放标准达标的条件下，前文预测结果表明污染物的最大落地浓度及对各敏感点的浓度预测值较小，各指标皆能够满足项目所在区域环境空气质量标准的要求。</w:t>
      </w:r>
    </w:p>
    <w:p w14:paraId="19879B29">
      <w:pPr>
        <w:keepNext w:val="0"/>
        <w:keepLines w:val="0"/>
        <w:pageBreakBefore w:val="0"/>
        <w:widowControl w:val="0"/>
        <w:numPr>
          <w:ilvl w:val="0"/>
          <w:numId w:val="14"/>
        </w:numPr>
        <w:tabs>
          <w:tab w:val="left" w:pos="1288"/>
        </w:tabs>
        <w:kinsoku/>
        <w:wordWrap/>
        <w:overflowPunct/>
        <w:topLinePunct w:val="0"/>
        <w:autoSpaceDE w:val="0"/>
        <w:autoSpaceDN w:val="0"/>
        <w:bidi w:val="0"/>
        <w:adjustRightInd w:val="0"/>
        <w:snapToGrid/>
        <w:spacing w:line="360" w:lineRule="auto"/>
        <w:ind w:firstLine="480" w:firstLineChars="200"/>
        <w:jc w:val="left"/>
        <w:textAlignment w:val="baseline"/>
        <w:outlineLvl w:val="9"/>
        <w:rPr>
          <w:rFonts w:ascii="Times New Roman" w:hAnsi="Times New Roman" w:eastAsia="宋体" w:cs="Times New Roman"/>
          <w:color w:val="auto"/>
          <w:kern w:val="0"/>
          <w:sz w:val="24"/>
          <w:szCs w:val="24"/>
          <w:u w:val="single" w:color="auto"/>
        </w:rPr>
      </w:pPr>
      <w:r>
        <w:rPr>
          <w:rFonts w:ascii="Times New Roman" w:hAnsi="宋体" w:eastAsia="宋体" w:cs="Times New Roman"/>
          <w:color w:val="auto"/>
          <w:kern w:val="0"/>
          <w:sz w:val="24"/>
          <w:szCs w:val="24"/>
          <w:u w:val="single" w:color="auto"/>
        </w:rPr>
        <w:t>与《制定地方大气污染物排放标准的技术方法》（</w:t>
      </w:r>
      <w:r>
        <w:rPr>
          <w:rFonts w:ascii="Times New Roman" w:hAnsi="Times New Roman" w:eastAsia="宋体" w:cs="Times New Roman"/>
          <w:color w:val="auto"/>
          <w:kern w:val="0"/>
          <w:sz w:val="24"/>
          <w:szCs w:val="24"/>
          <w:u w:val="single" w:color="auto"/>
        </w:rPr>
        <w:t>GB/T13201-91</w:t>
      </w:r>
      <w:r>
        <w:rPr>
          <w:rFonts w:ascii="Times New Roman" w:hAnsi="宋体" w:eastAsia="宋体" w:cs="Times New Roman"/>
          <w:color w:val="auto"/>
          <w:kern w:val="0"/>
          <w:sz w:val="24"/>
          <w:szCs w:val="24"/>
          <w:u w:val="single" w:color="auto"/>
        </w:rPr>
        <w:t>）的相符性分析根据《制定地方大气污染物排放标准的技术方法》（</w:t>
      </w:r>
      <w:r>
        <w:rPr>
          <w:rFonts w:ascii="Times New Roman" w:hAnsi="Times New Roman" w:eastAsia="宋体" w:cs="Times New Roman"/>
          <w:color w:val="auto"/>
          <w:kern w:val="0"/>
          <w:sz w:val="24"/>
          <w:szCs w:val="24"/>
          <w:u w:val="single" w:color="auto"/>
        </w:rPr>
        <w:t>GB/T13201-91</w:t>
      </w:r>
      <w:r>
        <w:rPr>
          <w:rFonts w:ascii="Times New Roman" w:hAnsi="宋体" w:eastAsia="宋体" w:cs="Times New Roman"/>
          <w:color w:val="auto"/>
          <w:kern w:val="0"/>
          <w:sz w:val="24"/>
          <w:szCs w:val="24"/>
          <w:u w:val="single" w:color="auto"/>
        </w:rPr>
        <w:t>）中规定，新建工程排气筒出口烟气速度</w:t>
      </w:r>
      <w:r>
        <w:rPr>
          <w:rFonts w:ascii="Times New Roman" w:hAnsi="Times New Roman" w:eastAsia="宋体" w:cs="Times New Roman"/>
          <w:color w:val="auto"/>
          <w:kern w:val="0"/>
          <w:sz w:val="24"/>
          <w:szCs w:val="24"/>
          <w:u w:val="single" w:color="auto"/>
        </w:rPr>
        <w:t>V</w:t>
      </w:r>
      <w:r>
        <w:rPr>
          <w:rFonts w:ascii="Times New Roman" w:hAnsi="Times New Roman" w:eastAsia="宋体" w:cs="Times New Roman"/>
          <w:color w:val="auto"/>
          <w:kern w:val="0"/>
          <w:sz w:val="24"/>
          <w:szCs w:val="24"/>
          <w:u w:val="single" w:color="auto"/>
          <w:vertAlign w:val="subscript"/>
        </w:rPr>
        <w:t>S</w:t>
      </w:r>
      <w:r>
        <w:rPr>
          <w:rFonts w:ascii="Times New Roman" w:hAnsi="宋体" w:eastAsia="宋体" w:cs="Times New Roman"/>
          <w:color w:val="auto"/>
          <w:kern w:val="0"/>
          <w:sz w:val="24"/>
          <w:szCs w:val="24"/>
          <w:u w:val="single" w:color="auto"/>
        </w:rPr>
        <w:t>不得小于风速</w:t>
      </w:r>
      <w:r>
        <w:rPr>
          <w:rFonts w:ascii="Times New Roman" w:hAnsi="Times New Roman" w:eastAsia="宋体" w:cs="Times New Roman"/>
          <w:color w:val="auto"/>
          <w:kern w:val="0"/>
          <w:sz w:val="24"/>
          <w:szCs w:val="24"/>
          <w:u w:val="single" w:color="auto"/>
        </w:rPr>
        <w:t>V</w:t>
      </w:r>
      <w:r>
        <w:rPr>
          <w:rFonts w:ascii="Times New Roman" w:hAnsi="Times New Roman" w:eastAsia="宋体" w:cs="Times New Roman"/>
          <w:color w:val="auto"/>
          <w:kern w:val="0"/>
          <w:sz w:val="24"/>
          <w:szCs w:val="24"/>
          <w:u w:val="single" w:color="auto"/>
          <w:vertAlign w:val="subscript"/>
        </w:rPr>
        <w:t>C</w:t>
      </w:r>
      <w:r>
        <w:rPr>
          <w:rFonts w:ascii="Times New Roman" w:hAnsi="宋体" w:eastAsia="宋体" w:cs="Times New Roman"/>
          <w:color w:val="auto"/>
          <w:kern w:val="0"/>
          <w:sz w:val="24"/>
          <w:szCs w:val="24"/>
          <w:u w:val="single" w:color="auto"/>
        </w:rPr>
        <w:t>的</w:t>
      </w:r>
      <w:r>
        <w:rPr>
          <w:rFonts w:ascii="Times New Roman" w:hAnsi="Times New Roman" w:eastAsia="宋体" w:cs="Times New Roman"/>
          <w:color w:val="auto"/>
          <w:kern w:val="0"/>
          <w:sz w:val="24"/>
          <w:szCs w:val="24"/>
          <w:u w:val="single" w:color="auto"/>
        </w:rPr>
        <w:t>1.5</w:t>
      </w:r>
      <w:r>
        <w:rPr>
          <w:rFonts w:ascii="Times New Roman" w:hAnsi="宋体" w:eastAsia="宋体" w:cs="Times New Roman"/>
          <w:color w:val="auto"/>
          <w:kern w:val="0"/>
          <w:sz w:val="24"/>
          <w:szCs w:val="24"/>
          <w:u w:val="single" w:color="auto"/>
        </w:rPr>
        <w:t>倍。</w:t>
      </w:r>
      <w:r>
        <w:rPr>
          <w:rFonts w:ascii="Times New Roman" w:hAnsi="Times New Roman" w:eastAsia="宋体" w:cs="Times New Roman"/>
          <w:color w:val="auto"/>
          <w:kern w:val="0"/>
          <w:sz w:val="24"/>
          <w:szCs w:val="24"/>
          <w:u w:val="single" w:color="auto"/>
        </w:rPr>
        <w:drawing>
          <wp:inline distT="0" distB="0" distL="0" distR="0">
            <wp:extent cx="1838325" cy="492125"/>
            <wp:effectExtent l="0" t="0" r="0" b="0"/>
            <wp:docPr id="29" name="图片 32" descr="D:\Documents\Tencent Files\13391554\Image\C2C\252@E6N7NOJ3LNRFK6MJ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2" descr="D:\Documents\Tencent Files\13391554\Image\C2C\252@E6N7NOJ3LNRFK6MJR@K.png"/>
                    <pic:cNvPicPr>
                      <a:picLocks noChangeAspect="1" noChangeArrowheads="1"/>
                    </pic:cNvPicPr>
                  </pic:nvPicPr>
                  <pic:blipFill>
                    <a:blip r:embed="rId61"/>
                    <a:srcRect/>
                    <a:stretch>
                      <a:fillRect/>
                    </a:stretch>
                  </pic:blipFill>
                  <pic:spPr>
                    <a:xfrm>
                      <a:off x="0" y="0"/>
                      <a:ext cx="1838325" cy="492566"/>
                    </a:xfrm>
                    <a:prstGeom prst="rect">
                      <a:avLst/>
                    </a:prstGeom>
                    <a:noFill/>
                    <a:ln w="9525">
                      <a:noFill/>
                      <a:miter lim="800000"/>
                      <a:headEnd/>
                      <a:tailEnd/>
                    </a:ln>
                  </pic:spPr>
                </pic:pic>
              </a:graphicData>
            </a:graphic>
          </wp:inline>
        </w:drawing>
      </w:r>
      <w:r>
        <w:rPr>
          <w:rFonts w:ascii="Times New Roman" w:hAnsi="Times New Roman" w:eastAsia="宋体" w:cs="Times New Roman"/>
          <w:color w:val="auto"/>
          <w:kern w:val="0"/>
          <w:sz w:val="24"/>
          <w:szCs w:val="24"/>
          <w:u w:val="single" w:color="auto"/>
        </w:rPr>
        <w:t> </w:t>
      </w:r>
      <w:r>
        <w:rPr>
          <w:rFonts w:ascii="Times New Roman" w:hAnsi="Times New Roman" w:eastAsia="宋体" w:cs="Times New Roman"/>
          <w:color w:val="auto"/>
          <w:kern w:val="0"/>
          <w:sz w:val="24"/>
          <w:szCs w:val="24"/>
          <w:u w:val="single" w:color="auto"/>
        </w:rPr>
        <w:drawing>
          <wp:inline distT="0" distB="0" distL="0" distR="0">
            <wp:extent cx="1171575" cy="200025"/>
            <wp:effectExtent l="0" t="0" r="0" b="0"/>
            <wp:docPr id="30" name="图片 33" descr="D:\Documents\Tencent Files\13391554\Image\C2C\P$I](S(Y{$MP_73EF21J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3" descr="D:\Documents\Tencent Files\13391554\Image\C2C\P$I](S(Y{$MP_73EF21J917.png"/>
                    <pic:cNvPicPr>
                      <a:picLocks noChangeAspect="1" noChangeArrowheads="1"/>
                    </pic:cNvPicPr>
                  </pic:nvPicPr>
                  <pic:blipFill>
                    <a:blip r:embed="rId62"/>
                    <a:srcRect/>
                    <a:stretch>
                      <a:fillRect/>
                    </a:stretch>
                  </pic:blipFill>
                  <pic:spPr>
                    <a:xfrm>
                      <a:off x="0" y="0"/>
                      <a:ext cx="1171575" cy="200025"/>
                    </a:xfrm>
                    <a:prstGeom prst="rect">
                      <a:avLst/>
                    </a:prstGeom>
                    <a:noFill/>
                    <a:ln w="9525">
                      <a:noFill/>
                      <a:miter lim="800000"/>
                      <a:headEnd/>
                      <a:tailEnd/>
                    </a:ln>
                  </pic:spPr>
                </pic:pic>
              </a:graphicData>
            </a:graphic>
          </wp:inline>
        </w:drawing>
      </w:r>
      <w:r>
        <w:rPr>
          <w:rFonts w:ascii="Times New Roman" w:hAnsi="Times New Roman" w:eastAsia="宋体" w:cs="Times New Roman"/>
          <w:color w:val="auto"/>
          <w:kern w:val="0"/>
          <w:sz w:val="24"/>
          <w:szCs w:val="24"/>
          <w:u w:val="single" w:color="auto"/>
        </w:rPr>
        <w:t> </w:t>
      </w:r>
      <w:r>
        <w:rPr>
          <w:rFonts w:ascii="Times New Roman" w:hAnsi="宋体" w:eastAsia="宋体" w:cs="Times New Roman"/>
          <w:color w:val="auto"/>
          <w:kern w:val="0"/>
          <w:sz w:val="24"/>
          <w:szCs w:val="24"/>
          <w:u w:val="single" w:color="auto"/>
        </w:rPr>
        <w:t>式中：</w:t>
      </w:r>
      <w:r>
        <w:rPr>
          <w:rFonts w:ascii="Times New Roman" w:hAnsi="Times New Roman" w:eastAsia="宋体" w:cs="Times New Roman"/>
          <w:color w:val="auto"/>
          <w:kern w:val="0"/>
          <w:sz w:val="24"/>
          <w:szCs w:val="24"/>
          <w:u w:val="single" w:color="auto"/>
        </w:rPr>
        <w:t>V</w:t>
      </w:r>
      <w:r>
        <w:rPr>
          <w:rFonts w:ascii="Times New Roman" w:hAnsi="宋体" w:eastAsia="宋体" w:cs="Times New Roman"/>
          <w:color w:val="auto"/>
          <w:kern w:val="0"/>
          <w:sz w:val="24"/>
          <w:szCs w:val="24"/>
          <w:u w:val="single" w:color="auto"/>
        </w:rPr>
        <w:t>：排气筒出口高度处环境风速的多年平均值（</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w:t>
      </w:r>
      <w:r>
        <w:rPr>
          <w:rFonts w:ascii="Times New Roman" w:hAnsi="Times New Roman" w:eastAsia="宋体" w:cs="Times New Roman"/>
          <w:color w:val="auto"/>
          <w:kern w:val="0"/>
          <w:sz w:val="24"/>
          <w:szCs w:val="24"/>
          <w:u w:val="single" w:color="auto"/>
        </w:rPr>
        <w:t>k</w:t>
      </w:r>
      <w:r>
        <w:rPr>
          <w:rFonts w:ascii="Times New Roman" w:hAnsi="宋体" w:eastAsia="宋体" w:cs="Times New Roman"/>
          <w:color w:val="auto"/>
          <w:kern w:val="0"/>
          <w:sz w:val="24"/>
          <w:szCs w:val="24"/>
          <w:u w:val="single" w:color="auto"/>
        </w:rPr>
        <w:t>：韦伯斜度。本项目烟囱高度为</w:t>
      </w:r>
      <w:r>
        <w:rPr>
          <w:rFonts w:hint="eastAsia" w:ascii="Times New Roman" w:hAnsi="Times New Roman" w:eastAsia="宋体" w:cs="Times New Roman"/>
          <w:color w:val="auto"/>
          <w:kern w:val="0"/>
          <w:sz w:val="24"/>
          <w:szCs w:val="24"/>
          <w:u w:val="single" w:color="auto"/>
          <w:lang w:eastAsia="zh-CN"/>
        </w:rPr>
        <w:t>30m</w:t>
      </w:r>
      <w:r>
        <w:rPr>
          <w:rFonts w:ascii="Times New Roman" w:hAnsi="宋体" w:eastAsia="宋体" w:cs="Times New Roman"/>
          <w:color w:val="auto"/>
          <w:kern w:val="0"/>
          <w:sz w:val="24"/>
          <w:szCs w:val="24"/>
          <w:u w:val="single" w:color="auto"/>
        </w:rPr>
        <w:t>，出口内径为</w:t>
      </w:r>
      <w:r>
        <w:rPr>
          <w:rFonts w:hint="eastAsia" w:ascii="Times New Roman" w:hAnsi="Times New Roman" w:eastAsia="宋体" w:cs="Times New Roman"/>
          <w:color w:val="auto"/>
          <w:kern w:val="0"/>
          <w:sz w:val="24"/>
          <w:szCs w:val="24"/>
          <w:u w:val="single" w:color="auto"/>
          <w:lang w:val="en-US" w:eastAsia="zh-CN"/>
        </w:rPr>
        <w:t>1.3</w:t>
      </w:r>
      <w:r>
        <w:rPr>
          <w:rFonts w:ascii="Times New Roman" w:hAnsi="Times New Roman" w:eastAsia="宋体" w:cs="Times New Roman"/>
          <w:color w:val="auto"/>
          <w:kern w:val="0"/>
          <w:sz w:val="24"/>
          <w:szCs w:val="24"/>
          <w:u w:val="single" w:color="auto"/>
        </w:rPr>
        <w:t>m</w:t>
      </w:r>
      <w:r>
        <w:rPr>
          <w:rFonts w:ascii="Times New Roman" w:hAnsi="宋体" w:eastAsia="宋体" w:cs="Times New Roman"/>
          <w:color w:val="auto"/>
          <w:kern w:val="0"/>
          <w:sz w:val="24"/>
          <w:szCs w:val="24"/>
          <w:u w:val="single" w:color="auto"/>
        </w:rPr>
        <w:t>，烟气出口速度为</w:t>
      </w:r>
      <w:r>
        <w:rPr>
          <w:rFonts w:hint="eastAsia" w:ascii="Times New Roman" w:hAnsi="Times New Roman" w:eastAsia="宋体" w:cs="Times New Roman"/>
          <w:color w:val="auto"/>
          <w:kern w:val="0"/>
          <w:sz w:val="24"/>
          <w:szCs w:val="24"/>
          <w:u w:val="single" w:color="auto"/>
          <w:lang w:val="en-US" w:eastAsia="zh-CN"/>
        </w:rPr>
        <w:t>15.1</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。另一方面，项目所在地</w:t>
      </w:r>
      <w:r>
        <w:rPr>
          <w:rFonts w:ascii="Times New Roman" w:hAnsi="Times New Roman" w:eastAsia="宋体" w:cs="Times New Roman"/>
          <w:color w:val="auto"/>
          <w:kern w:val="0"/>
          <w:sz w:val="24"/>
          <w:szCs w:val="24"/>
          <w:u w:val="single" w:color="auto"/>
        </w:rPr>
        <w:t>15m</w:t>
      </w:r>
      <w:r>
        <w:rPr>
          <w:rFonts w:ascii="Times New Roman" w:hAnsi="宋体" w:eastAsia="宋体" w:cs="Times New Roman"/>
          <w:color w:val="auto"/>
          <w:kern w:val="0"/>
          <w:sz w:val="24"/>
          <w:szCs w:val="24"/>
          <w:u w:val="single" w:color="auto"/>
        </w:rPr>
        <w:t>近</w:t>
      </w:r>
      <w:r>
        <w:rPr>
          <w:rFonts w:ascii="Times New Roman" w:hAnsi="Times New Roman" w:eastAsia="宋体" w:cs="Times New Roman"/>
          <w:color w:val="auto"/>
          <w:kern w:val="0"/>
          <w:sz w:val="24"/>
          <w:szCs w:val="24"/>
          <w:u w:val="single" w:color="auto"/>
        </w:rPr>
        <w:t>5</w:t>
      </w:r>
      <w:r>
        <w:rPr>
          <w:rFonts w:ascii="Times New Roman" w:hAnsi="宋体" w:eastAsia="宋体" w:cs="Times New Roman"/>
          <w:color w:val="auto"/>
          <w:kern w:val="0"/>
          <w:sz w:val="24"/>
          <w:szCs w:val="24"/>
          <w:u w:val="single" w:color="auto"/>
        </w:rPr>
        <w:t>年平均风速为</w:t>
      </w:r>
      <w:r>
        <w:rPr>
          <w:rFonts w:hint="eastAsia" w:ascii="Times New Roman" w:hAnsi="Times New Roman" w:eastAsia="宋体" w:cs="Times New Roman"/>
          <w:color w:val="auto"/>
          <w:kern w:val="0"/>
          <w:sz w:val="24"/>
          <w:szCs w:val="24"/>
          <w:u w:val="single" w:color="auto"/>
        </w:rPr>
        <w:t>2.98</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，根据上述公式计算，</w:t>
      </w:r>
      <w:r>
        <w:rPr>
          <w:rFonts w:ascii="Times New Roman" w:hAnsi="Times New Roman" w:eastAsia="宋体" w:cs="Times New Roman"/>
          <w:color w:val="auto"/>
          <w:kern w:val="0"/>
          <w:sz w:val="24"/>
          <w:szCs w:val="24"/>
          <w:u w:val="single" w:color="auto"/>
        </w:rPr>
        <w:t>1.5</w:t>
      </w:r>
      <w:r>
        <w:rPr>
          <w:rFonts w:ascii="Times New Roman" w:hAnsi="宋体" w:eastAsia="宋体" w:cs="Times New Roman"/>
          <w:color w:val="auto"/>
          <w:kern w:val="0"/>
          <w:sz w:val="24"/>
          <w:szCs w:val="24"/>
          <w:u w:val="single" w:color="auto"/>
        </w:rPr>
        <w:t>倍的</w:t>
      </w:r>
      <w:r>
        <w:rPr>
          <w:rFonts w:ascii="Times New Roman" w:hAnsi="Times New Roman" w:eastAsia="宋体" w:cs="Times New Roman"/>
          <w:color w:val="auto"/>
          <w:kern w:val="0"/>
          <w:sz w:val="24"/>
          <w:szCs w:val="24"/>
          <w:u w:val="single" w:color="auto"/>
        </w:rPr>
        <w:t>V</w:t>
      </w:r>
      <w:r>
        <w:rPr>
          <w:rFonts w:ascii="Times New Roman" w:hAnsi="Times New Roman" w:eastAsia="宋体" w:cs="Times New Roman"/>
          <w:color w:val="auto"/>
          <w:kern w:val="0"/>
          <w:sz w:val="24"/>
          <w:szCs w:val="24"/>
          <w:u w:val="single" w:color="auto"/>
          <w:vertAlign w:val="subscript"/>
        </w:rPr>
        <w:t>C</w:t>
      </w:r>
      <w:r>
        <w:rPr>
          <w:rFonts w:ascii="Times New Roman" w:hAnsi="宋体" w:eastAsia="宋体" w:cs="Times New Roman"/>
          <w:color w:val="auto"/>
          <w:kern w:val="0"/>
          <w:sz w:val="24"/>
          <w:szCs w:val="24"/>
          <w:u w:val="single" w:color="auto"/>
        </w:rPr>
        <w:t>为</w:t>
      </w:r>
      <w:r>
        <w:rPr>
          <w:rFonts w:hint="eastAsia" w:ascii="Times New Roman" w:hAnsi="Times New Roman" w:eastAsia="宋体" w:cs="Times New Roman"/>
          <w:color w:val="auto"/>
          <w:kern w:val="0"/>
          <w:sz w:val="24"/>
          <w:szCs w:val="24"/>
          <w:u w:val="single" w:color="auto"/>
        </w:rPr>
        <w:t>4.47</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，而</w:t>
      </w:r>
      <w:r>
        <w:rPr>
          <w:rFonts w:ascii="Times New Roman" w:hAnsi="Times New Roman" w:eastAsia="宋体" w:cs="Times New Roman"/>
          <w:color w:val="auto"/>
          <w:kern w:val="0"/>
          <w:sz w:val="24"/>
          <w:szCs w:val="24"/>
          <w:u w:val="single" w:color="auto"/>
        </w:rPr>
        <w:t>Vs</w:t>
      </w:r>
      <w:r>
        <w:rPr>
          <w:rFonts w:ascii="Times New Roman" w:hAnsi="宋体" w:eastAsia="宋体" w:cs="Times New Roman"/>
          <w:color w:val="auto"/>
          <w:kern w:val="0"/>
          <w:sz w:val="24"/>
          <w:szCs w:val="24"/>
          <w:u w:val="single" w:color="auto"/>
        </w:rPr>
        <w:t>（</w:t>
      </w:r>
      <w:r>
        <w:rPr>
          <w:rFonts w:hint="eastAsia" w:ascii="Times New Roman" w:hAnsi="Times New Roman" w:eastAsia="宋体" w:cs="Times New Roman"/>
          <w:color w:val="auto"/>
          <w:kern w:val="0"/>
          <w:sz w:val="24"/>
          <w:szCs w:val="24"/>
          <w:u w:val="single" w:color="auto"/>
          <w:lang w:val="en-US" w:eastAsia="zh-CN"/>
        </w:rPr>
        <w:t>15.1</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w:t>
      </w:r>
      <w:r>
        <w:rPr>
          <w:rFonts w:ascii="Times New Roman" w:hAnsi="Times New Roman" w:eastAsia="宋体" w:cs="Times New Roman"/>
          <w:color w:val="auto"/>
          <w:kern w:val="0"/>
          <w:sz w:val="24"/>
          <w:szCs w:val="24"/>
          <w:u w:val="single" w:color="auto"/>
        </w:rPr>
        <w:t>≥1.5*V</w:t>
      </w:r>
      <w:r>
        <w:rPr>
          <w:rFonts w:ascii="Times New Roman" w:hAnsi="Times New Roman" w:eastAsia="宋体" w:cs="Times New Roman"/>
          <w:color w:val="auto"/>
          <w:kern w:val="0"/>
          <w:sz w:val="24"/>
          <w:szCs w:val="24"/>
          <w:u w:val="single" w:color="auto"/>
          <w:vertAlign w:val="subscript"/>
        </w:rPr>
        <w:t>C</w:t>
      </w:r>
      <w:r>
        <w:rPr>
          <w:rFonts w:ascii="Times New Roman" w:hAnsi="宋体" w:eastAsia="宋体" w:cs="Times New Roman"/>
          <w:color w:val="auto"/>
          <w:kern w:val="0"/>
          <w:sz w:val="24"/>
          <w:szCs w:val="24"/>
          <w:u w:val="single" w:color="auto"/>
        </w:rPr>
        <w:t>（</w:t>
      </w:r>
      <w:r>
        <w:rPr>
          <w:rFonts w:ascii="Times New Roman" w:hAnsi="Times New Roman" w:eastAsia="宋体" w:cs="Times New Roman"/>
          <w:color w:val="auto"/>
          <w:kern w:val="0"/>
          <w:sz w:val="24"/>
          <w:szCs w:val="24"/>
          <w:u w:val="single" w:color="auto"/>
        </w:rPr>
        <w:t>4.</w:t>
      </w:r>
      <w:r>
        <w:rPr>
          <w:rFonts w:hint="eastAsia" w:ascii="Times New Roman" w:hAnsi="Times New Roman" w:eastAsia="宋体" w:cs="Times New Roman"/>
          <w:color w:val="auto"/>
          <w:kern w:val="0"/>
          <w:sz w:val="24"/>
          <w:szCs w:val="24"/>
          <w:u w:val="single" w:color="auto"/>
        </w:rPr>
        <w:t>47</w:t>
      </w:r>
      <w:r>
        <w:rPr>
          <w:rFonts w:ascii="Times New Roman" w:hAnsi="Times New Roman" w:eastAsia="宋体" w:cs="Times New Roman"/>
          <w:color w:val="auto"/>
          <w:kern w:val="0"/>
          <w:sz w:val="24"/>
          <w:szCs w:val="24"/>
          <w:u w:val="single" w:color="auto"/>
        </w:rPr>
        <w:t>m/s</w:t>
      </w:r>
      <w:r>
        <w:rPr>
          <w:rFonts w:ascii="Times New Roman" w:hAnsi="宋体" w:eastAsia="宋体" w:cs="Times New Roman"/>
          <w:color w:val="auto"/>
          <w:kern w:val="0"/>
          <w:sz w:val="24"/>
          <w:szCs w:val="24"/>
          <w:u w:val="single" w:color="auto"/>
        </w:rPr>
        <w:t>），说明本项目烟囱高度合理。</w:t>
      </w:r>
      <w:r>
        <w:rPr>
          <w:rFonts w:ascii="Times New Roman" w:hAnsi="Times New Roman" w:eastAsia="宋体" w:cs="Times New Roman"/>
          <w:color w:val="auto"/>
          <w:kern w:val="0"/>
          <w:sz w:val="24"/>
          <w:szCs w:val="24"/>
          <w:u w:val="single" w:color="auto"/>
        </w:rPr>
        <w:t xml:space="preserve"> </w:t>
      </w:r>
    </w:p>
    <w:p w14:paraId="1EBADC70">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4.2</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大气环境影响预测评价结论</w:t>
      </w:r>
    </w:p>
    <w:p w14:paraId="7CA0D6A9">
      <w:pPr>
        <w:autoSpaceDE w:val="0"/>
        <w:autoSpaceDN w:val="0"/>
        <w:spacing w:line="360" w:lineRule="auto"/>
        <w:ind w:firstLine="482" w:firstLineChars="200"/>
        <w:jc w:val="left"/>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1、正常工况</w:t>
      </w:r>
    </w:p>
    <w:p w14:paraId="5C174113">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bookmarkStart w:id="231" w:name="_Hlk5031451"/>
      <w:r>
        <w:rPr>
          <w:rFonts w:hint="eastAsia" w:ascii="Times New Roman" w:hAnsi="Times New Roman" w:eastAsia="宋体" w:cs="Times New Roman"/>
          <w:color w:val="auto"/>
          <w:kern w:val="0"/>
          <w:sz w:val="24"/>
          <w:szCs w:val="24"/>
          <w:u w:val="none" w:color="auto"/>
        </w:rPr>
        <w:t>废气TSP、PM</w:t>
      </w:r>
      <w:r>
        <w:rPr>
          <w:rFonts w:hint="eastAsia" w:ascii="Times New Roman" w:hAnsi="Times New Roman" w:eastAsia="宋体" w:cs="Times New Roman"/>
          <w:color w:val="auto"/>
          <w:kern w:val="0"/>
          <w:sz w:val="24"/>
          <w:szCs w:val="24"/>
          <w:u w:val="none" w:color="auto"/>
          <w:vertAlign w:val="subscript"/>
        </w:rPr>
        <w:t>10</w:t>
      </w:r>
      <w:r>
        <w:rPr>
          <w:rFonts w:hint="eastAsia" w:ascii="Times New Roman" w:hAnsi="Times New Roman" w:eastAsia="宋体" w:cs="Times New Roman"/>
          <w:color w:val="auto"/>
          <w:kern w:val="0"/>
          <w:sz w:val="24"/>
          <w:szCs w:val="24"/>
          <w:u w:val="none" w:color="auto"/>
        </w:rPr>
        <w:t>、非甲烷总烃、甲苯、二甲苯在各环境保护目标及网格点处的短期浓度贡献值占标率均小于100%；废气TSP、PM</w:t>
      </w:r>
      <w:r>
        <w:rPr>
          <w:rFonts w:hint="eastAsia" w:ascii="Times New Roman" w:hAnsi="Times New Roman" w:eastAsia="宋体" w:cs="Times New Roman"/>
          <w:color w:val="auto"/>
          <w:kern w:val="0"/>
          <w:sz w:val="24"/>
          <w:szCs w:val="24"/>
          <w:u w:val="none" w:color="auto"/>
          <w:vertAlign w:val="subscript"/>
        </w:rPr>
        <w:t>10</w:t>
      </w:r>
      <w:r>
        <w:rPr>
          <w:rFonts w:hint="eastAsia" w:ascii="Times New Roman" w:hAnsi="Times New Roman" w:eastAsia="宋体" w:cs="Times New Roman"/>
          <w:color w:val="auto"/>
          <w:kern w:val="0"/>
          <w:sz w:val="24"/>
          <w:szCs w:val="24"/>
          <w:u w:val="none" w:color="auto"/>
        </w:rPr>
        <w:t>在各环境保护目标及网格点处的长期浓度贡献值占标率均小于30%；废气TSP、PM</w:t>
      </w:r>
      <w:r>
        <w:rPr>
          <w:rFonts w:hint="eastAsia" w:ascii="Times New Roman" w:hAnsi="Times New Roman" w:eastAsia="宋体" w:cs="Times New Roman"/>
          <w:color w:val="auto"/>
          <w:kern w:val="0"/>
          <w:sz w:val="24"/>
          <w:szCs w:val="24"/>
          <w:u w:val="none" w:color="auto"/>
          <w:vertAlign w:val="subscript"/>
        </w:rPr>
        <w:t>10</w:t>
      </w:r>
      <w:r>
        <w:rPr>
          <w:rFonts w:hint="eastAsia" w:ascii="Times New Roman" w:hAnsi="Times New Roman" w:eastAsia="宋体" w:cs="Times New Roman"/>
          <w:color w:val="auto"/>
          <w:kern w:val="0"/>
          <w:sz w:val="24"/>
          <w:szCs w:val="24"/>
          <w:u w:val="none" w:color="auto"/>
        </w:rPr>
        <w:t>、非甲烷总烃、甲苯、二甲苯</w:t>
      </w:r>
      <w:r>
        <w:rPr>
          <w:rFonts w:ascii="Times New Roman" w:hAnsi="Times New Roman" w:eastAsia="宋体" w:cs="Times New Roman"/>
          <w:color w:val="auto"/>
          <w:kern w:val="0"/>
          <w:sz w:val="24"/>
          <w:szCs w:val="24"/>
          <w:u w:val="none" w:color="auto"/>
        </w:rPr>
        <w:t>叠加背景值后</w:t>
      </w:r>
      <w:r>
        <w:rPr>
          <w:rFonts w:hint="eastAsia" w:ascii="Times New Roman" w:hAnsi="Times New Roman" w:eastAsia="宋体" w:cs="Times New Roman"/>
          <w:color w:val="auto"/>
          <w:kern w:val="0"/>
          <w:sz w:val="24"/>
          <w:szCs w:val="24"/>
          <w:u w:val="none" w:color="auto"/>
        </w:rPr>
        <w:t>，相应的短期浓度或长期浓度均符合环境质量标准</w:t>
      </w:r>
      <w:r>
        <w:rPr>
          <w:rFonts w:hint="eastAsia" w:ascii="Times New Roman" w:hAnsi="Times New Roman" w:eastAsia="宋体" w:cs="Times New Roman"/>
          <w:color w:val="auto"/>
          <w:sz w:val="24"/>
          <w:szCs w:val="24"/>
          <w:u w:val="none" w:color="auto"/>
        </w:rPr>
        <w:t>。</w:t>
      </w:r>
    </w:p>
    <w:p w14:paraId="6564697D">
      <w:pPr>
        <w:pStyle w:val="35"/>
        <w:spacing w:after="0" w:line="360" w:lineRule="auto"/>
        <w:ind w:firstLine="480" w:firstLineChars="200"/>
        <w:rPr>
          <w:color w:val="auto"/>
          <w:u w:val="none" w:color="auto"/>
        </w:rPr>
      </w:pPr>
      <w:r>
        <w:rPr>
          <w:rFonts w:hint="eastAsia" w:ascii="Times New Roman" w:hAnsi="Times New Roman" w:eastAsia="宋体" w:cs="Times New Roman"/>
          <w:color w:val="auto"/>
          <w:sz w:val="24"/>
          <w:szCs w:val="24"/>
          <w:u w:val="none" w:color="auto"/>
        </w:rPr>
        <w:t>综上，可以认为本项目运营废气正常排放时，对环境影响可以接受。</w:t>
      </w:r>
    </w:p>
    <w:bookmarkEnd w:id="231"/>
    <w:p w14:paraId="425EEDE6">
      <w:pPr>
        <w:autoSpaceDE w:val="0"/>
        <w:autoSpaceDN w:val="0"/>
        <w:spacing w:line="360" w:lineRule="auto"/>
        <w:ind w:firstLine="482" w:firstLineChars="200"/>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2、非正常排放</w:t>
      </w:r>
    </w:p>
    <w:p w14:paraId="018DF4BA">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非正常工况时，PM</w:t>
      </w:r>
      <w:r>
        <w:rPr>
          <w:rFonts w:hint="eastAsia" w:ascii="Times New Roman" w:hAnsi="Times New Roman" w:eastAsia="宋体" w:cs="Times New Roman"/>
          <w:color w:val="auto"/>
          <w:kern w:val="0"/>
          <w:sz w:val="24"/>
          <w:szCs w:val="24"/>
          <w:u w:val="none" w:color="auto"/>
          <w:vertAlign w:val="subscript"/>
        </w:rPr>
        <w:t>10</w:t>
      </w:r>
      <w:r>
        <w:rPr>
          <w:rFonts w:hint="eastAsia" w:ascii="Times New Roman" w:hAnsi="Times New Roman" w:eastAsia="宋体" w:cs="Times New Roman"/>
          <w:color w:val="auto"/>
          <w:kern w:val="0"/>
          <w:sz w:val="24"/>
          <w:szCs w:val="24"/>
          <w:u w:val="none" w:color="auto"/>
        </w:rPr>
        <w:t>、非甲烷总烃</w:t>
      </w:r>
      <w:r>
        <w:rPr>
          <w:rFonts w:hint="eastAsia" w:ascii="Times New Roman" w:hAnsi="Times New Roman" w:eastAsia="宋体" w:cs="Times New Roman"/>
          <w:color w:val="auto"/>
          <w:kern w:val="0"/>
          <w:sz w:val="24"/>
          <w:szCs w:val="24"/>
          <w:u w:val="none" w:color="auto"/>
          <w:lang w:eastAsia="zh-CN"/>
        </w:rPr>
        <w:t>、</w:t>
      </w:r>
      <w:r>
        <w:rPr>
          <w:rFonts w:hint="eastAsia" w:ascii="Times New Roman" w:hAnsi="Times New Roman" w:eastAsia="宋体" w:cs="Times New Roman"/>
          <w:color w:val="auto"/>
          <w:kern w:val="0"/>
          <w:sz w:val="24"/>
          <w:szCs w:val="24"/>
          <w:u w:val="none" w:color="auto"/>
          <w:lang w:val="en-US" w:eastAsia="zh-CN"/>
        </w:rPr>
        <w:t>甲苯</w:t>
      </w:r>
      <w:r>
        <w:rPr>
          <w:rFonts w:hint="eastAsia" w:ascii="Times New Roman" w:hAnsi="Times New Roman" w:eastAsia="宋体" w:cs="Times New Roman"/>
          <w:color w:val="auto"/>
          <w:kern w:val="0"/>
          <w:sz w:val="24"/>
          <w:szCs w:val="24"/>
          <w:u w:val="none" w:color="auto"/>
        </w:rPr>
        <w:t>和二甲苯在各敏感点均出现不同程度增加，PM</w:t>
      </w:r>
      <w:r>
        <w:rPr>
          <w:rFonts w:hint="eastAsia" w:ascii="Times New Roman" w:hAnsi="Times New Roman" w:eastAsia="宋体" w:cs="Times New Roman"/>
          <w:color w:val="auto"/>
          <w:kern w:val="0"/>
          <w:sz w:val="24"/>
          <w:szCs w:val="24"/>
          <w:u w:val="none" w:color="auto"/>
          <w:vertAlign w:val="subscript"/>
        </w:rPr>
        <w:t>10</w:t>
      </w:r>
      <w:r>
        <w:rPr>
          <w:rFonts w:hint="eastAsia"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lang w:val="en-US" w:eastAsia="zh-CN"/>
        </w:rPr>
        <w:t>甲苯</w:t>
      </w:r>
      <w:r>
        <w:rPr>
          <w:rFonts w:hint="eastAsia" w:ascii="Times New Roman" w:hAnsi="Times New Roman" w:eastAsia="宋体" w:cs="Times New Roman"/>
          <w:color w:val="auto"/>
          <w:kern w:val="0"/>
          <w:sz w:val="24"/>
          <w:szCs w:val="24"/>
          <w:u w:val="none" w:color="auto"/>
        </w:rPr>
        <w:t>评价范围内均出现超标的情况。为了减小废气对周边环境的影响，项目仍需加强管理，杜绝环保措施失效情况产生。</w:t>
      </w:r>
    </w:p>
    <w:p w14:paraId="0E8A82E8">
      <w:pPr>
        <w:autoSpaceDE w:val="0"/>
        <w:autoSpaceDN w:val="0"/>
        <w:spacing w:line="360" w:lineRule="auto"/>
        <w:ind w:firstLine="482" w:firstLineChars="200"/>
        <w:contextualSpacing/>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3、大气环境防护距离</w:t>
      </w:r>
    </w:p>
    <w:p w14:paraId="129241F3">
      <w:pPr>
        <w:autoSpaceDE w:val="0"/>
        <w:autoSpaceDN w:val="0"/>
        <w:spacing w:line="360" w:lineRule="auto"/>
        <w:ind w:firstLine="480" w:firstLineChars="200"/>
        <w:contextualSpacing/>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依据《环境影响评价技术导则--大气环境》（HJ2.2-2018）大气环境防护距离公式计算结果，本项目无需要设置大气环境防护距离。</w:t>
      </w:r>
    </w:p>
    <w:p w14:paraId="3E10DAE0">
      <w:pPr>
        <w:autoSpaceDE w:val="0"/>
        <w:autoSpaceDN w:val="0"/>
        <w:spacing w:line="360" w:lineRule="auto"/>
        <w:ind w:firstLine="479" w:firstLineChars="199"/>
        <w:contextualSpacing/>
        <w:rPr>
          <w:rFonts w:ascii="Times New Roman" w:hAnsi="Times New Roman" w:eastAsia="宋体" w:cs="Times New Roman"/>
          <w:b/>
          <w:color w:val="auto"/>
          <w:kern w:val="0"/>
          <w:sz w:val="24"/>
          <w:szCs w:val="24"/>
          <w:u w:val="none" w:color="auto"/>
        </w:rPr>
      </w:pPr>
      <w:r>
        <w:rPr>
          <w:rFonts w:hint="eastAsia" w:ascii="Times New Roman" w:hAnsi="Times New Roman" w:eastAsia="宋体" w:cs="Times New Roman"/>
          <w:b/>
          <w:color w:val="auto"/>
          <w:kern w:val="0"/>
          <w:sz w:val="24"/>
          <w:szCs w:val="24"/>
          <w:u w:val="none" w:color="auto"/>
          <w:lang w:val="en-US" w:eastAsia="zh-CN"/>
        </w:rPr>
        <w:t>4</w:t>
      </w:r>
      <w:r>
        <w:rPr>
          <w:rFonts w:ascii="Times New Roman" w:hAnsi="Times New Roman" w:eastAsia="宋体" w:cs="Times New Roman"/>
          <w:b/>
          <w:color w:val="auto"/>
          <w:kern w:val="0"/>
          <w:sz w:val="24"/>
          <w:szCs w:val="24"/>
          <w:u w:val="none" w:color="auto"/>
        </w:rPr>
        <w:t>、污染物排放量核算</w:t>
      </w:r>
    </w:p>
    <w:p w14:paraId="16F21C60">
      <w:pPr>
        <w:autoSpaceDE w:val="0"/>
        <w:autoSpaceDN w:val="0"/>
        <w:spacing w:line="360" w:lineRule="auto"/>
        <w:ind w:firstLine="482"/>
        <w:contextualSpacing/>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由上述预测结果可知，本项目全</w:t>
      </w:r>
      <w:r>
        <w:rPr>
          <w:rFonts w:hint="eastAsia" w:ascii="Times New Roman" w:hAnsi="Times New Roman" w:eastAsia="宋体" w:cs="Times New Roman"/>
          <w:color w:val="auto"/>
          <w:kern w:val="0"/>
          <w:sz w:val="24"/>
          <w:szCs w:val="24"/>
          <w:u w:val="none" w:color="auto"/>
        </w:rPr>
        <w:t>厂</w:t>
      </w:r>
      <w:r>
        <w:rPr>
          <w:rFonts w:ascii="Times New Roman" w:hAnsi="Times New Roman" w:eastAsia="宋体" w:cs="Times New Roman"/>
          <w:color w:val="auto"/>
          <w:kern w:val="0"/>
          <w:sz w:val="24"/>
          <w:szCs w:val="24"/>
          <w:u w:val="none" w:color="auto"/>
        </w:rPr>
        <w:t>废气污染物排放量核算结果及申报量见表</w:t>
      </w:r>
      <w:r>
        <w:rPr>
          <w:rFonts w:hint="eastAsia" w:ascii="Times New Roman" w:hAnsi="Times New Roman" w:eastAsia="宋体" w:cs="Times New Roman"/>
          <w:color w:val="auto"/>
          <w:kern w:val="0"/>
          <w:sz w:val="24"/>
          <w:szCs w:val="24"/>
          <w:u w:val="none" w:color="auto"/>
        </w:rPr>
        <w:t>4.2</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33~</w:t>
      </w:r>
      <w:r>
        <w:rPr>
          <w:rFonts w:ascii="Times New Roman" w:hAnsi="Times New Roman" w:eastAsia="宋体" w:cs="Times New Roman"/>
          <w:color w:val="auto"/>
          <w:kern w:val="0"/>
          <w:sz w:val="24"/>
          <w:szCs w:val="24"/>
          <w:u w:val="none" w:color="auto"/>
        </w:rPr>
        <w:t>表</w:t>
      </w:r>
      <w:r>
        <w:rPr>
          <w:rFonts w:hint="eastAsia" w:ascii="Times New Roman" w:hAnsi="Times New Roman" w:eastAsia="宋体" w:cs="Times New Roman"/>
          <w:color w:val="auto"/>
          <w:kern w:val="0"/>
          <w:sz w:val="24"/>
          <w:szCs w:val="24"/>
          <w:u w:val="none" w:color="auto"/>
        </w:rPr>
        <w:t>4.2</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35</w:t>
      </w:r>
      <w:r>
        <w:rPr>
          <w:rFonts w:ascii="Times New Roman" w:hAnsi="Times New Roman" w:eastAsia="宋体" w:cs="Times New Roman"/>
          <w:color w:val="auto"/>
          <w:kern w:val="0"/>
          <w:sz w:val="24"/>
          <w:szCs w:val="24"/>
          <w:u w:val="none" w:color="auto"/>
        </w:rPr>
        <w:t>。</w:t>
      </w:r>
    </w:p>
    <w:p w14:paraId="7D7F976C">
      <w:pPr>
        <w:autoSpaceDE w:val="0"/>
        <w:autoSpaceDN w:val="0"/>
        <w:spacing w:before="156" w:beforeLines="50"/>
        <w:contextualSpacing/>
        <w:jc w:val="center"/>
        <w:rPr>
          <w:rFonts w:ascii="Times New Roman" w:hAnsi="Times New Roman" w:eastAsia="宋体" w:cs="Times New Roman"/>
          <w:b/>
          <w:color w:val="auto"/>
          <w:kern w:val="0"/>
          <w:sz w:val="24"/>
          <w:szCs w:val="24"/>
          <w:u w:val="single" w:color="auto"/>
        </w:rPr>
      </w:pPr>
      <w:r>
        <w:rPr>
          <w:rFonts w:ascii="Times New Roman" w:hAnsi="Times New Roman" w:eastAsia="宋体" w:cs="Times New Roman"/>
          <w:b/>
          <w:color w:val="auto"/>
          <w:kern w:val="0"/>
          <w:sz w:val="24"/>
          <w:szCs w:val="24"/>
          <w:u w:val="single" w:color="auto"/>
        </w:rPr>
        <w:t>表</w:t>
      </w:r>
      <w:r>
        <w:rPr>
          <w:rFonts w:hint="eastAsia" w:ascii="Times New Roman" w:hAnsi="Times New Roman" w:eastAsia="宋体" w:cs="Times New Roman"/>
          <w:b/>
          <w:color w:val="auto"/>
          <w:kern w:val="0"/>
          <w:sz w:val="24"/>
          <w:szCs w:val="24"/>
          <w:u w:val="single" w:color="auto"/>
        </w:rPr>
        <w:t>4.2</w:t>
      </w:r>
      <w:r>
        <w:rPr>
          <w:rFonts w:ascii="Times New Roman" w:hAnsi="Times New Roman" w:eastAsia="宋体"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rPr>
        <w:t>33</w:t>
      </w:r>
      <w:r>
        <w:rPr>
          <w:rFonts w:ascii="Times New Roman" w:hAnsi="Times New Roman" w:eastAsia="宋体" w:cs="Times New Roman"/>
          <w:b/>
          <w:color w:val="auto"/>
          <w:kern w:val="0"/>
          <w:sz w:val="24"/>
          <w:szCs w:val="24"/>
          <w:u w:val="single" w:color="auto"/>
        </w:rPr>
        <w:t>大气污染物有组织排放量核算表</w:t>
      </w:r>
    </w:p>
    <w:tbl>
      <w:tblPr>
        <w:tblStyle w:val="37"/>
        <w:tblW w:w="8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79" w:type="dxa"/>
          <w:bottom w:w="85" w:type="dxa"/>
          <w:right w:w="79" w:type="dxa"/>
        </w:tblCellMar>
      </w:tblPr>
      <w:tblGrid>
        <w:gridCol w:w="514"/>
        <w:gridCol w:w="946"/>
        <w:gridCol w:w="1028"/>
        <w:gridCol w:w="2086"/>
        <w:gridCol w:w="2172"/>
        <w:gridCol w:w="1718"/>
      </w:tblGrid>
      <w:tr w14:paraId="7A3AF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tblHeader/>
          <w:jc w:val="center"/>
        </w:trPr>
        <w:tc>
          <w:tcPr>
            <w:tcW w:w="514" w:type="dxa"/>
            <w:tcBorders>
              <w:top w:val="single" w:color="auto" w:sz="4" w:space="0"/>
              <w:left w:val="single" w:color="auto" w:sz="4" w:space="0"/>
              <w:right w:val="single" w:color="auto" w:sz="4" w:space="0"/>
            </w:tcBorders>
            <w:vAlign w:val="center"/>
          </w:tcPr>
          <w:p w14:paraId="170B4D1D">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序号</w:t>
            </w:r>
          </w:p>
        </w:tc>
        <w:tc>
          <w:tcPr>
            <w:tcW w:w="946" w:type="dxa"/>
            <w:tcBorders>
              <w:top w:val="single" w:color="auto" w:sz="4" w:space="0"/>
              <w:left w:val="single" w:color="auto" w:sz="4" w:space="0"/>
              <w:right w:val="single" w:color="auto" w:sz="4" w:space="0"/>
            </w:tcBorders>
            <w:vAlign w:val="center"/>
          </w:tcPr>
          <w:p w14:paraId="68B0FA7F">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排放口编号</w:t>
            </w:r>
          </w:p>
        </w:tc>
        <w:tc>
          <w:tcPr>
            <w:tcW w:w="1028" w:type="dxa"/>
            <w:tcBorders>
              <w:top w:val="single" w:color="auto" w:sz="4" w:space="0"/>
              <w:left w:val="single" w:color="auto" w:sz="4" w:space="0"/>
              <w:right w:val="single" w:color="auto" w:sz="4" w:space="0"/>
            </w:tcBorders>
            <w:vAlign w:val="center"/>
          </w:tcPr>
          <w:p w14:paraId="055F0D18">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污染物</w:t>
            </w:r>
          </w:p>
        </w:tc>
        <w:tc>
          <w:tcPr>
            <w:tcW w:w="2086" w:type="dxa"/>
            <w:tcBorders>
              <w:top w:val="single" w:color="auto" w:sz="4" w:space="0"/>
              <w:left w:val="single" w:color="auto" w:sz="4" w:space="0"/>
              <w:bottom w:val="single" w:color="auto" w:sz="4" w:space="0"/>
              <w:right w:val="single" w:color="auto" w:sz="4" w:space="0"/>
            </w:tcBorders>
            <w:vAlign w:val="center"/>
          </w:tcPr>
          <w:p w14:paraId="6F42F66D">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核算排放浓度限值/（mg/m</w:t>
            </w:r>
            <w:r>
              <w:rPr>
                <w:rFonts w:ascii="Times New Roman" w:hAnsi="Times New Roman" w:eastAsia="宋体" w:cs="Times New Roman"/>
                <w:b/>
                <w:bCs/>
                <w:color w:val="auto"/>
                <w:kern w:val="28"/>
                <w:szCs w:val="21"/>
                <w:u w:val="single" w:color="auto"/>
                <w:vertAlign w:val="superscript"/>
              </w:rPr>
              <w:t>3</w:t>
            </w:r>
            <w:r>
              <w:rPr>
                <w:rFonts w:ascii="Times New Roman" w:hAnsi="Times New Roman" w:eastAsia="宋体" w:cs="Times New Roman"/>
                <w:b/>
                <w:bCs/>
                <w:color w:val="auto"/>
                <w:kern w:val="28"/>
                <w:szCs w:val="21"/>
                <w:u w:val="single" w:color="auto"/>
              </w:rPr>
              <w:t>）</w:t>
            </w:r>
          </w:p>
        </w:tc>
        <w:tc>
          <w:tcPr>
            <w:tcW w:w="2172" w:type="dxa"/>
            <w:tcBorders>
              <w:top w:val="single" w:color="auto" w:sz="4" w:space="0"/>
              <w:left w:val="single" w:color="auto" w:sz="4" w:space="0"/>
              <w:right w:val="single" w:color="auto" w:sz="4" w:space="0"/>
            </w:tcBorders>
            <w:vAlign w:val="center"/>
          </w:tcPr>
          <w:p w14:paraId="6033D6D7">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核算排放速率限值/（kg/h）</w:t>
            </w:r>
          </w:p>
        </w:tc>
        <w:tc>
          <w:tcPr>
            <w:tcW w:w="1718" w:type="dxa"/>
            <w:tcBorders>
              <w:top w:val="single" w:color="auto" w:sz="4" w:space="0"/>
              <w:left w:val="single" w:color="auto" w:sz="4" w:space="0"/>
              <w:right w:val="single" w:color="auto" w:sz="4" w:space="0"/>
            </w:tcBorders>
            <w:vAlign w:val="center"/>
          </w:tcPr>
          <w:p w14:paraId="27863B47">
            <w:pPr>
              <w:snapToGrid w:val="0"/>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核算年排放量/（t/a）</w:t>
            </w:r>
          </w:p>
        </w:tc>
      </w:tr>
      <w:tr w14:paraId="1D453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8464" w:type="dxa"/>
            <w:gridSpan w:val="6"/>
            <w:tcBorders>
              <w:top w:val="single" w:color="auto" w:sz="4" w:space="0"/>
              <w:left w:val="single" w:color="auto" w:sz="4" w:space="0"/>
              <w:bottom w:val="single" w:color="auto" w:sz="4" w:space="0"/>
              <w:right w:val="single" w:color="auto" w:sz="4" w:space="0"/>
            </w:tcBorders>
            <w:vAlign w:val="center"/>
          </w:tcPr>
          <w:p w14:paraId="28CCC07C">
            <w:pPr>
              <w:snapToGrid w:val="0"/>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lang w:val="en-US" w:eastAsia="zh-CN"/>
              </w:rPr>
              <w:t>一般</w:t>
            </w:r>
            <w:r>
              <w:rPr>
                <w:rFonts w:ascii="Times New Roman" w:hAnsi="Times New Roman" w:eastAsia="宋体" w:cs="Times New Roman"/>
                <w:bCs/>
                <w:color w:val="auto"/>
                <w:kern w:val="28"/>
                <w:szCs w:val="21"/>
                <w:u w:val="single" w:color="auto"/>
              </w:rPr>
              <w:t>排放口</w:t>
            </w:r>
          </w:p>
        </w:tc>
      </w:tr>
      <w:tr w14:paraId="69DD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514" w:type="dxa"/>
            <w:tcBorders>
              <w:top w:val="single" w:color="auto" w:sz="4" w:space="0"/>
              <w:left w:val="single" w:color="auto" w:sz="4" w:space="0"/>
              <w:bottom w:val="single" w:color="auto" w:sz="4" w:space="0"/>
              <w:right w:val="single" w:color="auto" w:sz="4" w:space="0"/>
            </w:tcBorders>
            <w:vAlign w:val="center"/>
          </w:tcPr>
          <w:p w14:paraId="6DB35B4B">
            <w:pPr>
              <w:pStyle w:val="63"/>
              <w:numPr>
                <w:ilvl w:val="0"/>
                <w:numId w:val="15"/>
              </w:numPr>
              <w:snapToGrid w:val="0"/>
              <w:ind w:firstLineChars="0"/>
              <w:jc w:val="center"/>
              <w:rPr>
                <w:rFonts w:ascii="Times New Roman" w:hAnsi="Times New Roman" w:eastAsia="宋体" w:cs="Times New Roman"/>
                <w:bCs/>
                <w:color w:val="auto"/>
                <w:kern w:val="28"/>
                <w:szCs w:val="21"/>
                <w:u w:val="single" w:color="auto"/>
              </w:rPr>
            </w:pPr>
          </w:p>
        </w:tc>
        <w:tc>
          <w:tcPr>
            <w:tcW w:w="946" w:type="dxa"/>
            <w:tcBorders>
              <w:left w:val="single" w:color="auto" w:sz="4" w:space="0"/>
              <w:right w:val="single" w:color="auto" w:sz="4" w:space="0"/>
            </w:tcBorders>
            <w:vAlign w:val="center"/>
          </w:tcPr>
          <w:p w14:paraId="29B71627">
            <w:pPr>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0"/>
                <w:szCs w:val="21"/>
                <w:u w:val="single" w:color="auto"/>
              </w:rPr>
              <w:t>DA001</w:t>
            </w:r>
          </w:p>
        </w:tc>
        <w:tc>
          <w:tcPr>
            <w:tcW w:w="1028" w:type="dxa"/>
            <w:tcBorders>
              <w:top w:val="single" w:color="auto" w:sz="4" w:space="0"/>
              <w:left w:val="single" w:color="auto" w:sz="4" w:space="0"/>
              <w:bottom w:val="single" w:color="auto" w:sz="4" w:space="0"/>
              <w:right w:val="single" w:color="auto" w:sz="4" w:space="0"/>
            </w:tcBorders>
            <w:vAlign w:val="center"/>
          </w:tcPr>
          <w:p w14:paraId="4023E7F4">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粉尘</w:t>
            </w:r>
          </w:p>
        </w:tc>
        <w:tc>
          <w:tcPr>
            <w:tcW w:w="2086" w:type="dxa"/>
            <w:tcBorders>
              <w:left w:val="single" w:color="auto" w:sz="4" w:space="0"/>
              <w:bottom w:val="single" w:color="auto" w:sz="4" w:space="0"/>
              <w:right w:val="single" w:color="auto" w:sz="4" w:space="0"/>
            </w:tcBorders>
            <w:vAlign w:val="center"/>
          </w:tcPr>
          <w:p w14:paraId="1AFE29D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9.617</w:t>
            </w:r>
          </w:p>
        </w:tc>
        <w:tc>
          <w:tcPr>
            <w:tcW w:w="2172" w:type="dxa"/>
            <w:tcBorders>
              <w:left w:val="single" w:color="auto" w:sz="4" w:space="0"/>
              <w:bottom w:val="single" w:color="auto" w:sz="4" w:space="0"/>
              <w:right w:val="single" w:color="auto" w:sz="4" w:space="0"/>
            </w:tcBorders>
            <w:vAlign w:val="center"/>
          </w:tcPr>
          <w:p w14:paraId="6360877F">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0.577</w:t>
            </w:r>
          </w:p>
        </w:tc>
        <w:tc>
          <w:tcPr>
            <w:tcW w:w="1718" w:type="dxa"/>
            <w:tcBorders>
              <w:left w:val="single" w:color="auto" w:sz="4" w:space="0"/>
              <w:right w:val="single" w:color="auto" w:sz="4" w:space="0"/>
            </w:tcBorders>
            <w:vAlign w:val="center"/>
          </w:tcPr>
          <w:p w14:paraId="1F4833B2">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4.572</w:t>
            </w:r>
          </w:p>
        </w:tc>
      </w:tr>
      <w:tr w14:paraId="5B69E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514" w:type="dxa"/>
            <w:vMerge w:val="restart"/>
            <w:tcBorders>
              <w:top w:val="single" w:color="auto" w:sz="4" w:space="0"/>
              <w:left w:val="single" w:color="auto" w:sz="4" w:space="0"/>
              <w:right w:val="single" w:color="auto" w:sz="4" w:space="0"/>
            </w:tcBorders>
            <w:vAlign w:val="center"/>
          </w:tcPr>
          <w:p w14:paraId="174AF25F">
            <w:pPr>
              <w:pStyle w:val="63"/>
              <w:numPr>
                <w:ilvl w:val="0"/>
                <w:numId w:val="15"/>
              </w:numPr>
              <w:snapToGrid w:val="0"/>
              <w:ind w:firstLineChars="0"/>
              <w:jc w:val="center"/>
              <w:rPr>
                <w:rFonts w:ascii="Times New Roman" w:hAnsi="Times New Roman" w:eastAsia="宋体" w:cs="Times New Roman"/>
                <w:bCs/>
                <w:color w:val="auto"/>
                <w:kern w:val="28"/>
                <w:szCs w:val="21"/>
                <w:u w:val="single" w:color="auto"/>
              </w:rPr>
            </w:pPr>
          </w:p>
        </w:tc>
        <w:tc>
          <w:tcPr>
            <w:tcW w:w="946" w:type="dxa"/>
            <w:vMerge w:val="restart"/>
            <w:tcBorders>
              <w:left w:val="single" w:color="auto" w:sz="4" w:space="0"/>
              <w:right w:val="single" w:color="auto" w:sz="4" w:space="0"/>
            </w:tcBorders>
            <w:vAlign w:val="center"/>
          </w:tcPr>
          <w:p w14:paraId="56FB18C8">
            <w:pPr>
              <w:snapToGrid w:val="0"/>
              <w:jc w:val="center"/>
              <w:rPr>
                <w:rFonts w:ascii="Times New Roman" w:hAnsi="Times New Roman" w:eastAsia="宋体" w:cs="Times New Roman"/>
                <w:bCs/>
                <w:color w:val="auto"/>
                <w:kern w:val="0"/>
                <w:szCs w:val="21"/>
                <w:u w:val="single" w:color="auto"/>
              </w:rPr>
            </w:pPr>
            <w:r>
              <w:rPr>
                <w:rFonts w:ascii="Times New Roman" w:hAnsi="Times New Roman" w:eastAsia="宋体" w:cs="Times New Roman"/>
                <w:bCs/>
                <w:color w:val="auto"/>
                <w:kern w:val="0"/>
                <w:szCs w:val="21"/>
                <w:u w:val="single" w:color="auto"/>
              </w:rPr>
              <w:t>DA002</w:t>
            </w:r>
          </w:p>
        </w:tc>
        <w:tc>
          <w:tcPr>
            <w:tcW w:w="1028" w:type="dxa"/>
            <w:tcBorders>
              <w:top w:val="single" w:color="auto" w:sz="4" w:space="0"/>
              <w:left w:val="single" w:color="auto" w:sz="4" w:space="0"/>
              <w:bottom w:val="single" w:color="auto" w:sz="4" w:space="0"/>
              <w:right w:val="single" w:color="auto" w:sz="4" w:space="0"/>
            </w:tcBorders>
            <w:vAlign w:val="center"/>
          </w:tcPr>
          <w:p w14:paraId="65910FAB">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非甲烷总烃</w:t>
            </w:r>
          </w:p>
        </w:tc>
        <w:tc>
          <w:tcPr>
            <w:tcW w:w="2086" w:type="dxa"/>
            <w:tcBorders>
              <w:left w:val="single" w:color="auto" w:sz="4" w:space="0"/>
              <w:bottom w:val="single" w:color="auto" w:sz="4" w:space="0"/>
              <w:right w:val="single" w:color="auto" w:sz="4" w:space="0"/>
            </w:tcBorders>
            <w:vAlign w:val="center"/>
          </w:tcPr>
          <w:p w14:paraId="7A2B52A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11.865</w:t>
            </w:r>
          </w:p>
        </w:tc>
        <w:tc>
          <w:tcPr>
            <w:tcW w:w="2172" w:type="dxa"/>
            <w:tcBorders>
              <w:left w:val="single" w:color="auto" w:sz="4" w:space="0"/>
              <w:bottom w:val="single" w:color="auto" w:sz="4" w:space="0"/>
              <w:right w:val="single" w:color="auto" w:sz="4" w:space="0"/>
            </w:tcBorders>
            <w:vAlign w:val="center"/>
          </w:tcPr>
          <w:p w14:paraId="0C95CD3D">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0.8543</w:t>
            </w:r>
          </w:p>
        </w:tc>
        <w:tc>
          <w:tcPr>
            <w:tcW w:w="1718" w:type="dxa"/>
            <w:tcBorders>
              <w:left w:val="single" w:color="auto" w:sz="4" w:space="0"/>
              <w:right w:val="single" w:color="auto" w:sz="4" w:space="0"/>
            </w:tcBorders>
            <w:vAlign w:val="center"/>
          </w:tcPr>
          <w:p w14:paraId="763C6FC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5.0093</w:t>
            </w:r>
          </w:p>
        </w:tc>
      </w:tr>
      <w:tr w14:paraId="5980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514" w:type="dxa"/>
            <w:vMerge w:val="continue"/>
            <w:tcBorders>
              <w:left w:val="single" w:color="auto" w:sz="4" w:space="0"/>
              <w:right w:val="single" w:color="auto" w:sz="4" w:space="0"/>
            </w:tcBorders>
            <w:vAlign w:val="center"/>
          </w:tcPr>
          <w:p w14:paraId="3A6C9653">
            <w:pPr>
              <w:pStyle w:val="63"/>
              <w:snapToGrid w:val="0"/>
              <w:ind w:firstLineChars="0"/>
              <w:jc w:val="center"/>
              <w:rPr>
                <w:rFonts w:ascii="Times New Roman" w:hAnsi="Times New Roman" w:eastAsia="宋体" w:cs="Times New Roman"/>
                <w:bCs/>
                <w:color w:val="auto"/>
                <w:kern w:val="28"/>
                <w:szCs w:val="21"/>
                <w:u w:val="single" w:color="auto"/>
              </w:rPr>
            </w:pPr>
          </w:p>
        </w:tc>
        <w:tc>
          <w:tcPr>
            <w:tcW w:w="946" w:type="dxa"/>
            <w:vMerge w:val="continue"/>
            <w:tcBorders>
              <w:left w:val="single" w:color="auto" w:sz="4" w:space="0"/>
              <w:right w:val="single" w:color="auto" w:sz="4" w:space="0"/>
            </w:tcBorders>
            <w:vAlign w:val="center"/>
          </w:tcPr>
          <w:p w14:paraId="068CD894">
            <w:pPr>
              <w:snapToGrid w:val="0"/>
              <w:jc w:val="center"/>
              <w:rPr>
                <w:rFonts w:ascii="Times New Roman" w:hAnsi="Times New Roman" w:eastAsia="宋体" w:cs="Times New Roman"/>
                <w:bCs/>
                <w:color w:val="auto"/>
                <w:kern w:val="0"/>
                <w:szCs w:val="21"/>
                <w:u w:val="single" w:color="auto"/>
              </w:rPr>
            </w:pPr>
          </w:p>
        </w:tc>
        <w:tc>
          <w:tcPr>
            <w:tcW w:w="1028" w:type="dxa"/>
            <w:tcBorders>
              <w:top w:val="single" w:color="auto" w:sz="4" w:space="0"/>
              <w:left w:val="single" w:color="auto" w:sz="4" w:space="0"/>
              <w:bottom w:val="single" w:color="auto" w:sz="4" w:space="0"/>
              <w:right w:val="single" w:color="auto" w:sz="4" w:space="0"/>
            </w:tcBorders>
            <w:vAlign w:val="center"/>
          </w:tcPr>
          <w:p w14:paraId="5FF1718A">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二甲苯</w:t>
            </w:r>
          </w:p>
        </w:tc>
        <w:tc>
          <w:tcPr>
            <w:tcW w:w="2086" w:type="dxa"/>
            <w:tcBorders>
              <w:left w:val="single" w:color="auto" w:sz="4" w:space="0"/>
              <w:bottom w:val="single" w:color="auto" w:sz="4" w:space="0"/>
              <w:right w:val="single" w:color="auto" w:sz="4" w:space="0"/>
            </w:tcBorders>
            <w:vAlign w:val="center"/>
          </w:tcPr>
          <w:p w14:paraId="31B87F6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6.583</w:t>
            </w:r>
          </w:p>
        </w:tc>
        <w:tc>
          <w:tcPr>
            <w:tcW w:w="2172" w:type="dxa"/>
            <w:tcBorders>
              <w:left w:val="single" w:color="auto" w:sz="4" w:space="0"/>
              <w:bottom w:val="single" w:color="auto" w:sz="4" w:space="0"/>
              <w:right w:val="single" w:color="auto" w:sz="4" w:space="0"/>
            </w:tcBorders>
            <w:vAlign w:val="center"/>
          </w:tcPr>
          <w:p w14:paraId="57DC1C7D">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0.474</w:t>
            </w:r>
          </w:p>
        </w:tc>
        <w:tc>
          <w:tcPr>
            <w:tcW w:w="1718" w:type="dxa"/>
            <w:tcBorders>
              <w:left w:val="single" w:color="auto" w:sz="4" w:space="0"/>
              <w:right w:val="single" w:color="auto" w:sz="4" w:space="0"/>
            </w:tcBorders>
            <w:vAlign w:val="center"/>
          </w:tcPr>
          <w:p w14:paraId="100035C2">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2.773</w:t>
            </w:r>
          </w:p>
        </w:tc>
      </w:tr>
      <w:tr w14:paraId="7C91B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514" w:type="dxa"/>
            <w:vMerge w:val="continue"/>
            <w:tcBorders>
              <w:left w:val="single" w:color="auto" w:sz="4" w:space="0"/>
              <w:right w:val="single" w:color="auto" w:sz="4" w:space="0"/>
            </w:tcBorders>
            <w:vAlign w:val="center"/>
          </w:tcPr>
          <w:p w14:paraId="38AD2A06">
            <w:pPr>
              <w:pStyle w:val="63"/>
              <w:snapToGrid w:val="0"/>
              <w:ind w:firstLineChars="0"/>
              <w:jc w:val="center"/>
              <w:rPr>
                <w:rFonts w:ascii="Times New Roman" w:hAnsi="Times New Roman" w:eastAsia="宋体" w:cs="Times New Roman"/>
                <w:bCs/>
                <w:color w:val="auto"/>
                <w:kern w:val="28"/>
                <w:szCs w:val="21"/>
                <w:u w:val="single" w:color="auto"/>
              </w:rPr>
            </w:pPr>
          </w:p>
        </w:tc>
        <w:tc>
          <w:tcPr>
            <w:tcW w:w="946" w:type="dxa"/>
            <w:vMerge w:val="continue"/>
            <w:tcBorders>
              <w:left w:val="single" w:color="auto" w:sz="4" w:space="0"/>
              <w:right w:val="single" w:color="auto" w:sz="4" w:space="0"/>
            </w:tcBorders>
            <w:vAlign w:val="center"/>
          </w:tcPr>
          <w:p w14:paraId="2EC6FF0A">
            <w:pPr>
              <w:snapToGrid w:val="0"/>
              <w:jc w:val="center"/>
              <w:rPr>
                <w:rFonts w:ascii="Times New Roman" w:hAnsi="Times New Roman" w:eastAsia="宋体" w:cs="Times New Roman"/>
                <w:bCs/>
                <w:color w:val="auto"/>
                <w:kern w:val="0"/>
                <w:szCs w:val="21"/>
                <w:u w:val="single" w:color="auto"/>
              </w:rPr>
            </w:pPr>
          </w:p>
        </w:tc>
        <w:tc>
          <w:tcPr>
            <w:tcW w:w="1028" w:type="dxa"/>
            <w:tcBorders>
              <w:top w:val="single" w:color="auto" w:sz="4" w:space="0"/>
              <w:left w:val="single" w:color="auto" w:sz="4" w:space="0"/>
              <w:bottom w:val="single" w:color="auto" w:sz="4" w:space="0"/>
              <w:right w:val="single" w:color="auto" w:sz="4" w:space="0"/>
            </w:tcBorders>
            <w:vAlign w:val="center"/>
          </w:tcPr>
          <w:p w14:paraId="6F7DA181">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甲苯</w:t>
            </w:r>
          </w:p>
        </w:tc>
        <w:tc>
          <w:tcPr>
            <w:tcW w:w="2086" w:type="dxa"/>
            <w:tcBorders>
              <w:left w:val="single" w:color="auto" w:sz="4" w:space="0"/>
              <w:bottom w:val="single" w:color="auto" w:sz="4" w:space="0"/>
              <w:right w:val="single" w:color="auto" w:sz="4" w:space="0"/>
            </w:tcBorders>
            <w:vAlign w:val="center"/>
          </w:tcPr>
          <w:p w14:paraId="20B88344">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0.014</w:t>
            </w:r>
          </w:p>
        </w:tc>
        <w:tc>
          <w:tcPr>
            <w:tcW w:w="2172" w:type="dxa"/>
            <w:tcBorders>
              <w:left w:val="single" w:color="auto" w:sz="4" w:space="0"/>
              <w:bottom w:val="single" w:color="auto" w:sz="4" w:space="0"/>
              <w:right w:val="single" w:color="auto" w:sz="4" w:space="0"/>
            </w:tcBorders>
            <w:vAlign w:val="center"/>
          </w:tcPr>
          <w:p w14:paraId="2377E6DE">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0.001</w:t>
            </w:r>
          </w:p>
        </w:tc>
        <w:tc>
          <w:tcPr>
            <w:tcW w:w="1718" w:type="dxa"/>
            <w:tcBorders>
              <w:left w:val="single" w:color="auto" w:sz="4" w:space="0"/>
              <w:right w:val="single" w:color="auto" w:sz="4" w:space="0"/>
            </w:tcBorders>
            <w:vAlign w:val="center"/>
          </w:tcPr>
          <w:p w14:paraId="48D5349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0.007</w:t>
            </w:r>
          </w:p>
        </w:tc>
      </w:tr>
      <w:tr w14:paraId="6488D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514" w:type="dxa"/>
            <w:vMerge w:val="continue"/>
            <w:tcBorders>
              <w:left w:val="single" w:color="auto" w:sz="4" w:space="0"/>
              <w:right w:val="single" w:color="auto" w:sz="4" w:space="0"/>
            </w:tcBorders>
            <w:vAlign w:val="center"/>
          </w:tcPr>
          <w:p w14:paraId="0943C952">
            <w:pPr>
              <w:pStyle w:val="63"/>
              <w:snapToGrid w:val="0"/>
              <w:ind w:firstLineChars="0"/>
              <w:jc w:val="center"/>
              <w:rPr>
                <w:rFonts w:ascii="Times New Roman" w:hAnsi="Times New Roman" w:eastAsia="宋体" w:cs="Times New Roman"/>
                <w:bCs/>
                <w:color w:val="auto"/>
                <w:kern w:val="28"/>
                <w:szCs w:val="21"/>
                <w:u w:val="single" w:color="auto"/>
              </w:rPr>
            </w:pPr>
          </w:p>
        </w:tc>
        <w:tc>
          <w:tcPr>
            <w:tcW w:w="946" w:type="dxa"/>
            <w:vMerge w:val="continue"/>
            <w:tcBorders>
              <w:left w:val="single" w:color="auto" w:sz="4" w:space="0"/>
              <w:right w:val="single" w:color="auto" w:sz="4" w:space="0"/>
            </w:tcBorders>
            <w:vAlign w:val="center"/>
          </w:tcPr>
          <w:p w14:paraId="5CB0381F">
            <w:pPr>
              <w:snapToGrid w:val="0"/>
              <w:jc w:val="center"/>
              <w:rPr>
                <w:rFonts w:ascii="Times New Roman" w:hAnsi="Times New Roman" w:eastAsia="宋体" w:cs="Times New Roman"/>
                <w:bCs/>
                <w:color w:val="auto"/>
                <w:kern w:val="0"/>
                <w:szCs w:val="21"/>
                <w:u w:val="single" w:color="auto"/>
              </w:rPr>
            </w:pPr>
          </w:p>
        </w:tc>
        <w:tc>
          <w:tcPr>
            <w:tcW w:w="1028" w:type="dxa"/>
            <w:tcBorders>
              <w:top w:val="single" w:color="auto" w:sz="4" w:space="0"/>
              <w:left w:val="single" w:color="auto" w:sz="4" w:space="0"/>
              <w:bottom w:val="single" w:color="auto" w:sz="4" w:space="0"/>
              <w:right w:val="single" w:color="auto" w:sz="4" w:space="0"/>
            </w:tcBorders>
            <w:vAlign w:val="center"/>
          </w:tcPr>
          <w:p w14:paraId="3632321A">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漆雾</w:t>
            </w:r>
          </w:p>
        </w:tc>
        <w:tc>
          <w:tcPr>
            <w:tcW w:w="2086" w:type="dxa"/>
            <w:tcBorders>
              <w:left w:val="single" w:color="auto" w:sz="4" w:space="0"/>
              <w:bottom w:val="single" w:color="auto" w:sz="4" w:space="0"/>
              <w:right w:val="single" w:color="auto" w:sz="4" w:space="0"/>
            </w:tcBorders>
            <w:vAlign w:val="center"/>
          </w:tcPr>
          <w:p w14:paraId="6D9BFCE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34.625</w:t>
            </w:r>
          </w:p>
        </w:tc>
        <w:tc>
          <w:tcPr>
            <w:tcW w:w="2172" w:type="dxa"/>
            <w:tcBorders>
              <w:left w:val="single" w:color="auto" w:sz="4" w:space="0"/>
              <w:bottom w:val="single" w:color="auto" w:sz="4" w:space="0"/>
              <w:right w:val="single" w:color="auto" w:sz="4" w:space="0"/>
            </w:tcBorders>
            <w:vAlign w:val="center"/>
          </w:tcPr>
          <w:p w14:paraId="4523D78B">
            <w:pPr>
              <w:keepNext w:val="0"/>
              <w:keepLines w:val="0"/>
              <w:widowControl/>
              <w:suppressLineNumbers w:val="0"/>
              <w:jc w:val="center"/>
              <w:textAlignment w:val="center"/>
              <w:rPr>
                <w:rFonts w:hint="default" w:ascii="Times New Roman" w:hAnsi="Times New Roman" w:eastAsia="宋体" w:cs="Times New Roman"/>
                <w:bCs/>
                <w:color w:val="auto"/>
                <w:kern w:val="28"/>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2.493</w:t>
            </w:r>
          </w:p>
        </w:tc>
        <w:tc>
          <w:tcPr>
            <w:tcW w:w="1718" w:type="dxa"/>
            <w:tcBorders>
              <w:left w:val="single" w:color="auto" w:sz="4" w:space="0"/>
              <w:right w:val="single" w:color="auto" w:sz="4" w:space="0"/>
            </w:tcBorders>
            <w:vAlign w:val="center"/>
          </w:tcPr>
          <w:p w14:paraId="13F0187B">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13.161</w:t>
            </w:r>
          </w:p>
        </w:tc>
      </w:tr>
      <w:tr w14:paraId="63959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1460" w:type="dxa"/>
            <w:gridSpan w:val="2"/>
            <w:vMerge w:val="restart"/>
            <w:tcBorders>
              <w:top w:val="single" w:color="auto" w:sz="4" w:space="0"/>
              <w:left w:val="single" w:color="auto" w:sz="4" w:space="0"/>
              <w:right w:val="single" w:color="auto" w:sz="4" w:space="0"/>
            </w:tcBorders>
            <w:vAlign w:val="center"/>
          </w:tcPr>
          <w:p w14:paraId="21621BE5">
            <w:pPr>
              <w:snapToGrid w:val="0"/>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lang w:val="en-US" w:eastAsia="zh-CN"/>
              </w:rPr>
              <w:t>一般</w:t>
            </w:r>
            <w:r>
              <w:rPr>
                <w:rFonts w:ascii="Times New Roman" w:hAnsi="Times New Roman" w:eastAsia="宋体" w:cs="Times New Roman"/>
                <w:bCs/>
                <w:color w:val="auto"/>
                <w:kern w:val="28"/>
                <w:szCs w:val="21"/>
                <w:u w:val="single" w:color="auto"/>
              </w:rPr>
              <w:t>排放口</w:t>
            </w:r>
          </w:p>
          <w:p w14:paraId="1356618B">
            <w:pPr>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合计</w:t>
            </w:r>
          </w:p>
        </w:tc>
        <w:tc>
          <w:tcPr>
            <w:tcW w:w="5286" w:type="dxa"/>
            <w:gridSpan w:val="3"/>
            <w:tcBorders>
              <w:top w:val="single" w:color="auto" w:sz="4" w:space="0"/>
              <w:left w:val="single" w:color="auto" w:sz="4" w:space="0"/>
              <w:bottom w:val="single" w:color="auto" w:sz="4" w:space="0"/>
              <w:right w:val="single" w:color="auto" w:sz="4" w:space="0"/>
            </w:tcBorders>
            <w:vAlign w:val="center"/>
          </w:tcPr>
          <w:p w14:paraId="10F370AD">
            <w:pPr>
              <w:widowControl/>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kern w:val="0"/>
                <w:szCs w:val="21"/>
                <w:u w:val="single" w:color="auto"/>
                <w:lang w:bidi="ar"/>
              </w:rPr>
              <w:t>粉尘</w:t>
            </w:r>
          </w:p>
        </w:tc>
        <w:tc>
          <w:tcPr>
            <w:tcW w:w="1718" w:type="dxa"/>
            <w:tcBorders>
              <w:left w:val="single" w:color="auto" w:sz="4" w:space="0"/>
              <w:right w:val="single" w:color="auto" w:sz="4" w:space="0"/>
            </w:tcBorders>
            <w:vAlign w:val="center"/>
          </w:tcPr>
          <w:p w14:paraId="42EA8AD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4.572</w:t>
            </w:r>
          </w:p>
        </w:tc>
      </w:tr>
      <w:tr w14:paraId="38570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1460" w:type="dxa"/>
            <w:gridSpan w:val="2"/>
            <w:vMerge w:val="continue"/>
            <w:tcBorders>
              <w:left w:val="single" w:color="auto" w:sz="4" w:space="0"/>
              <w:right w:val="single" w:color="auto" w:sz="4" w:space="0"/>
            </w:tcBorders>
            <w:vAlign w:val="center"/>
          </w:tcPr>
          <w:p w14:paraId="5B6EBF42">
            <w:pPr>
              <w:snapToGrid w:val="0"/>
              <w:jc w:val="center"/>
              <w:rPr>
                <w:rFonts w:ascii="Times New Roman" w:hAnsi="Times New Roman" w:eastAsia="宋体" w:cs="Times New Roman"/>
                <w:bCs/>
                <w:color w:val="auto"/>
                <w:kern w:val="28"/>
                <w:szCs w:val="21"/>
                <w:u w:val="single" w:color="auto"/>
              </w:rPr>
            </w:pPr>
          </w:p>
        </w:tc>
        <w:tc>
          <w:tcPr>
            <w:tcW w:w="5286" w:type="dxa"/>
            <w:gridSpan w:val="3"/>
            <w:tcBorders>
              <w:top w:val="single" w:color="auto" w:sz="4" w:space="0"/>
              <w:left w:val="single" w:color="auto" w:sz="4" w:space="0"/>
              <w:bottom w:val="single" w:color="auto" w:sz="4" w:space="0"/>
              <w:right w:val="single" w:color="auto" w:sz="4" w:space="0"/>
            </w:tcBorders>
            <w:vAlign w:val="center"/>
          </w:tcPr>
          <w:p w14:paraId="458A4914">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非甲烷总烃</w:t>
            </w:r>
          </w:p>
        </w:tc>
        <w:tc>
          <w:tcPr>
            <w:tcW w:w="1718" w:type="dxa"/>
            <w:tcBorders>
              <w:left w:val="single" w:color="auto" w:sz="4" w:space="0"/>
              <w:right w:val="single" w:color="auto" w:sz="4" w:space="0"/>
            </w:tcBorders>
            <w:vAlign w:val="center"/>
          </w:tcPr>
          <w:p w14:paraId="2E3B023B">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5.0093</w:t>
            </w:r>
          </w:p>
        </w:tc>
      </w:tr>
      <w:tr w14:paraId="285DD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1460" w:type="dxa"/>
            <w:gridSpan w:val="2"/>
            <w:vMerge w:val="continue"/>
            <w:tcBorders>
              <w:left w:val="single" w:color="auto" w:sz="4" w:space="0"/>
              <w:right w:val="single" w:color="auto" w:sz="4" w:space="0"/>
            </w:tcBorders>
            <w:vAlign w:val="center"/>
          </w:tcPr>
          <w:p w14:paraId="352F9792">
            <w:pPr>
              <w:snapToGrid w:val="0"/>
              <w:jc w:val="center"/>
              <w:rPr>
                <w:rFonts w:ascii="Times New Roman" w:hAnsi="Times New Roman" w:eastAsia="宋体" w:cs="Times New Roman"/>
                <w:bCs/>
                <w:color w:val="auto"/>
                <w:kern w:val="28"/>
                <w:szCs w:val="21"/>
                <w:u w:val="single" w:color="auto"/>
              </w:rPr>
            </w:pPr>
          </w:p>
        </w:tc>
        <w:tc>
          <w:tcPr>
            <w:tcW w:w="5286" w:type="dxa"/>
            <w:gridSpan w:val="3"/>
            <w:tcBorders>
              <w:top w:val="single" w:color="auto" w:sz="4" w:space="0"/>
              <w:left w:val="single" w:color="auto" w:sz="4" w:space="0"/>
              <w:bottom w:val="single" w:color="auto" w:sz="4" w:space="0"/>
              <w:right w:val="single" w:color="auto" w:sz="4" w:space="0"/>
            </w:tcBorders>
            <w:vAlign w:val="center"/>
          </w:tcPr>
          <w:p w14:paraId="6CDE050A">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二甲苯</w:t>
            </w:r>
          </w:p>
        </w:tc>
        <w:tc>
          <w:tcPr>
            <w:tcW w:w="1718" w:type="dxa"/>
            <w:tcBorders>
              <w:left w:val="single" w:color="auto" w:sz="4" w:space="0"/>
              <w:right w:val="single" w:color="auto" w:sz="4" w:space="0"/>
            </w:tcBorders>
            <w:vAlign w:val="center"/>
          </w:tcPr>
          <w:p w14:paraId="022EA8B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2.773</w:t>
            </w:r>
          </w:p>
        </w:tc>
      </w:tr>
      <w:tr w14:paraId="54E21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1460" w:type="dxa"/>
            <w:gridSpan w:val="2"/>
            <w:vMerge w:val="continue"/>
            <w:tcBorders>
              <w:left w:val="single" w:color="auto" w:sz="4" w:space="0"/>
              <w:right w:val="single" w:color="auto" w:sz="4" w:space="0"/>
            </w:tcBorders>
            <w:vAlign w:val="center"/>
          </w:tcPr>
          <w:p w14:paraId="0038689D">
            <w:pPr>
              <w:snapToGrid w:val="0"/>
              <w:jc w:val="center"/>
              <w:rPr>
                <w:rFonts w:ascii="Times New Roman" w:hAnsi="Times New Roman" w:eastAsia="宋体" w:cs="Times New Roman"/>
                <w:bCs/>
                <w:color w:val="auto"/>
                <w:kern w:val="28"/>
                <w:szCs w:val="21"/>
                <w:u w:val="single" w:color="auto"/>
              </w:rPr>
            </w:pPr>
          </w:p>
        </w:tc>
        <w:tc>
          <w:tcPr>
            <w:tcW w:w="5286" w:type="dxa"/>
            <w:gridSpan w:val="3"/>
            <w:tcBorders>
              <w:top w:val="single" w:color="auto" w:sz="4" w:space="0"/>
              <w:left w:val="single" w:color="auto" w:sz="4" w:space="0"/>
              <w:bottom w:val="single" w:color="auto" w:sz="4" w:space="0"/>
              <w:right w:val="single" w:color="auto" w:sz="4" w:space="0"/>
            </w:tcBorders>
            <w:vAlign w:val="center"/>
          </w:tcPr>
          <w:p w14:paraId="7AFBE35B">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甲苯</w:t>
            </w:r>
          </w:p>
        </w:tc>
        <w:tc>
          <w:tcPr>
            <w:tcW w:w="1718" w:type="dxa"/>
            <w:tcBorders>
              <w:left w:val="single" w:color="auto" w:sz="4" w:space="0"/>
              <w:right w:val="single" w:color="auto" w:sz="4" w:space="0"/>
            </w:tcBorders>
            <w:vAlign w:val="center"/>
          </w:tcPr>
          <w:p w14:paraId="3B3BD9BB">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0.007</w:t>
            </w:r>
          </w:p>
        </w:tc>
      </w:tr>
      <w:tr w14:paraId="0BBBC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trHeight w:val="20" w:hRule="atLeast"/>
          <w:jc w:val="center"/>
        </w:trPr>
        <w:tc>
          <w:tcPr>
            <w:tcW w:w="1460" w:type="dxa"/>
            <w:gridSpan w:val="2"/>
            <w:vMerge w:val="continue"/>
            <w:tcBorders>
              <w:left w:val="single" w:color="auto" w:sz="4" w:space="0"/>
              <w:right w:val="single" w:color="auto" w:sz="4" w:space="0"/>
            </w:tcBorders>
            <w:vAlign w:val="center"/>
          </w:tcPr>
          <w:p w14:paraId="52460C5F">
            <w:pPr>
              <w:snapToGrid w:val="0"/>
              <w:jc w:val="center"/>
              <w:rPr>
                <w:rFonts w:ascii="Times New Roman" w:hAnsi="Times New Roman" w:eastAsia="宋体" w:cs="Times New Roman"/>
                <w:bCs/>
                <w:color w:val="auto"/>
                <w:kern w:val="28"/>
                <w:szCs w:val="21"/>
                <w:u w:val="single" w:color="auto"/>
              </w:rPr>
            </w:pPr>
          </w:p>
        </w:tc>
        <w:tc>
          <w:tcPr>
            <w:tcW w:w="5286" w:type="dxa"/>
            <w:gridSpan w:val="3"/>
            <w:tcBorders>
              <w:top w:val="single" w:color="auto" w:sz="4" w:space="0"/>
              <w:left w:val="single" w:color="auto" w:sz="4" w:space="0"/>
              <w:bottom w:val="single" w:color="auto" w:sz="4" w:space="0"/>
              <w:right w:val="single" w:color="auto" w:sz="4" w:space="0"/>
            </w:tcBorders>
            <w:vAlign w:val="center"/>
          </w:tcPr>
          <w:p w14:paraId="28B7B0BC">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eastAsia" w:ascii="宋体" w:hAnsi="宋体" w:eastAsia="宋体" w:cs="宋体"/>
                <w:i w:val="0"/>
                <w:iCs w:val="0"/>
                <w:color w:val="auto"/>
                <w:kern w:val="0"/>
                <w:sz w:val="21"/>
                <w:szCs w:val="21"/>
                <w:u w:val="single" w:color="auto"/>
                <w:lang w:val="en-US" w:eastAsia="zh-CN" w:bidi="ar"/>
              </w:rPr>
              <w:t>漆雾</w:t>
            </w:r>
          </w:p>
        </w:tc>
        <w:tc>
          <w:tcPr>
            <w:tcW w:w="1718" w:type="dxa"/>
            <w:tcBorders>
              <w:left w:val="single" w:color="auto" w:sz="4" w:space="0"/>
              <w:right w:val="single" w:color="auto" w:sz="4" w:space="0"/>
            </w:tcBorders>
            <w:vAlign w:val="center"/>
          </w:tcPr>
          <w:p w14:paraId="35577650">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13.161</w:t>
            </w:r>
          </w:p>
        </w:tc>
      </w:tr>
    </w:tbl>
    <w:p w14:paraId="2C81A6E2">
      <w:pPr>
        <w:autoSpaceDE w:val="0"/>
        <w:autoSpaceDN w:val="0"/>
        <w:spacing w:before="156" w:beforeLines="50"/>
        <w:contextualSpacing/>
        <w:jc w:val="center"/>
        <w:rPr>
          <w:rFonts w:ascii="Times New Roman" w:hAnsi="Times New Roman" w:eastAsia="宋体" w:cs="Times New Roman"/>
          <w:b/>
          <w:color w:val="auto"/>
          <w:kern w:val="0"/>
          <w:sz w:val="24"/>
          <w:szCs w:val="24"/>
          <w:u w:val="single" w:color="auto"/>
        </w:rPr>
      </w:pPr>
      <w:r>
        <w:rPr>
          <w:rFonts w:ascii="Times New Roman" w:hAnsi="Times New Roman" w:eastAsia="宋体" w:cs="Times New Roman"/>
          <w:b/>
          <w:color w:val="auto"/>
          <w:kern w:val="0"/>
          <w:sz w:val="24"/>
          <w:szCs w:val="24"/>
          <w:u w:val="single" w:color="auto"/>
        </w:rPr>
        <w:t>表</w:t>
      </w:r>
      <w:r>
        <w:rPr>
          <w:rFonts w:hint="eastAsia" w:ascii="Times New Roman" w:hAnsi="Times New Roman" w:eastAsia="宋体" w:cs="Times New Roman"/>
          <w:b/>
          <w:color w:val="auto"/>
          <w:kern w:val="0"/>
          <w:sz w:val="24"/>
          <w:szCs w:val="24"/>
          <w:u w:val="single" w:color="auto"/>
        </w:rPr>
        <w:t>4.2</w:t>
      </w:r>
      <w:r>
        <w:rPr>
          <w:rFonts w:ascii="Times New Roman" w:hAnsi="Times New Roman" w:eastAsia="宋体"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rPr>
        <w:t>34</w:t>
      </w:r>
      <w:r>
        <w:rPr>
          <w:rFonts w:ascii="Times New Roman" w:hAnsi="Times New Roman" w:eastAsia="宋体" w:cs="Times New Roman"/>
          <w:b/>
          <w:color w:val="auto"/>
          <w:kern w:val="0"/>
          <w:sz w:val="24"/>
          <w:szCs w:val="24"/>
          <w:u w:val="single" w:color="auto"/>
        </w:rPr>
        <w:t xml:space="preserve"> 大气污染物无组织排放量核算表</w:t>
      </w:r>
    </w:p>
    <w:tbl>
      <w:tblPr>
        <w:tblStyle w:val="37"/>
        <w:tblW w:w="84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79" w:type="dxa"/>
          <w:bottom w:w="85" w:type="dxa"/>
          <w:right w:w="79" w:type="dxa"/>
        </w:tblCellMar>
      </w:tblPr>
      <w:tblGrid>
        <w:gridCol w:w="558"/>
        <w:gridCol w:w="944"/>
        <w:gridCol w:w="1144"/>
        <w:gridCol w:w="1276"/>
        <w:gridCol w:w="1739"/>
        <w:gridCol w:w="1789"/>
        <w:gridCol w:w="1014"/>
      </w:tblGrid>
      <w:tr w14:paraId="5BABD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restart"/>
            <w:tcBorders>
              <w:top w:val="single" w:color="auto" w:sz="4" w:space="0"/>
              <w:left w:val="single" w:color="auto" w:sz="4" w:space="0"/>
              <w:bottom w:val="single" w:color="auto" w:sz="4" w:space="0"/>
              <w:right w:val="single" w:color="auto" w:sz="4" w:space="0"/>
            </w:tcBorders>
            <w:vAlign w:val="center"/>
          </w:tcPr>
          <w:p w14:paraId="3D61B41F">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序号</w:t>
            </w:r>
          </w:p>
        </w:tc>
        <w:tc>
          <w:tcPr>
            <w:tcW w:w="944" w:type="dxa"/>
            <w:vMerge w:val="restart"/>
            <w:tcBorders>
              <w:top w:val="single" w:color="auto" w:sz="4" w:space="0"/>
              <w:left w:val="single" w:color="auto" w:sz="4" w:space="0"/>
              <w:right w:val="single" w:color="auto" w:sz="4" w:space="0"/>
            </w:tcBorders>
            <w:vAlign w:val="center"/>
          </w:tcPr>
          <w:p w14:paraId="6F9DC473">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产污环节</w:t>
            </w:r>
          </w:p>
        </w:tc>
        <w:tc>
          <w:tcPr>
            <w:tcW w:w="1144" w:type="dxa"/>
            <w:vMerge w:val="restart"/>
            <w:tcBorders>
              <w:top w:val="single" w:color="auto" w:sz="4" w:space="0"/>
              <w:left w:val="single" w:color="auto" w:sz="4" w:space="0"/>
              <w:bottom w:val="single" w:color="auto" w:sz="4" w:space="0"/>
              <w:right w:val="single" w:color="auto" w:sz="4" w:space="0"/>
            </w:tcBorders>
            <w:vAlign w:val="center"/>
          </w:tcPr>
          <w:p w14:paraId="285213C7">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污染物种类</w:t>
            </w:r>
          </w:p>
        </w:tc>
        <w:tc>
          <w:tcPr>
            <w:tcW w:w="1276" w:type="dxa"/>
            <w:vMerge w:val="restart"/>
            <w:tcBorders>
              <w:top w:val="single" w:color="auto" w:sz="4" w:space="0"/>
              <w:left w:val="single" w:color="auto" w:sz="4" w:space="0"/>
              <w:bottom w:val="single" w:color="auto" w:sz="4" w:space="0"/>
              <w:right w:val="single" w:color="auto" w:sz="4" w:space="0"/>
            </w:tcBorders>
            <w:vAlign w:val="center"/>
          </w:tcPr>
          <w:p w14:paraId="0376B629">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主要污染防治措施</w:t>
            </w:r>
          </w:p>
        </w:tc>
        <w:tc>
          <w:tcPr>
            <w:tcW w:w="3528" w:type="dxa"/>
            <w:gridSpan w:val="2"/>
            <w:tcBorders>
              <w:top w:val="single" w:color="auto" w:sz="4" w:space="0"/>
              <w:left w:val="single" w:color="auto" w:sz="4" w:space="0"/>
              <w:bottom w:val="single" w:color="auto" w:sz="4" w:space="0"/>
              <w:right w:val="single" w:color="auto" w:sz="4" w:space="0"/>
            </w:tcBorders>
            <w:vAlign w:val="center"/>
          </w:tcPr>
          <w:p w14:paraId="414E1AD4">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国家或地方污染物排放标准</w:t>
            </w:r>
          </w:p>
        </w:tc>
        <w:tc>
          <w:tcPr>
            <w:tcW w:w="1014" w:type="dxa"/>
            <w:vMerge w:val="restart"/>
            <w:tcBorders>
              <w:top w:val="single" w:color="auto" w:sz="4" w:space="0"/>
              <w:left w:val="single" w:color="auto" w:sz="4" w:space="0"/>
              <w:right w:val="single" w:color="auto" w:sz="4" w:space="0"/>
            </w:tcBorders>
            <w:vAlign w:val="center"/>
          </w:tcPr>
          <w:p w14:paraId="2B29C046">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年排放量/（t/a）</w:t>
            </w:r>
          </w:p>
        </w:tc>
      </w:tr>
      <w:tr w14:paraId="6FAA7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continue"/>
            <w:tcBorders>
              <w:top w:val="single" w:color="auto" w:sz="4" w:space="0"/>
              <w:left w:val="single" w:color="auto" w:sz="4" w:space="0"/>
              <w:bottom w:val="single" w:color="auto" w:sz="4" w:space="0"/>
              <w:right w:val="single" w:color="auto" w:sz="4" w:space="0"/>
            </w:tcBorders>
            <w:vAlign w:val="center"/>
          </w:tcPr>
          <w:p w14:paraId="7D90116D">
            <w:pPr>
              <w:widowControl/>
              <w:ind w:left="-73" w:leftChars="-35" w:right="-73" w:rightChars="-35"/>
              <w:jc w:val="center"/>
              <w:rPr>
                <w:rFonts w:ascii="Times New Roman" w:hAnsi="Times New Roman" w:eastAsia="宋体" w:cs="Times New Roman"/>
                <w:b/>
                <w:color w:val="auto"/>
                <w:szCs w:val="21"/>
                <w:u w:val="single" w:color="auto"/>
              </w:rPr>
            </w:pPr>
          </w:p>
        </w:tc>
        <w:tc>
          <w:tcPr>
            <w:tcW w:w="944" w:type="dxa"/>
            <w:vMerge w:val="continue"/>
            <w:tcBorders>
              <w:left w:val="single" w:color="auto" w:sz="4" w:space="0"/>
              <w:bottom w:val="single" w:color="auto" w:sz="4" w:space="0"/>
              <w:right w:val="single" w:color="auto" w:sz="4" w:space="0"/>
            </w:tcBorders>
            <w:vAlign w:val="center"/>
          </w:tcPr>
          <w:p w14:paraId="769A0BD7">
            <w:pPr>
              <w:widowControl/>
              <w:ind w:left="-73" w:leftChars="-35" w:right="-73" w:rightChars="-35"/>
              <w:jc w:val="center"/>
              <w:rPr>
                <w:rFonts w:ascii="Times New Roman" w:hAnsi="Times New Roman" w:eastAsia="宋体" w:cs="Times New Roman"/>
                <w:b/>
                <w:color w:val="auto"/>
                <w:szCs w:val="21"/>
                <w:u w:val="single" w:color="auto"/>
              </w:rPr>
            </w:pPr>
          </w:p>
        </w:tc>
        <w:tc>
          <w:tcPr>
            <w:tcW w:w="1144" w:type="dxa"/>
            <w:vMerge w:val="continue"/>
            <w:tcBorders>
              <w:top w:val="single" w:color="auto" w:sz="4" w:space="0"/>
              <w:left w:val="single" w:color="auto" w:sz="4" w:space="0"/>
              <w:bottom w:val="single" w:color="auto" w:sz="4" w:space="0"/>
              <w:right w:val="single" w:color="auto" w:sz="4" w:space="0"/>
            </w:tcBorders>
            <w:vAlign w:val="center"/>
          </w:tcPr>
          <w:p w14:paraId="07005BCF">
            <w:pPr>
              <w:widowControl/>
              <w:ind w:left="-73" w:leftChars="-35" w:right="-73" w:rightChars="-35"/>
              <w:jc w:val="center"/>
              <w:rPr>
                <w:rFonts w:ascii="Times New Roman" w:hAnsi="Times New Roman" w:eastAsia="宋体" w:cs="Times New Roman"/>
                <w:b/>
                <w:color w:val="auto"/>
                <w:szCs w:val="21"/>
                <w:u w:val="single" w:color="auto"/>
              </w:rPr>
            </w:pPr>
          </w:p>
        </w:tc>
        <w:tc>
          <w:tcPr>
            <w:tcW w:w="1276" w:type="dxa"/>
            <w:vMerge w:val="continue"/>
            <w:tcBorders>
              <w:top w:val="single" w:color="auto" w:sz="4" w:space="0"/>
              <w:left w:val="single" w:color="auto" w:sz="4" w:space="0"/>
              <w:bottom w:val="single" w:color="auto" w:sz="4" w:space="0"/>
              <w:right w:val="single" w:color="auto" w:sz="4" w:space="0"/>
            </w:tcBorders>
            <w:vAlign w:val="center"/>
          </w:tcPr>
          <w:p w14:paraId="0C38E25B">
            <w:pPr>
              <w:widowControl/>
              <w:ind w:left="-73" w:leftChars="-35" w:right="-73" w:rightChars="-35"/>
              <w:jc w:val="center"/>
              <w:rPr>
                <w:rFonts w:ascii="Times New Roman" w:hAnsi="Times New Roman" w:eastAsia="宋体" w:cs="Times New Roman"/>
                <w:b/>
                <w:color w:val="auto"/>
                <w:szCs w:val="21"/>
                <w:u w:val="single" w:color="auto"/>
              </w:rPr>
            </w:pPr>
          </w:p>
        </w:tc>
        <w:tc>
          <w:tcPr>
            <w:tcW w:w="1739" w:type="dxa"/>
            <w:tcBorders>
              <w:top w:val="single" w:color="auto" w:sz="4" w:space="0"/>
              <w:left w:val="single" w:color="auto" w:sz="4" w:space="0"/>
              <w:bottom w:val="single" w:color="auto" w:sz="4" w:space="0"/>
              <w:right w:val="single" w:color="auto" w:sz="4" w:space="0"/>
            </w:tcBorders>
            <w:vAlign w:val="center"/>
          </w:tcPr>
          <w:p w14:paraId="6165ECD1">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标准名称</w:t>
            </w:r>
          </w:p>
        </w:tc>
        <w:tc>
          <w:tcPr>
            <w:tcW w:w="1789" w:type="dxa"/>
            <w:tcBorders>
              <w:top w:val="single" w:color="auto" w:sz="4" w:space="0"/>
              <w:left w:val="single" w:color="auto" w:sz="4" w:space="0"/>
              <w:bottom w:val="single" w:color="auto" w:sz="4" w:space="0"/>
              <w:right w:val="single" w:color="auto" w:sz="4" w:space="0"/>
            </w:tcBorders>
            <w:vAlign w:val="center"/>
          </w:tcPr>
          <w:p w14:paraId="5C7E05C5">
            <w:pPr>
              <w:snapToGrid w:val="0"/>
              <w:ind w:left="-73" w:leftChars="-35" w:right="-73" w:rightChars="-35"/>
              <w:jc w:val="center"/>
              <w:rPr>
                <w:rFonts w:ascii="Times New Roman" w:hAnsi="Times New Roman" w:eastAsia="宋体" w:cs="Times New Roman"/>
                <w:b/>
                <w:bCs/>
                <w:color w:val="auto"/>
                <w:kern w:val="28"/>
                <w:szCs w:val="21"/>
                <w:u w:val="single" w:color="auto"/>
              </w:rPr>
            </w:pPr>
            <w:r>
              <w:rPr>
                <w:rFonts w:ascii="Times New Roman" w:hAnsi="Times New Roman" w:eastAsia="宋体" w:cs="Times New Roman"/>
                <w:b/>
                <w:bCs/>
                <w:color w:val="auto"/>
                <w:kern w:val="28"/>
                <w:szCs w:val="21"/>
                <w:u w:val="single" w:color="auto"/>
              </w:rPr>
              <w:t>浓度限值/（mg/m</w:t>
            </w:r>
            <w:r>
              <w:rPr>
                <w:rFonts w:ascii="Times New Roman" w:hAnsi="Times New Roman" w:eastAsia="宋体" w:cs="Times New Roman"/>
                <w:b/>
                <w:bCs/>
                <w:color w:val="auto"/>
                <w:kern w:val="28"/>
                <w:szCs w:val="21"/>
                <w:u w:val="single" w:color="auto"/>
                <w:vertAlign w:val="superscript"/>
              </w:rPr>
              <w:t>3</w:t>
            </w:r>
            <w:r>
              <w:rPr>
                <w:rFonts w:ascii="Times New Roman" w:hAnsi="Times New Roman" w:eastAsia="宋体" w:cs="Times New Roman"/>
                <w:b/>
                <w:bCs/>
                <w:color w:val="auto"/>
                <w:kern w:val="28"/>
                <w:szCs w:val="21"/>
                <w:u w:val="single" w:color="auto"/>
              </w:rPr>
              <w:t>）</w:t>
            </w:r>
          </w:p>
        </w:tc>
        <w:tc>
          <w:tcPr>
            <w:tcW w:w="1014" w:type="dxa"/>
            <w:vMerge w:val="continue"/>
            <w:tcBorders>
              <w:left w:val="single" w:color="auto" w:sz="4" w:space="0"/>
              <w:bottom w:val="single" w:color="auto" w:sz="4" w:space="0"/>
              <w:right w:val="single" w:color="auto" w:sz="4" w:space="0"/>
            </w:tcBorders>
            <w:vAlign w:val="center"/>
          </w:tcPr>
          <w:p w14:paraId="0DAD8698">
            <w:pPr>
              <w:widowControl/>
              <w:ind w:left="-73" w:leftChars="-35" w:right="-73" w:rightChars="-35"/>
              <w:jc w:val="center"/>
              <w:rPr>
                <w:rFonts w:ascii="Times New Roman" w:hAnsi="Times New Roman" w:eastAsia="宋体" w:cs="Times New Roman"/>
                <w:b/>
                <w:color w:val="auto"/>
                <w:szCs w:val="21"/>
                <w:u w:val="single" w:color="auto"/>
              </w:rPr>
            </w:pPr>
          </w:p>
        </w:tc>
      </w:tr>
      <w:tr w14:paraId="13C40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tcBorders>
              <w:top w:val="single" w:color="auto" w:sz="4" w:space="0"/>
              <w:left w:val="single" w:color="auto" w:sz="4" w:space="0"/>
              <w:right w:val="single" w:color="auto" w:sz="4" w:space="0"/>
            </w:tcBorders>
            <w:vAlign w:val="center"/>
          </w:tcPr>
          <w:p w14:paraId="07351816">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1</w:t>
            </w:r>
          </w:p>
        </w:tc>
        <w:tc>
          <w:tcPr>
            <w:tcW w:w="944" w:type="dxa"/>
            <w:tcBorders>
              <w:top w:val="single" w:color="auto" w:sz="4" w:space="0"/>
              <w:left w:val="single" w:color="auto" w:sz="4" w:space="0"/>
              <w:right w:val="single" w:color="auto" w:sz="4" w:space="0"/>
            </w:tcBorders>
            <w:vAlign w:val="center"/>
          </w:tcPr>
          <w:p w14:paraId="6A9B1EB7">
            <w:pPr>
              <w:widowControl/>
              <w:jc w:val="center"/>
              <w:textAlignment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kern w:val="0"/>
                <w:szCs w:val="21"/>
                <w:u w:val="single" w:color="auto"/>
                <w:lang w:bidi="ar"/>
              </w:rPr>
              <w:t>切割</w:t>
            </w:r>
          </w:p>
        </w:tc>
        <w:tc>
          <w:tcPr>
            <w:tcW w:w="1144" w:type="dxa"/>
            <w:tcBorders>
              <w:top w:val="single" w:color="auto" w:sz="4" w:space="0"/>
              <w:left w:val="single" w:color="auto" w:sz="4" w:space="0"/>
              <w:bottom w:val="single" w:color="auto" w:sz="4" w:space="0"/>
              <w:right w:val="single" w:color="auto" w:sz="4" w:space="0"/>
            </w:tcBorders>
            <w:vAlign w:val="center"/>
          </w:tcPr>
          <w:p w14:paraId="2FEB2CA5">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粉尘</w:t>
            </w:r>
          </w:p>
        </w:tc>
        <w:tc>
          <w:tcPr>
            <w:tcW w:w="1276" w:type="dxa"/>
            <w:vMerge w:val="restart"/>
            <w:tcBorders>
              <w:top w:val="single" w:color="auto" w:sz="4" w:space="0"/>
              <w:left w:val="single" w:color="auto" w:sz="4" w:space="0"/>
              <w:right w:val="single" w:color="auto" w:sz="4" w:space="0"/>
            </w:tcBorders>
            <w:vAlign w:val="center"/>
          </w:tcPr>
          <w:p w14:paraId="126D943E">
            <w:pPr>
              <w:snapToGrid w:val="0"/>
              <w:ind w:left="-73" w:leftChars="-35" w:right="-73" w:rightChars="-35"/>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rPr>
              <w:t>集气罩+移动式粉尘收集净化器，车间沉降</w:t>
            </w:r>
          </w:p>
        </w:tc>
        <w:tc>
          <w:tcPr>
            <w:tcW w:w="1739" w:type="dxa"/>
            <w:vMerge w:val="restart"/>
            <w:tcBorders>
              <w:top w:val="single" w:color="auto" w:sz="4" w:space="0"/>
              <w:left w:val="single" w:color="auto" w:sz="4" w:space="0"/>
              <w:right w:val="single" w:color="auto" w:sz="4" w:space="0"/>
            </w:tcBorders>
            <w:vAlign w:val="center"/>
          </w:tcPr>
          <w:p w14:paraId="060D6530">
            <w:pPr>
              <w:widowControl/>
              <w:jc w:val="left"/>
              <w:rPr>
                <w:rFonts w:ascii="Times New Roman" w:hAnsi="Times New Roman" w:cs="Times New Roman"/>
                <w:color w:val="auto"/>
                <w:szCs w:val="21"/>
                <w:u w:val="single" w:color="auto"/>
              </w:rPr>
            </w:pPr>
            <w:r>
              <w:rPr>
                <w:rFonts w:ascii="Times New Roman" w:hAnsi="Times New Roman" w:cs="Times New Roman"/>
                <w:color w:val="auto"/>
                <w:szCs w:val="21"/>
                <w:u w:val="single" w:color="auto"/>
              </w:rPr>
              <w:t>《大气污染物综合排放标准》（GB 16297-1996）</w:t>
            </w:r>
          </w:p>
          <w:p w14:paraId="4E9EEC07">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vMerge w:val="restart"/>
            <w:tcBorders>
              <w:top w:val="single" w:color="auto" w:sz="4" w:space="0"/>
              <w:left w:val="single" w:color="auto" w:sz="4" w:space="0"/>
              <w:right w:val="single" w:color="auto" w:sz="4" w:space="0"/>
            </w:tcBorders>
            <w:vAlign w:val="center"/>
          </w:tcPr>
          <w:p w14:paraId="68EF554E">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1.0</w:t>
            </w:r>
          </w:p>
        </w:tc>
        <w:tc>
          <w:tcPr>
            <w:tcW w:w="1014" w:type="dxa"/>
            <w:tcBorders>
              <w:left w:val="single" w:color="auto" w:sz="4" w:space="0"/>
              <w:right w:val="single" w:color="auto" w:sz="4" w:space="0"/>
            </w:tcBorders>
            <w:vAlign w:val="center"/>
          </w:tcPr>
          <w:p w14:paraId="35E6A4EC">
            <w:pPr>
              <w:widowControl/>
              <w:jc w:val="center"/>
              <w:textAlignment w:val="center"/>
              <w:rPr>
                <w:rFonts w:hint="default" w:ascii="Times New Roman" w:hAnsi="Times New Roman" w:eastAsia="宋体" w:cs="Times New Roman"/>
                <w:color w:val="auto"/>
                <w:kern w:val="0"/>
                <w:szCs w:val="21"/>
                <w:u w:val="single" w:color="auto"/>
                <w:lang w:val="en-US"/>
              </w:rPr>
            </w:pPr>
            <w:r>
              <w:rPr>
                <w:rFonts w:hint="eastAsia" w:ascii="Times New Roman" w:hAnsi="Times New Roman" w:eastAsia="宋体" w:cs="Times New Roman"/>
                <w:color w:val="auto"/>
                <w:szCs w:val="21"/>
                <w:u w:val="single" w:color="auto"/>
                <w:lang w:val="en-US" w:eastAsia="zh-CN"/>
              </w:rPr>
              <w:t>20.719</w:t>
            </w:r>
          </w:p>
        </w:tc>
      </w:tr>
      <w:tr w14:paraId="0D5B6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tcBorders>
              <w:top w:val="single" w:color="auto" w:sz="4" w:space="0"/>
              <w:left w:val="single" w:color="auto" w:sz="4" w:space="0"/>
              <w:right w:val="single" w:color="auto" w:sz="4" w:space="0"/>
            </w:tcBorders>
            <w:vAlign w:val="center"/>
          </w:tcPr>
          <w:p w14:paraId="7D54ADF8">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2</w:t>
            </w:r>
          </w:p>
        </w:tc>
        <w:tc>
          <w:tcPr>
            <w:tcW w:w="944" w:type="dxa"/>
            <w:tcBorders>
              <w:top w:val="single" w:color="auto" w:sz="4" w:space="0"/>
              <w:left w:val="single" w:color="auto" w:sz="4" w:space="0"/>
              <w:right w:val="single" w:color="auto" w:sz="4" w:space="0"/>
            </w:tcBorders>
            <w:vAlign w:val="center"/>
          </w:tcPr>
          <w:p w14:paraId="4A76B3E5">
            <w:pPr>
              <w:widowControl/>
              <w:jc w:val="center"/>
              <w:textAlignment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kern w:val="0"/>
                <w:szCs w:val="21"/>
                <w:u w:val="single" w:color="auto"/>
                <w:lang w:bidi="ar"/>
              </w:rPr>
              <w:t>焊接</w:t>
            </w:r>
          </w:p>
        </w:tc>
        <w:tc>
          <w:tcPr>
            <w:tcW w:w="1144" w:type="dxa"/>
            <w:tcBorders>
              <w:top w:val="single" w:color="auto" w:sz="4" w:space="0"/>
              <w:left w:val="single" w:color="auto" w:sz="4" w:space="0"/>
              <w:bottom w:val="single" w:color="auto" w:sz="4" w:space="0"/>
              <w:right w:val="single" w:color="auto" w:sz="4" w:space="0"/>
            </w:tcBorders>
            <w:vAlign w:val="center"/>
          </w:tcPr>
          <w:p w14:paraId="5809E606">
            <w:pPr>
              <w:snapToGrid w:val="0"/>
              <w:ind w:left="-73" w:leftChars="-35" w:right="-73" w:rightChars="-35"/>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rPr>
              <w:t>烟尘</w:t>
            </w:r>
          </w:p>
        </w:tc>
        <w:tc>
          <w:tcPr>
            <w:tcW w:w="1276" w:type="dxa"/>
            <w:vMerge w:val="continue"/>
            <w:tcBorders>
              <w:left w:val="single" w:color="auto" w:sz="4" w:space="0"/>
              <w:right w:val="single" w:color="auto" w:sz="4" w:space="0"/>
            </w:tcBorders>
            <w:vAlign w:val="center"/>
          </w:tcPr>
          <w:p w14:paraId="315BF55E">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39" w:type="dxa"/>
            <w:vMerge w:val="continue"/>
            <w:tcBorders>
              <w:left w:val="single" w:color="auto" w:sz="4" w:space="0"/>
              <w:right w:val="single" w:color="auto" w:sz="4" w:space="0"/>
            </w:tcBorders>
            <w:vAlign w:val="center"/>
          </w:tcPr>
          <w:p w14:paraId="5931B501">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vMerge w:val="continue"/>
            <w:tcBorders>
              <w:left w:val="single" w:color="auto" w:sz="4" w:space="0"/>
              <w:right w:val="single" w:color="auto" w:sz="4" w:space="0"/>
            </w:tcBorders>
            <w:vAlign w:val="center"/>
          </w:tcPr>
          <w:p w14:paraId="23083087">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014" w:type="dxa"/>
            <w:tcBorders>
              <w:left w:val="single" w:color="auto" w:sz="4" w:space="0"/>
              <w:right w:val="single" w:color="auto" w:sz="4" w:space="0"/>
            </w:tcBorders>
            <w:vAlign w:val="center"/>
          </w:tcPr>
          <w:p w14:paraId="0282D4D3">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2.34</w:t>
            </w:r>
          </w:p>
        </w:tc>
      </w:tr>
      <w:tr w14:paraId="1AAFF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tcBorders>
              <w:top w:val="single" w:color="auto" w:sz="4" w:space="0"/>
              <w:left w:val="single" w:color="auto" w:sz="4" w:space="0"/>
              <w:right w:val="single" w:color="auto" w:sz="4" w:space="0"/>
            </w:tcBorders>
            <w:vAlign w:val="center"/>
          </w:tcPr>
          <w:p w14:paraId="7096C859">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3</w:t>
            </w:r>
          </w:p>
        </w:tc>
        <w:tc>
          <w:tcPr>
            <w:tcW w:w="944" w:type="dxa"/>
            <w:tcBorders>
              <w:top w:val="single" w:color="auto" w:sz="4" w:space="0"/>
              <w:left w:val="single" w:color="auto" w:sz="4" w:space="0"/>
              <w:right w:val="single" w:color="auto" w:sz="4" w:space="0"/>
            </w:tcBorders>
            <w:vAlign w:val="center"/>
          </w:tcPr>
          <w:p w14:paraId="63C9B989">
            <w:pPr>
              <w:widowControl/>
              <w:jc w:val="center"/>
              <w:textAlignment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抛丸、喷砂</w:t>
            </w:r>
          </w:p>
        </w:tc>
        <w:tc>
          <w:tcPr>
            <w:tcW w:w="1144" w:type="dxa"/>
            <w:tcBorders>
              <w:top w:val="single" w:color="auto" w:sz="4" w:space="0"/>
              <w:left w:val="single" w:color="auto" w:sz="4" w:space="0"/>
              <w:bottom w:val="single" w:color="auto" w:sz="4" w:space="0"/>
              <w:right w:val="single" w:color="auto" w:sz="4" w:space="0"/>
            </w:tcBorders>
            <w:vAlign w:val="center"/>
          </w:tcPr>
          <w:p w14:paraId="4DEF8DD2">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粉尘</w:t>
            </w:r>
          </w:p>
        </w:tc>
        <w:tc>
          <w:tcPr>
            <w:tcW w:w="1276" w:type="dxa"/>
            <w:vMerge w:val="continue"/>
            <w:tcBorders>
              <w:left w:val="single" w:color="auto" w:sz="4" w:space="0"/>
              <w:right w:val="single" w:color="auto" w:sz="4" w:space="0"/>
            </w:tcBorders>
            <w:vAlign w:val="center"/>
          </w:tcPr>
          <w:p w14:paraId="6F0CED5D">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39" w:type="dxa"/>
            <w:vMerge w:val="continue"/>
            <w:tcBorders>
              <w:left w:val="single" w:color="auto" w:sz="4" w:space="0"/>
              <w:right w:val="single" w:color="auto" w:sz="4" w:space="0"/>
            </w:tcBorders>
            <w:vAlign w:val="center"/>
          </w:tcPr>
          <w:p w14:paraId="2B4CB0BE">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vMerge w:val="continue"/>
            <w:tcBorders>
              <w:left w:val="single" w:color="auto" w:sz="4" w:space="0"/>
              <w:right w:val="single" w:color="auto" w:sz="4" w:space="0"/>
            </w:tcBorders>
            <w:vAlign w:val="center"/>
          </w:tcPr>
          <w:p w14:paraId="6063F72D">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014" w:type="dxa"/>
            <w:tcBorders>
              <w:left w:val="single" w:color="auto" w:sz="4" w:space="0"/>
              <w:right w:val="single" w:color="auto" w:sz="4" w:space="0"/>
            </w:tcBorders>
            <w:vAlign w:val="center"/>
          </w:tcPr>
          <w:p w14:paraId="16A39ED2">
            <w:pPr>
              <w:widowControl/>
              <w:jc w:val="center"/>
              <w:textAlignment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2.54</w:t>
            </w:r>
          </w:p>
        </w:tc>
      </w:tr>
      <w:tr w14:paraId="7E183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restart"/>
            <w:tcBorders>
              <w:top w:val="single" w:color="auto" w:sz="4" w:space="0"/>
              <w:left w:val="single" w:color="auto" w:sz="4" w:space="0"/>
              <w:right w:val="single" w:color="auto" w:sz="4" w:space="0"/>
            </w:tcBorders>
            <w:vAlign w:val="center"/>
          </w:tcPr>
          <w:p w14:paraId="1F3F62E2">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4</w:t>
            </w:r>
          </w:p>
        </w:tc>
        <w:tc>
          <w:tcPr>
            <w:tcW w:w="944" w:type="dxa"/>
            <w:vMerge w:val="restart"/>
            <w:tcBorders>
              <w:top w:val="single" w:color="auto" w:sz="4" w:space="0"/>
              <w:left w:val="single" w:color="auto" w:sz="4" w:space="0"/>
              <w:right w:val="single" w:color="auto" w:sz="4" w:space="0"/>
            </w:tcBorders>
            <w:vAlign w:val="center"/>
          </w:tcPr>
          <w:p w14:paraId="10EF1338">
            <w:pPr>
              <w:widowControl/>
              <w:jc w:val="center"/>
              <w:textAlignment w:val="center"/>
              <w:rPr>
                <w:rFonts w:ascii="Times New Roman" w:hAnsi="Times New Roman" w:eastAsia="宋体" w:cs="Times New Roman"/>
                <w:color w:val="auto"/>
                <w:kern w:val="0"/>
                <w:szCs w:val="21"/>
                <w:u w:val="single" w:color="auto"/>
                <w:lang w:bidi="ar"/>
              </w:rPr>
            </w:pPr>
            <w:r>
              <w:rPr>
                <w:rFonts w:ascii="Times New Roman" w:hAnsi="Times New Roman" w:eastAsia="宋体" w:cs="Times New Roman"/>
                <w:color w:val="auto"/>
                <w:kern w:val="0"/>
                <w:szCs w:val="21"/>
                <w:u w:val="single" w:color="auto"/>
                <w:lang w:bidi="ar"/>
              </w:rPr>
              <w:t>喷漆</w:t>
            </w:r>
          </w:p>
        </w:tc>
        <w:tc>
          <w:tcPr>
            <w:tcW w:w="1144" w:type="dxa"/>
            <w:tcBorders>
              <w:top w:val="single" w:color="auto" w:sz="4" w:space="0"/>
              <w:left w:val="single" w:color="auto" w:sz="4" w:space="0"/>
              <w:bottom w:val="single" w:color="auto" w:sz="4" w:space="0"/>
              <w:right w:val="single" w:color="auto" w:sz="4" w:space="0"/>
            </w:tcBorders>
            <w:vAlign w:val="center"/>
          </w:tcPr>
          <w:p w14:paraId="0DA36949">
            <w:pPr>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szCs w:val="21"/>
                <w:u w:val="single" w:color="auto"/>
              </w:rPr>
              <w:t>漆雾</w:t>
            </w:r>
          </w:p>
        </w:tc>
        <w:tc>
          <w:tcPr>
            <w:tcW w:w="1276" w:type="dxa"/>
            <w:vMerge w:val="restart"/>
            <w:tcBorders>
              <w:left w:val="single" w:color="auto" w:sz="4" w:space="0"/>
              <w:right w:val="single" w:color="auto" w:sz="4" w:space="0"/>
            </w:tcBorders>
            <w:vAlign w:val="center"/>
          </w:tcPr>
          <w:p w14:paraId="1D8CB6F2">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提高收集效率</w:t>
            </w:r>
            <w:r>
              <w:rPr>
                <w:rFonts w:hint="eastAsia" w:ascii="Times New Roman" w:hAnsi="Times New Roman" w:eastAsia="宋体" w:cs="Times New Roman"/>
                <w:bCs/>
                <w:color w:val="auto"/>
                <w:kern w:val="28"/>
                <w:szCs w:val="21"/>
                <w:u w:val="single" w:color="auto"/>
              </w:rPr>
              <w:t>，车间通风</w:t>
            </w:r>
          </w:p>
        </w:tc>
        <w:tc>
          <w:tcPr>
            <w:tcW w:w="1739" w:type="dxa"/>
            <w:vMerge w:val="restart"/>
            <w:tcBorders>
              <w:left w:val="single" w:color="auto" w:sz="4" w:space="0"/>
              <w:right w:val="single" w:color="auto" w:sz="4" w:space="0"/>
            </w:tcBorders>
            <w:vAlign w:val="center"/>
          </w:tcPr>
          <w:p w14:paraId="4EF2A16A">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《大气污染物综合排放标准》（GB 16297-1996）</w:t>
            </w:r>
          </w:p>
        </w:tc>
        <w:tc>
          <w:tcPr>
            <w:tcW w:w="1789" w:type="dxa"/>
            <w:tcBorders>
              <w:left w:val="single" w:color="auto" w:sz="4" w:space="0"/>
              <w:bottom w:val="single" w:color="auto" w:sz="4" w:space="0"/>
              <w:right w:val="single" w:color="auto" w:sz="4" w:space="0"/>
            </w:tcBorders>
            <w:vAlign w:val="center"/>
          </w:tcPr>
          <w:p w14:paraId="032CAE1C">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1.0</w:t>
            </w:r>
          </w:p>
        </w:tc>
        <w:tc>
          <w:tcPr>
            <w:tcW w:w="1014" w:type="dxa"/>
            <w:tcBorders>
              <w:left w:val="single" w:color="auto" w:sz="4" w:space="0"/>
              <w:right w:val="single" w:color="auto" w:sz="4" w:space="0"/>
            </w:tcBorders>
            <w:vAlign w:val="center"/>
          </w:tcPr>
          <w:p w14:paraId="2C704B7C">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0.817</w:t>
            </w:r>
          </w:p>
        </w:tc>
      </w:tr>
      <w:tr w14:paraId="44E4B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continue"/>
            <w:tcBorders>
              <w:left w:val="single" w:color="auto" w:sz="4" w:space="0"/>
              <w:right w:val="single" w:color="auto" w:sz="4" w:space="0"/>
            </w:tcBorders>
            <w:vAlign w:val="center"/>
          </w:tcPr>
          <w:p w14:paraId="55488E1B">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944" w:type="dxa"/>
            <w:vMerge w:val="continue"/>
            <w:tcBorders>
              <w:left w:val="single" w:color="auto" w:sz="4" w:space="0"/>
              <w:right w:val="single" w:color="auto" w:sz="4" w:space="0"/>
            </w:tcBorders>
            <w:vAlign w:val="center"/>
          </w:tcPr>
          <w:p w14:paraId="7DD87453">
            <w:pPr>
              <w:widowControl/>
              <w:jc w:val="center"/>
              <w:textAlignment w:val="center"/>
              <w:rPr>
                <w:rFonts w:ascii="Times New Roman" w:hAnsi="Times New Roman" w:eastAsia="宋体" w:cs="Times New Roman"/>
                <w:color w:val="auto"/>
                <w:kern w:val="0"/>
                <w:szCs w:val="21"/>
                <w:u w:val="single" w:color="auto"/>
                <w:lang w:bidi="ar"/>
              </w:rPr>
            </w:pPr>
          </w:p>
        </w:tc>
        <w:tc>
          <w:tcPr>
            <w:tcW w:w="1144" w:type="dxa"/>
            <w:tcBorders>
              <w:top w:val="single" w:color="auto" w:sz="4" w:space="0"/>
              <w:left w:val="single" w:color="auto" w:sz="4" w:space="0"/>
              <w:bottom w:val="single" w:color="auto" w:sz="4" w:space="0"/>
              <w:right w:val="single" w:color="auto" w:sz="4" w:space="0"/>
            </w:tcBorders>
            <w:vAlign w:val="center"/>
          </w:tcPr>
          <w:p w14:paraId="54920773">
            <w:pPr>
              <w:widowControl/>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kern w:val="0"/>
                <w:szCs w:val="21"/>
                <w:u w:val="single" w:color="auto"/>
                <w:lang w:bidi="ar"/>
              </w:rPr>
              <w:t>非甲烷总烃</w:t>
            </w:r>
          </w:p>
        </w:tc>
        <w:tc>
          <w:tcPr>
            <w:tcW w:w="1276" w:type="dxa"/>
            <w:vMerge w:val="continue"/>
            <w:tcBorders>
              <w:left w:val="single" w:color="auto" w:sz="4" w:space="0"/>
              <w:right w:val="single" w:color="auto" w:sz="4" w:space="0"/>
            </w:tcBorders>
            <w:vAlign w:val="center"/>
          </w:tcPr>
          <w:p w14:paraId="4F335376">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39" w:type="dxa"/>
            <w:vMerge w:val="continue"/>
            <w:tcBorders>
              <w:left w:val="single" w:color="auto" w:sz="4" w:space="0"/>
              <w:right w:val="single" w:color="auto" w:sz="4" w:space="0"/>
            </w:tcBorders>
            <w:vAlign w:val="center"/>
          </w:tcPr>
          <w:p w14:paraId="31C5A375">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tcBorders>
              <w:left w:val="single" w:color="auto" w:sz="4" w:space="0"/>
              <w:bottom w:val="single" w:color="auto" w:sz="4" w:space="0"/>
              <w:right w:val="single" w:color="auto" w:sz="4" w:space="0"/>
            </w:tcBorders>
            <w:vAlign w:val="center"/>
          </w:tcPr>
          <w:p w14:paraId="65A16516">
            <w:pPr>
              <w:snapToGrid w:val="0"/>
              <w:ind w:left="-73" w:leftChars="-35" w:right="-73" w:rightChars="-35"/>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rPr>
              <w:t>4.0</w:t>
            </w:r>
          </w:p>
        </w:tc>
        <w:tc>
          <w:tcPr>
            <w:tcW w:w="1014" w:type="dxa"/>
            <w:tcBorders>
              <w:left w:val="single" w:color="auto" w:sz="4" w:space="0"/>
              <w:right w:val="single" w:color="auto" w:sz="4" w:space="0"/>
            </w:tcBorders>
            <w:vAlign w:val="center"/>
          </w:tcPr>
          <w:p w14:paraId="759F0052">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4.</w:t>
            </w:r>
            <w:r>
              <w:rPr>
                <w:rFonts w:hint="eastAsia" w:ascii="Times New Roman" w:hAnsi="Times New Roman" w:eastAsia="宋体" w:cs="Times New Roman"/>
                <w:i w:val="0"/>
                <w:iCs w:val="0"/>
                <w:color w:val="auto"/>
                <w:kern w:val="0"/>
                <w:sz w:val="21"/>
                <w:szCs w:val="21"/>
                <w:u w:val="single" w:color="auto"/>
                <w:lang w:val="en-US" w:eastAsia="zh-CN" w:bidi="ar"/>
              </w:rPr>
              <w:t>9296</w:t>
            </w:r>
          </w:p>
        </w:tc>
      </w:tr>
      <w:tr w14:paraId="70B49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continue"/>
            <w:tcBorders>
              <w:left w:val="single" w:color="auto" w:sz="4" w:space="0"/>
              <w:right w:val="single" w:color="auto" w:sz="4" w:space="0"/>
            </w:tcBorders>
            <w:vAlign w:val="center"/>
          </w:tcPr>
          <w:p w14:paraId="7C7216D0">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944" w:type="dxa"/>
            <w:vMerge w:val="continue"/>
            <w:tcBorders>
              <w:left w:val="single" w:color="auto" w:sz="4" w:space="0"/>
              <w:right w:val="single" w:color="auto" w:sz="4" w:space="0"/>
            </w:tcBorders>
            <w:vAlign w:val="center"/>
          </w:tcPr>
          <w:p w14:paraId="6AEBBF89">
            <w:pPr>
              <w:widowControl/>
              <w:jc w:val="center"/>
              <w:textAlignment w:val="center"/>
              <w:rPr>
                <w:rFonts w:ascii="Times New Roman" w:hAnsi="Times New Roman" w:eastAsia="宋体" w:cs="Times New Roman"/>
                <w:color w:val="auto"/>
                <w:kern w:val="0"/>
                <w:szCs w:val="21"/>
                <w:u w:val="single" w:color="auto"/>
                <w:lang w:bidi="ar"/>
              </w:rPr>
            </w:pPr>
          </w:p>
        </w:tc>
        <w:tc>
          <w:tcPr>
            <w:tcW w:w="1144" w:type="dxa"/>
            <w:tcBorders>
              <w:top w:val="single" w:color="auto" w:sz="4" w:space="0"/>
              <w:left w:val="single" w:color="auto" w:sz="4" w:space="0"/>
              <w:bottom w:val="single" w:color="auto" w:sz="4" w:space="0"/>
              <w:right w:val="single" w:color="auto" w:sz="4" w:space="0"/>
            </w:tcBorders>
            <w:vAlign w:val="center"/>
          </w:tcPr>
          <w:p w14:paraId="5FAEB654">
            <w:pPr>
              <w:widowControl/>
              <w:snapToGrid w:val="0"/>
              <w:jc w:val="center"/>
              <w:rPr>
                <w:rFonts w:ascii="Times New Roman" w:hAnsi="Times New Roman" w:eastAsia="宋体" w:cs="Times New Roman"/>
                <w:color w:val="auto"/>
                <w:kern w:val="0"/>
                <w:szCs w:val="21"/>
                <w:u w:val="single" w:color="auto"/>
                <w:lang w:bidi="ar"/>
              </w:rPr>
            </w:pPr>
            <w:r>
              <w:rPr>
                <w:rFonts w:ascii="Times New Roman" w:hAnsi="Times New Roman" w:eastAsia="宋体" w:cs="Times New Roman"/>
                <w:color w:val="auto"/>
                <w:kern w:val="0"/>
                <w:szCs w:val="21"/>
                <w:u w:val="single" w:color="auto"/>
                <w:lang w:bidi="ar"/>
              </w:rPr>
              <w:t>二甲苯</w:t>
            </w:r>
          </w:p>
        </w:tc>
        <w:tc>
          <w:tcPr>
            <w:tcW w:w="1276" w:type="dxa"/>
            <w:vMerge w:val="continue"/>
            <w:tcBorders>
              <w:left w:val="single" w:color="auto" w:sz="4" w:space="0"/>
              <w:right w:val="single" w:color="auto" w:sz="4" w:space="0"/>
            </w:tcBorders>
            <w:vAlign w:val="center"/>
          </w:tcPr>
          <w:p w14:paraId="6C03DB87">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39" w:type="dxa"/>
            <w:vMerge w:val="continue"/>
            <w:tcBorders>
              <w:left w:val="single" w:color="auto" w:sz="4" w:space="0"/>
              <w:right w:val="single" w:color="auto" w:sz="4" w:space="0"/>
            </w:tcBorders>
            <w:vAlign w:val="center"/>
          </w:tcPr>
          <w:p w14:paraId="083698D2">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tcBorders>
              <w:left w:val="single" w:color="auto" w:sz="4" w:space="0"/>
              <w:bottom w:val="single" w:color="auto" w:sz="4" w:space="0"/>
              <w:right w:val="single" w:color="auto" w:sz="4" w:space="0"/>
            </w:tcBorders>
            <w:vAlign w:val="center"/>
          </w:tcPr>
          <w:p w14:paraId="0A7DCFB1">
            <w:pPr>
              <w:snapToGrid w:val="0"/>
              <w:ind w:left="-73" w:leftChars="-35" w:right="-73" w:rightChars="-35"/>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rPr>
              <w:t>1.2</w:t>
            </w:r>
          </w:p>
        </w:tc>
        <w:tc>
          <w:tcPr>
            <w:tcW w:w="1014" w:type="dxa"/>
            <w:tcBorders>
              <w:left w:val="single" w:color="auto" w:sz="4" w:space="0"/>
              <w:right w:val="single" w:color="auto" w:sz="4" w:space="0"/>
            </w:tcBorders>
            <w:vAlign w:val="center"/>
          </w:tcPr>
          <w:p w14:paraId="48E671BE">
            <w:pPr>
              <w:keepNext w:val="0"/>
              <w:keepLines w:val="0"/>
              <w:widowControl/>
              <w:suppressLineNumbers w:val="0"/>
              <w:jc w:val="center"/>
              <w:textAlignment w:val="center"/>
              <w:rPr>
                <w:rFonts w:hint="default" w:ascii="Times New Roman" w:hAnsi="Times New Roman" w:eastAsia="宋体" w:cs="Times New Roman"/>
                <w:color w:val="auto"/>
                <w:kern w:val="0"/>
                <w:szCs w:val="21"/>
                <w:u w:val="single" w:color="auto"/>
                <w:lang w:val="en-US" w:bidi="ar"/>
              </w:rPr>
            </w:pPr>
            <w:r>
              <w:rPr>
                <w:rFonts w:hint="default" w:ascii="Times New Roman" w:hAnsi="Times New Roman" w:eastAsia="宋体" w:cs="Times New Roman"/>
                <w:i w:val="0"/>
                <w:iCs w:val="0"/>
                <w:color w:val="auto"/>
                <w:kern w:val="0"/>
                <w:sz w:val="21"/>
                <w:szCs w:val="21"/>
                <w:u w:val="single" w:color="auto"/>
                <w:lang w:val="en-US" w:eastAsia="zh-CN" w:bidi="ar"/>
              </w:rPr>
              <w:t>2.7</w:t>
            </w:r>
            <w:r>
              <w:rPr>
                <w:rFonts w:hint="eastAsia" w:ascii="Times New Roman" w:hAnsi="Times New Roman" w:eastAsia="宋体" w:cs="Times New Roman"/>
                <w:i w:val="0"/>
                <w:iCs w:val="0"/>
                <w:color w:val="auto"/>
                <w:kern w:val="0"/>
                <w:sz w:val="21"/>
                <w:szCs w:val="21"/>
                <w:u w:val="single" w:color="auto"/>
                <w:lang w:val="en-US" w:eastAsia="zh-CN" w:bidi="ar"/>
              </w:rPr>
              <w:t>69</w:t>
            </w:r>
          </w:p>
        </w:tc>
      </w:tr>
      <w:tr w14:paraId="458F3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558" w:type="dxa"/>
            <w:vMerge w:val="continue"/>
            <w:tcBorders>
              <w:left w:val="single" w:color="auto" w:sz="4" w:space="0"/>
              <w:right w:val="single" w:color="auto" w:sz="4" w:space="0"/>
            </w:tcBorders>
            <w:vAlign w:val="center"/>
          </w:tcPr>
          <w:p w14:paraId="60AEEAA9">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944" w:type="dxa"/>
            <w:vMerge w:val="continue"/>
            <w:tcBorders>
              <w:left w:val="single" w:color="auto" w:sz="4" w:space="0"/>
              <w:right w:val="single" w:color="auto" w:sz="4" w:space="0"/>
            </w:tcBorders>
            <w:vAlign w:val="center"/>
          </w:tcPr>
          <w:p w14:paraId="01EC170E">
            <w:pPr>
              <w:widowControl/>
              <w:jc w:val="center"/>
              <w:textAlignment w:val="center"/>
              <w:rPr>
                <w:rFonts w:ascii="Times New Roman" w:hAnsi="Times New Roman" w:eastAsia="宋体" w:cs="Times New Roman"/>
                <w:color w:val="auto"/>
                <w:kern w:val="0"/>
                <w:szCs w:val="21"/>
                <w:u w:val="single" w:color="auto"/>
                <w:lang w:bidi="ar"/>
              </w:rPr>
            </w:pPr>
          </w:p>
        </w:tc>
        <w:tc>
          <w:tcPr>
            <w:tcW w:w="1144" w:type="dxa"/>
            <w:tcBorders>
              <w:top w:val="single" w:color="auto" w:sz="4" w:space="0"/>
              <w:left w:val="single" w:color="auto" w:sz="4" w:space="0"/>
              <w:bottom w:val="single" w:color="auto" w:sz="4" w:space="0"/>
              <w:right w:val="single" w:color="auto" w:sz="4" w:space="0"/>
            </w:tcBorders>
            <w:vAlign w:val="center"/>
          </w:tcPr>
          <w:p w14:paraId="289BE0C9">
            <w:pPr>
              <w:widowControl/>
              <w:snapToGrid w:val="0"/>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color w:val="auto"/>
                <w:kern w:val="0"/>
                <w:szCs w:val="21"/>
                <w:u w:val="single" w:color="auto"/>
                <w:lang w:bidi="ar"/>
              </w:rPr>
              <w:t>甲苯</w:t>
            </w:r>
          </w:p>
        </w:tc>
        <w:tc>
          <w:tcPr>
            <w:tcW w:w="1276" w:type="dxa"/>
            <w:vMerge w:val="continue"/>
            <w:tcBorders>
              <w:left w:val="single" w:color="auto" w:sz="4" w:space="0"/>
              <w:right w:val="single" w:color="auto" w:sz="4" w:space="0"/>
            </w:tcBorders>
            <w:vAlign w:val="center"/>
          </w:tcPr>
          <w:p w14:paraId="3047C9D2">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39" w:type="dxa"/>
            <w:vMerge w:val="continue"/>
            <w:tcBorders>
              <w:left w:val="single" w:color="auto" w:sz="4" w:space="0"/>
              <w:right w:val="single" w:color="auto" w:sz="4" w:space="0"/>
            </w:tcBorders>
            <w:vAlign w:val="center"/>
          </w:tcPr>
          <w:p w14:paraId="5CAE28F8">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1789" w:type="dxa"/>
            <w:tcBorders>
              <w:left w:val="single" w:color="auto" w:sz="4" w:space="0"/>
              <w:bottom w:val="single" w:color="auto" w:sz="4" w:space="0"/>
              <w:right w:val="single" w:color="auto" w:sz="4" w:space="0"/>
            </w:tcBorders>
            <w:vAlign w:val="center"/>
          </w:tcPr>
          <w:p w14:paraId="1C7D58BA">
            <w:pPr>
              <w:snapToGrid w:val="0"/>
              <w:ind w:left="-73" w:leftChars="-35" w:right="-73" w:rightChars="-35"/>
              <w:jc w:val="center"/>
              <w:rPr>
                <w:rFonts w:ascii="Times New Roman" w:hAnsi="Times New Roman" w:eastAsia="宋体" w:cs="Times New Roman"/>
                <w:bCs/>
                <w:color w:val="auto"/>
                <w:kern w:val="28"/>
                <w:szCs w:val="21"/>
                <w:u w:val="single" w:color="auto"/>
              </w:rPr>
            </w:pPr>
            <w:r>
              <w:rPr>
                <w:rFonts w:hint="eastAsia" w:ascii="Times New Roman" w:hAnsi="Times New Roman" w:eastAsia="宋体" w:cs="Times New Roman"/>
                <w:bCs/>
                <w:color w:val="auto"/>
                <w:kern w:val="28"/>
                <w:szCs w:val="21"/>
                <w:u w:val="single" w:color="auto"/>
              </w:rPr>
              <w:t>2.4</w:t>
            </w:r>
          </w:p>
        </w:tc>
        <w:tc>
          <w:tcPr>
            <w:tcW w:w="1014" w:type="dxa"/>
            <w:tcBorders>
              <w:left w:val="single" w:color="auto" w:sz="4" w:space="0"/>
              <w:right w:val="single" w:color="auto" w:sz="4" w:space="0"/>
            </w:tcBorders>
            <w:vAlign w:val="center"/>
          </w:tcPr>
          <w:p w14:paraId="1E411879">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0.00</w:t>
            </w:r>
            <w:r>
              <w:rPr>
                <w:rFonts w:hint="eastAsia" w:ascii="Times New Roman" w:hAnsi="Times New Roman" w:eastAsia="宋体" w:cs="Times New Roman"/>
                <w:i w:val="0"/>
                <w:iCs w:val="0"/>
                <w:color w:val="auto"/>
                <w:kern w:val="0"/>
                <w:sz w:val="21"/>
                <w:szCs w:val="21"/>
                <w:u w:val="single" w:color="auto"/>
                <w:lang w:val="en-US" w:eastAsia="zh-CN" w:bidi="ar"/>
              </w:rPr>
              <w:t>6</w:t>
            </w:r>
          </w:p>
        </w:tc>
      </w:tr>
      <w:tr w14:paraId="0B30C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8464" w:type="dxa"/>
            <w:gridSpan w:val="7"/>
            <w:tcBorders>
              <w:top w:val="single" w:color="auto" w:sz="4" w:space="0"/>
              <w:left w:val="single" w:color="auto" w:sz="4" w:space="0"/>
              <w:bottom w:val="single" w:color="auto" w:sz="4" w:space="0"/>
              <w:right w:val="single" w:color="auto" w:sz="4" w:space="0"/>
            </w:tcBorders>
            <w:vAlign w:val="center"/>
          </w:tcPr>
          <w:p w14:paraId="36076580">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全厂无组织排放总计</w:t>
            </w:r>
          </w:p>
        </w:tc>
      </w:tr>
      <w:tr w14:paraId="65B45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2646" w:type="dxa"/>
            <w:gridSpan w:val="3"/>
            <w:vMerge w:val="restart"/>
            <w:tcBorders>
              <w:top w:val="single" w:color="auto" w:sz="4" w:space="0"/>
              <w:left w:val="single" w:color="auto" w:sz="4" w:space="0"/>
              <w:right w:val="single" w:color="auto" w:sz="4" w:space="0"/>
            </w:tcBorders>
            <w:vAlign w:val="center"/>
          </w:tcPr>
          <w:p w14:paraId="192BC3BF">
            <w:pPr>
              <w:snapToGrid w:val="0"/>
              <w:ind w:left="-73" w:leftChars="-35" w:right="-73" w:rightChars="-35"/>
              <w:jc w:val="center"/>
              <w:rPr>
                <w:rFonts w:ascii="Times New Roman" w:hAnsi="Times New Roman" w:eastAsia="宋体" w:cs="Times New Roman"/>
                <w:bCs/>
                <w:color w:val="auto"/>
                <w:kern w:val="28"/>
                <w:szCs w:val="21"/>
                <w:u w:val="single" w:color="auto"/>
              </w:rPr>
            </w:pPr>
            <w:r>
              <w:rPr>
                <w:rFonts w:ascii="Times New Roman" w:hAnsi="Times New Roman" w:eastAsia="宋体" w:cs="Times New Roman"/>
                <w:bCs/>
                <w:color w:val="auto"/>
                <w:kern w:val="28"/>
                <w:szCs w:val="21"/>
                <w:u w:val="single" w:color="auto"/>
              </w:rPr>
              <w:t>全厂无组织排放总计</w:t>
            </w:r>
          </w:p>
        </w:tc>
        <w:tc>
          <w:tcPr>
            <w:tcW w:w="3015" w:type="dxa"/>
            <w:gridSpan w:val="2"/>
            <w:tcBorders>
              <w:top w:val="single" w:color="auto" w:sz="4" w:space="0"/>
              <w:left w:val="single" w:color="auto" w:sz="4" w:space="0"/>
              <w:bottom w:val="single" w:color="auto" w:sz="4" w:space="0"/>
              <w:right w:val="single" w:color="auto" w:sz="4" w:space="0"/>
            </w:tcBorders>
            <w:vAlign w:val="center"/>
          </w:tcPr>
          <w:p w14:paraId="264E1312">
            <w:pPr>
              <w:snapToGrid w:val="0"/>
              <w:ind w:left="-73" w:leftChars="-35" w:right="-73" w:rightChars="-35"/>
              <w:jc w:val="center"/>
              <w:rPr>
                <w:rFonts w:ascii="Times New Roman" w:hAnsi="Times New Roman" w:eastAsia="宋体" w:cs="Times New Roman"/>
                <w:bCs/>
                <w:color w:val="auto"/>
                <w:kern w:val="0"/>
                <w:szCs w:val="21"/>
                <w:u w:val="single" w:color="auto"/>
              </w:rPr>
            </w:pPr>
            <w:r>
              <w:rPr>
                <w:rFonts w:ascii="Times New Roman" w:hAnsi="Times New Roman" w:eastAsia="宋体" w:cs="Times New Roman"/>
                <w:bCs/>
                <w:color w:val="auto"/>
                <w:kern w:val="28"/>
                <w:szCs w:val="21"/>
                <w:u w:val="single" w:color="auto"/>
              </w:rPr>
              <w:t>粉尘</w:t>
            </w:r>
          </w:p>
        </w:tc>
        <w:tc>
          <w:tcPr>
            <w:tcW w:w="2803" w:type="dxa"/>
            <w:gridSpan w:val="2"/>
            <w:tcBorders>
              <w:top w:val="single" w:color="auto" w:sz="4" w:space="0"/>
              <w:left w:val="single" w:color="auto" w:sz="4" w:space="0"/>
              <w:bottom w:val="single" w:color="auto" w:sz="4" w:space="0"/>
              <w:right w:val="single" w:color="auto" w:sz="4" w:space="0"/>
            </w:tcBorders>
            <w:vAlign w:val="center"/>
          </w:tcPr>
          <w:p w14:paraId="4A3667A3">
            <w:pPr>
              <w:widowControl/>
              <w:jc w:val="center"/>
              <w:textAlignment w:val="center"/>
              <w:rPr>
                <w:rFonts w:hint="default" w:ascii="Times New Roman" w:hAnsi="Times New Roman" w:eastAsia="宋体" w:cs="Times New Roman"/>
                <w:bCs/>
                <w:color w:val="auto"/>
                <w:kern w:val="28"/>
                <w:szCs w:val="21"/>
                <w:u w:val="single" w:color="auto"/>
                <w:lang w:val="en-US" w:eastAsia="zh-CN"/>
              </w:rPr>
            </w:pPr>
            <w:r>
              <w:rPr>
                <w:rFonts w:hint="eastAsia" w:ascii="Times New Roman" w:hAnsi="Times New Roman" w:eastAsia="等线" w:cs="Times New Roman"/>
                <w:color w:val="auto"/>
                <w:kern w:val="0"/>
                <w:szCs w:val="21"/>
                <w:u w:val="single" w:color="auto"/>
                <w:lang w:val="en-US" w:eastAsia="zh-CN" w:bidi="ar"/>
              </w:rPr>
              <w:t>25.599</w:t>
            </w:r>
          </w:p>
        </w:tc>
      </w:tr>
      <w:tr w14:paraId="55A5B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2646" w:type="dxa"/>
            <w:gridSpan w:val="3"/>
            <w:vMerge w:val="continue"/>
            <w:tcBorders>
              <w:left w:val="single" w:color="auto" w:sz="4" w:space="0"/>
              <w:right w:val="single" w:color="auto" w:sz="4" w:space="0"/>
            </w:tcBorders>
            <w:vAlign w:val="center"/>
          </w:tcPr>
          <w:p w14:paraId="49D021C8">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3015" w:type="dxa"/>
            <w:gridSpan w:val="2"/>
            <w:tcBorders>
              <w:top w:val="single" w:color="auto" w:sz="4" w:space="0"/>
              <w:left w:val="single" w:color="auto" w:sz="4" w:space="0"/>
              <w:bottom w:val="single" w:color="auto" w:sz="4" w:space="0"/>
              <w:right w:val="single" w:color="auto" w:sz="4" w:space="0"/>
            </w:tcBorders>
            <w:vAlign w:val="center"/>
          </w:tcPr>
          <w:p w14:paraId="4143B037">
            <w:pPr>
              <w:keepNext w:val="0"/>
              <w:keepLines w:val="0"/>
              <w:widowControl/>
              <w:suppressLineNumbers w:val="0"/>
              <w:jc w:val="center"/>
              <w:textAlignment w:val="center"/>
              <w:rPr>
                <w:rFonts w:ascii="Times New Roman" w:hAnsi="Times New Roman" w:eastAsia="宋体" w:cs="Times New Roman"/>
                <w:bCs/>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非甲烷总烃</w:t>
            </w:r>
          </w:p>
        </w:tc>
        <w:tc>
          <w:tcPr>
            <w:tcW w:w="2803" w:type="dxa"/>
            <w:gridSpan w:val="2"/>
            <w:tcBorders>
              <w:top w:val="single" w:color="auto" w:sz="4" w:space="0"/>
              <w:left w:val="single" w:color="auto" w:sz="4" w:space="0"/>
              <w:bottom w:val="single" w:color="auto" w:sz="4" w:space="0"/>
              <w:right w:val="single" w:color="auto" w:sz="4" w:space="0"/>
            </w:tcBorders>
            <w:vAlign w:val="center"/>
          </w:tcPr>
          <w:p w14:paraId="134251B0">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5.5636</w:t>
            </w:r>
          </w:p>
        </w:tc>
      </w:tr>
      <w:tr w14:paraId="51469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2646" w:type="dxa"/>
            <w:gridSpan w:val="3"/>
            <w:vMerge w:val="continue"/>
            <w:tcBorders>
              <w:left w:val="single" w:color="auto" w:sz="4" w:space="0"/>
              <w:right w:val="single" w:color="auto" w:sz="4" w:space="0"/>
            </w:tcBorders>
            <w:vAlign w:val="center"/>
          </w:tcPr>
          <w:p w14:paraId="737B2493">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3015" w:type="dxa"/>
            <w:gridSpan w:val="2"/>
            <w:tcBorders>
              <w:top w:val="single" w:color="auto" w:sz="4" w:space="0"/>
              <w:left w:val="single" w:color="auto" w:sz="4" w:space="0"/>
              <w:bottom w:val="single" w:color="auto" w:sz="4" w:space="0"/>
              <w:right w:val="single" w:color="auto" w:sz="4" w:space="0"/>
            </w:tcBorders>
            <w:vAlign w:val="center"/>
          </w:tcPr>
          <w:p w14:paraId="47CCF4B8">
            <w:pPr>
              <w:keepNext w:val="0"/>
              <w:keepLines w:val="0"/>
              <w:widowControl/>
              <w:suppressLineNumbers w:val="0"/>
              <w:jc w:val="center"/>
              <w:textAlignment w:val="center"/>
              <w:rPr>
                <w:rFonts w:ascii="Times New Roman" w:hAnsi="Times New Roman" w:eastAsia="宋体" w:cs="Times New Roman"/>
                <w:bCs/>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二甲苯</w:t>
            </w:r>
          </w:p>
        </w:tc>
        <w:tc>
          <w:tcPr>
            <w:tcW w:w="2803" w:type="dxa"/>
            <w:gridSpan w:val="2"/>
            <w:tcBorders>
              <w:top w:val="single" w:color="auto" w:sz="4" w:space="0"/>
              <w:left w:val="single" w:color="auto" w:sz="4" w:space="0"/>
              <w:bottom w:val="single" w:color="auto" w:sz="4" w:space="0"/>
              <w:right w:val="single" w:color="auto" w:sz="4" w:space="0"/>
            </w:tcBorders>
            <w:vAlign w:val="center"/>
          </w:tcPr>
          <w:p w14:paraId="7606FA7F">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3.081</w:t>
            </w:r>
          </w:p>
        </w:tc>
      </w:tr>
      <w:tr w14:paraId="34384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2646" w:type="dxa"/>
            <w:gridSpan w:val="3"/>
            <w:vMerge w:val="continue"/>
            <w:tcBorders>
              <w:left w:val="single" w:color="auto" w:sz="4" w:space="0"/>
              <w:right w:val="single" w:color="auto" w:sz="4" w:space="0"/>
            </w:tcBorders>
            <w:vAlign w:val="center"/>
          </w:tcPr>
          <w:p w14:paraId="47D7A144">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3015" w:type="dxa"/>
            <w:gridSpan w:val="2"/>
            <w:tcBorders>
              <w:top w:val="single" w:color="auto" w:sz="4" w:space="0"/>
              <w:left w:val="single" w:color="auto" w:sz="4" w:space="0"/>
              <w:bottom w:val="single" w:color="auto" w:sz="4" w:space="0"/>
              <w:right w:val="single" w:color="auto" w:sz="4" w:space="0"/>
            </w:tcBorders>
            <w:vAlign w:val="center"/>
          </w:tcPr>
          <w:p w14:paraId="3BA3FD03">
            <w:pPr>
              <w:keepNext w:val="0"/>
              <w:keepLines w:val="0"/>
              <w:widowControl/>
              <w:suppressLineNumbers w:val="0"/>
              <w:jc w:val="center"/>
              <w:textAlignment w:val="center"/>
              <w:rPr>
                <w:rFonts w:ascii="Times New Roman" w:hAnsi="Times New Roman" w:eastAsia="宋体" w:cs="Times New Roman"/>
                <w:bCs/>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甲苯</w:t>
            </w:r>
          </w:p>
        </w:tc>
        <w:tc>
          <w:tcPr>
            <w:tcW w:w="2803" w:type="dxa"/>
            <w:gridSpan w:val="2"/>
            <w:tcBorders>
              <w:top w:val="single" w:color="auto" w:sz="4" w:space="0"/>
              <w:left w:val="single" w:color="auto" w:sz="4" w:space="0"/>
              <w:bottom w:val="single" w:color="auto" w:sz="4" w:space="0"/>
              <w:right w:val="single" w:color="auto" w:sz="4" w:space="0"/>
            </w:tcBorders>
            <w:vAlign w:val="center"/>
          </w:tcPr>
          <w:p w14:paraId="300847AB">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0.008</w:t>
            </w:r>
          </w:p>
        </w:tc>
      </w:tr>
      <w:tr w14:paraId="104E4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79" w:type="dxa"/>
            <w:bottom w:w="85" w:type="dxa"/>
            <w:right w:w="79" w:type="dxa"/>
          </w:tblCellMar>
        </w:tblPrEx>
        <w:trPr>
          <w:cantSplit/>
          <w:trHeight w:val="317" w:hRule="atLeast"/>
          <w:jc w:val="center"/>
        </w:trPr>
        <w:tc>
          <w:tcPr>
            <w:tcW w:w="2646" w:type="dxa"/>
            <w:gridSpan w:val="3"/>
            <w:vMerge w:val="continue"/>
            <w:tcBorders>
              <w:left w:val="single" w:color="auto" w:sz="4" w:space="0"/>
              <w:bottom w:val="single" w:color="auto" w:sz="4" w:space="0"/>
              <w:right w:val="single" w:color="auto" w:sz="4" w:space="0"/>
            </w:tcBorders>
            <w:vAlign w:val="center"/>
          </w:tcPr>
          <w:p w14:paraId="48427435">
            <w:pPr>
              <w:snapToGrid w:val="0"/>
              <w:ind w:left="-73" w:leftChars="-35" w:right="-73" w:rightChars="-35"/>
              <w:jc w:val="center"/>
              <w:rPr>
                <w:rFonts w:ascii="Times New Roman" w:hAnsi="Times New Roman" w:eastAsia="宋体" w:cs="Times New Roman"/>
                <w:bCs/>
                <w:color w:val="auto"/>
                <w:kern w:val="28"/>
                <w:szCs w:val="21"/>
                <w:u w:val="single" w:color="auto"/>
              </w:rPr>
            </w:pPr>
          </w:p>
        </w:tc>
        <w:tc>
          <w:tcPr>
            <w:tcW w:w="3015" w:type="dxa"/>
            <w:gridSpan w:val="2"/>
            <w:tcBorders>
              <w:top w:val="single" w:color="auto" w:sz="4" w:space="0"/>
              <w:left w:val="single" w:color="auto" w:sz="4" w:space="0"/>
              <w:bottom w:val="single" w:color="auto" w:sz="4" w:space="0"/>
              <w:right w:val="single" w:color="auto" w:sz="4" w:space="0"/>
            </w:tcBorders>
            <w:vAlign w:val="center"/>
          </w:tcPr>
          <w:p w14:paraId="198A7085">
            <w:pPr>
              <w:keepNext w:val="0"/>
              <w:keepLines w:val="0"/>
              <w:widowControl/>
              <w:suppressLineNumbers w:val="0"/>
              <w:jc w:val="center"/>
              <w:textAlignment w:val="center"/>
              <w:rPr>
                <w:rFonts w:ascii="Times New Roman" w:hAnsi="Times New Roman" w:eastAsia="宋体" w:cs="Times New Roman"/>
                <w:bCs/>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漆雾</w:t>
            </w:r>
          </w:p>
        </w:tc>
        <w:tc>
          <w:tcPr>
            <w:tcW w:w="2803" w:type="dxa"/>
            <w:gridSpan w:val="2"/>
            <w:tcBorders>
              <w:top w:val="single" w:color="auto" w:sz="4" w:space="0"/>
              <w:left w:val="single" w:color="auto" w:sz="4" w:space="0"/>
              <w:right w:val="single" w:color="auto" w:sz="4" w:space="0"/>
            </w:tcBorders>
            <w:vAlign w:val="center"/>
          </w:tcPr>
          <w:p w14:paraId="6CE696BB">
            <w:pPr>
              <w:keepNext w:val="0"/>
              <w:keepLines w:val="0"/>
              <w:widowControl/>
              <w:suppressLineNumbers w:val="0"/>
              <w:jc w:val="center"/>
              <w:textAlignment w:val="center"/>
              <w:rPr>
                <w:rFonts w:ascii="Times New Roman" w:hAnsi="Times New Roman" w:eastAsia="宋体" w:cs="Times New Roman"/>
                <w:bCs/>
                <w:color w:val="auto"/>
                <w:kern w:val="28"/>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1.828</w:t>
            </w:r>
          </w:p>
        </w:tc>
      </w:tr>
    </w:tbl>
    <w:p w14:paraId="2B545401">
      <w:pPr>
        <w:autoSpaceDE w:val="0"/>
        <w:autoSpaceDN w:val="0"/>
        <w:spacing w:before="156" w:beforeLines="50"/>
        <w:contextualSpacing/>
        <w:jc w:val="center"/>
        <w:rPr>
          <w:rFonts w:ascii="Times New Roman" w:hAnsi="Times New Roman" w:eastAsia="宋体" w:cs="Times New Roman"/>
          <w:b/>
          <w:color w:val="auto"/>
          <w:kern w:val="0"/>
          <w:sz w:val="24"/>
          <w:szCs w:val="24"/>
          <w:u w:val="single" w:color="auto"/>
        </w:rPr>
      </w:pPr>
      <w:r>
        <w:rPr>
          <w:rFonts w:ascii="Times New Roman" w:hAnsi="Times New Roman" w:eastAsia="宋体" w:cs="Times New Roman"/>
          <w:b/>
          <w:color w:val="auto"/>
          <w:kern w:val="0"/>
          <w:sz w:val="24"/>
          <w:szCs w:val="24"/>
          <w:u w:val="single" w:color="auto"/>
        </w:rPr>
        <w:t>表</w:t>
      </w:r>
      <w:r>
        <w:rPr>
          <w:rFonts w:hint="eastAsia" w:ascii="Times New Roman" w:hAnsi="Times New Roman" w:eastAsia="宋体" w:cs="Times New Roman"/>
          <w:b/>
          <w:color w:val="auto"/>
          <w:kern w:val="0"/>
          <w:sz w:val="24"/>
          <w:szCs w:val="24"/>
          <w:u w:val="single" w:color="auto"/>
        </w:rPr>
        <w:t>4.2</w:t>
      </w:r>
      <w:r>
        <w:rPr>
          <w:rFonts w:ascii="Times New Roman" w:hAnsi="Times New Roman" w:eastAsia="宋体" w:cs="Times New Roman"/>
          <w:b/>
          <w:color w:val="auto"/>
          <w:kern w:val="0"/>
          <w:sz w:val="24"/>
          <w:szCs w:val="24"/>
          <w:u w:val="single" w:color="auto"/>
        </w:rPr>
        <w:t>-</w:t>
      </w:r>
      <w:r>
        <w:rPr>
          <w:rFonts w:hint="eastAsia" w:ascii="Times New Roman" w:hAnsi="Times New Roman" w:eastAsia="宋体" w:cs="Times New Roman"/>
          <w:b/>
          <w:color w:val="auto"/>
          <w:kern w:val="0"/>
          <w:sz w:val="24"/>
          <w:szCs w:val="24"/>
          <w:u w:val="single" w:color="auto"/>
        </w:rPr>
        <w:t>35</w:t>
      </w:r>
      <w:r>
        <w:rPr>
          <w:rFonts w:ascii="Times New Roman" w:hAnsi="Times New Roman" w:eastAsia="宋体" w:cs="Times New Roman"/>
          <w:b/>
          <w:color w:val="auto"/>
          <w:kern w:val="0"/>
          <w:sz w:val="24"/>
          <w:szCs w:val="24"/>
          <w:u w:val="single" w:color="auto"/>
        </w:rPr>
        <w:t>本项目大气污染物年排放量核算表</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1ABCF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5AF19636">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序号</w:t>
            </w:r>
          </w:p>
        </w:tc>
        <w:tc>
          <w:tcPr>
            <w:tcW w:w="2841" w:type="dxa"/>
            <w:vAlign w:val="center"/>
          </w:tcPr>
          <w:p w14:paraId="276D348E">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污染物</w:t>
            </w:r>
          </w:p>
        </w:tc>
        <w:tc>
          <w:tcPr>
            <w:tcW w:w="2841" w:type="dxa"/>
            <w:vAlign w:val="center"/>
          </w:tcPr>
          <w:p w14:paraId="13B8B85D">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年排放量</w:t>
            </w:r>
          </w:p>
        </w:tc>
      </w:tr>
      <w:tr w14:paraId="087C2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840" w:type="dxa"/>
            <w:vAlign w:val="center"/>
          </w:tcPr>
          <w:p w14:paraId="05616A12">
            <w:pPr>
              <w:pStyle w:val="63"/>
              <w:numPr>
                <w:ilvl w:val="0"/>
                <w:numId w:val="16"/>
              </w:numPr>
              <w:autoSpaceDE w:val="0"/>
              <w:autoSpaceDN w:val="0"/>
              <w:ind w:firstLineChars="0"/>
              <w:contextualSpacing/>
              <w:jc w:val="center"/>
              <w:rPr>
                <w:rFonts w:ascii="Times New Roman" w:hAnsi="Times New Roman" w:eastAsia="宋体" w:cs="Times New Roman"/>
                <w:color w:val="auto"/>
                <w:kern w:val="0"/>
                <w:szCs w:val="21"/>
                <w:u w:val="single" w:color="auto"/>
              </w:rPr>
            </w:pPr>
          </w:p>
        </w:tc>
        <w:tc>
          <w:tcPr>
            <w:tcW w:w="2841" w:type="dxa"/>
            <w:vAlign w:val="center"/>
          </w:tcPr>
          <w:p w14:paraId="7104995E">
            <w:pPr>
              <w:snapToGrid w:val="0"/>
              <w:ind w:left="-73" w:leftChars="-35" w:right="-73" w:rightChars="-35"/>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bCs/>
                <w:color w:val="auto"/>
                <w:kern w:val="28"/>
                <w:szCs w:val="21"/>
                <w:u w:val="single" w:color="auto"/>
              </w:rPr>
              <w:t>粉尘</w:t>
            </w:r>
          </w:p>
        </w:tc>
        <w:tc>
          <w:tcPr>
            <w:tcW w:w="2841" w:type="dxa"/>
            <w:vAlign w:val="center"/>
          </w:tcPr>
          <w:p w14:paraId="62D9A14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30.171</w:t>
            </w:r>
          </w:p>
        </w:tc>
      </w:tr>
      <w:tr w14:paraId="17C9F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349F2B3F">
            <w:pPr>
              <w:pStyle w:val="63"/>
              <w:numPr>
                <w:ilvl w:val="0"/>
                <w:numId w:val="16"/>
              </w:numPr>
              <w:autoSpaceDE w:val="0"/>
              <w:autoSpaceDN w:val="0"/>
              <w:ind w:firstLineChars="0"/>
              <w:contextualSpacing/>
              <w:jc w:val="center"/>
              <w:rPr>
                <w:rFonts w:ascii="Times New Roman" w:hAnsi="Times New Roman" w:eastAsia="宋体" w:cs="Times New Roman"/>
                <w:color w:val="auto"/>
                <w:kern w:val="0"/>
                <w:szCs w:val="21"/>
                <w:u w:val="single" w:color="auto"/>
              </w:rPr>
            </w:pPr>
          </w:p>
        </w:tc>
        <w:tc>
          <w:tcPr>
            <w:tcW w:w="2841" w:type="dxa"/>
            <w:vAlign w:val="center"/>
          </w:tcPr>
          <w:p w14:paraId="61D1C069">
            <w:pPr>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szCs w:val="21"/>
                <w:u w:val="single" w:color="auto"/>
              </w:rPr>
              <w:t>漆雾</w:t>
            </w:r>
          </w:p>
        </w:tc>
        <w:tc>
          <w:tcPr>
            <w:tcW w:w="2841" w:type="dxa"/>
            <w:vAlign w:val="center"/>
          </w:tcPr>
          <w:p w14:paraId="738EB39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14.989</w:t>
            </w:r>
          </w:p>
        </w:tc>
      </w:tr>
      <w:tr w14:paraId="4BA3A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62925BCC">
            <w:pPr>
              <w:pStyle w:val="63"/>
              <w:numPr>
                <w:ilvl w:val="0"/>
                <w:numId w:val="16"/>
              </w:numPr>
              <w:autoSpaceDE w:val="0"/>
              <w:autoSpaceDN w:val="0"/>
              <w:ind w:firstLineChars="0"/>
              <w:contextualSpacing/>
              <w:jc w:val="center"/>
              <w:rPr>
                <w:rFonts w:ascii="Times New Roman" w:hAnsi="Times New Roman" w:eastAsia="宋体" w:cs="Times New Roman"/>
                <w:color w:val="auto"/>
                <w:kern w:val="0"/>
                <w:szCs w:val="21"/>
                <w:u w:val="single" w:color="auto"/>
              </w:rPr>
            </w:pPr>
          </w:p>
        </w:tc>
        <w:tc>
          <w:tcPr>
            <w:tcW w:w="2841" w:type="dxa"/>
            <w:vAlign w:val="center"/>
          </w:tcPr>
          <w:p w14:paraId="2D5A2B74">
            <w:pPr>
              <w:keepNext w:val="0"/>
              <w:keepLines w:val="0"/>
              <w:widowControl/>
              <w:suppressLineNumbers w:val="0"/>
              <w:jc w:val="center"/>
              <w:textAlignment w:val="center"/>
              <w:rPr>
                <w:rFonts w:ascii="Times New Roman" w:hAnsi="Times New Roman" w:eastAsia="宋体" w:cs="Times New Roman"/>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非甲烷总烃</w:t>
            </w:r>
          </w:p>
        </w:tc>
        <w:tc>
          <w:tcPr>
            <w:tcW w:w="2841" w:type="dxa"/>
            <w:vAlign w:val="center"/>
          </w:tcPr>
          <w:p w14:paraId="3C64DCE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10.5729</w:t>
            </w:r>
          </w:p>
        </w:tc>
      </w:tr>
      <w:tr w14:paraId="04482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01112948">
            <w:pPr>
              <w:pStyle w:val="63"/>
              <w:numPr>
                <w:ilvl w:val="0"/>
                <w:numId w:val="16"/>
              </w:numPr>
              <w:autoSpaceDE w:val="0"/>
              <w:autoSpaceDN w:val="0"/>
              <w:ind w:firstLineChars="0"/>
              <w:contextualSpacing/>
              <w:jc w:val="center"/>
              <w:rPr>
                <w:rFonts w:ascii="Times New Roman" w:hAnsi="Times New Roman" w:eastAsia="宋体" w:cs="Times New Roman"/>
                <w:color w:val="auto"/>
                <w:kern w:val="0"/>
                <w:szCs w:val="21"/>
                <w:u w:val="single" w:color="auto"/>
              </w:rPr>
            </w:pPr>
          </w:p>
        </w:tc>
        <w:tc>
          <w:tcPr>
            <w:tcW w:w="2841" w:type="dxa"/>
            <w:vAlign w:val="center"/>
          </w:tcPr>
          <w:p w14:paraId="6796053B">
            <w:pPr>
              <w:keepNext w:val="0"/>
              <w:keepLines w:val="0"/>
              <w:widowControl/>
              <w:suppressLineNumbers w:val="0"/>
              <w:jc w:val="center"/>
              <w:textAlignment w:val="center"/>
              <w:rPr>
                <w:rFonts w:ascii="Times New Roman" w:hAnsi="Times New Roman" w:eastAsia="宋体" w:cs="Times New Roman"/>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二甲苯</w:t>
            </w:r>
          </w:p>
        </w:tc>
        <w:tc>
          <w:tcPr>
            <w:tcW w:w="2841" w:type="dxa"/>
            <w:vAlign w:val="center"/>
          </w:tcPr>
          <w:p w14:paraId="4B3AD19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5.854</w:t>
            </w:r>
          </w:p>
        </w:tc>
      </w:tr>
      <w:tr w14:paraId="2878E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0FE6836D">
            <w:pPr>
              <w:pStyle w:val="63"/>
              <w:numPr>
                <w:ilvl w:val="0"/>
                <w:numId w:val="16"/>
              </w:numPr>
              <w:autoSpaceDE w:val="0"/>
              <w:autoSpaceDN w:val="0"/>
              <w:ind w:firstLineChars="0"/>
              <w:contextualSpacing/>
              <w:jc w:val="center"/>
              <w:rPr>
                <w:rFonts w:ascii="Times New Roman" w:hAnsi="Times New Roman" w:eastAsia="宋体" w:cs="Times New Roman"/>
                <w:color w:val="auto"/>
                <w:kern w:val="0"/>
                <w:szCs w:val="21"/>
                <w:u w:val="single" w:color="auto"/>
              </w:rPr>
            </w:pPr>
          </w:p>
        </w:tc>
        <w:tc>
          <w:tcPr>
            <w:tcW w:w="2841" w:type="dxa"/>
            <w:vAlign w:val="center"/>
          </w:tcPr>
          <w:p w14:paraId="4B908643">
            <w:pPr>
              <w:keepNext w:val="0"/>
              <w:keepLines w:val="0"/>
              <w:widowControl/>
              <w:suppressLineNumbers w:val="0"/>
              <w:jc w:val="center"/>
              <w:textAlignment w:val="center"/>
              <w:rPr>
                <w:rFonts w:ascii="Times New Roman" w:hAnsi="Times New Roman" w:eastAsia="宋体" w:cs="Times New Roman"/>
                <w:color w:val="auto"/>
                <w:kern w:val="0"/>
                <w:szCs w:val="21"/>
                <w:u w:val="single" w:color="auto"/>
              </w:rPr>
            </w:pPr>
            <w:r>
              <w:rPr>
                <w:rFonts w:hint="eastAsia" w:ascii="宋体" w:hAnsi="宋体" w:eastAsia="宋体" w:cs="宋体"/>
                <w:i w:val="0"/>
                <w:iCs w:val="0"/>
                <w:color w:val="auto"/>
                <w:kern w:val="0"/>
                <w:sz w:val="21"/>
                <w:szCs w:val="21"/>
                <w:u w:val="single"/>
                <w:lang w:val="en-US" w:eastAsia="zh-CN" w:bidi="ar"/>
              </w:rPr>
              <w:t>甲苯</w:t>
            </w:r>
          </w:p>
        </w:tc>
        <w:tc>
          <w:tcPr>
            <w:tcW w:w="2841" w:type="dxa"/>
            <w:vAlign w:val="center"/>
          </w:tcPr>
          <w:p w14:paraId="3B3FF52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0.015</w:t>
            </w:r>
          </w:p>
        </w:tc>
      </w:tr>
    </w:tbl>
    <w:p w14:paraId="03BE3E6A">
      <w:pPr>
        <w:autoSpaceDE w:val="0"/>
        <w:autoSpaceDN w:val="0"/>
        <w:spacing w:line="360" w:lineRule="auto"/>
        <w:ind w:firstLine="482"/>
        <w:contextualSpacing/>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综上所述：本工程投产后，工程排放的污染物对环境有一定影响，但环境质量标准能满足功能区划的要求；正常生产时环境中的各类大气污染物对周围环境影响可以接受；厂界上污染物实现达标排放；项目大气环境防护距离符合要求；在认真落实大气污染防治措施的前提下，从大气环境的角度讲本项目总体可行。</w:t>
      </w:r>
    </w:p>
    <w:p w14:paraId="17E4763B">
      <w:pPr>
        <w:pStyle w:val="3"/>
        <w:bidi w:val="0"/>
        <w:rPr>
          <w:color w:val="auto"/>
          <w:u w:val="none" w:color="auto"/>
        </w:rPr>
      </w:pPr>
      <w:bookmarkStart w:id="232" w:name="_Toc29737"/>
      <w:r>
        <w:rPr>
          <w:color w:val="auto"/>
          <w:u w:val="none" w:color="auto"/>
        </w:rPr>
        <w:t>地表水环境影响分析</w:t>
      </w:r>
      <w:bookmarkEnd w:id="224"/>
      <w:bookmarkEnd w:id="232"/>
    </w:p>
    <w:p w14:paraId="266C1B25">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w:t>
      </w:r>
      <w:r>
        <w:rPr>
          <w:rFonts w:hint="eastAsia" w:ascii="Times New Roman" w:hAnsi="Times New Roman" w:eastAsia="宋体" w:cs="Times New Roman"/>
          <w:color w:val="auto"/>
          <w:kern w:val="0"/>
          <w:sz w:val="24"/>
          <w:szCs w:val="24"/>
          <w:u w:val="none" w:color="auto"/>
        </w:rPr>
        <w:t>生产过程中无生产废水产生</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kern w:val="0"/>
          <w:sz w:val="24"/>
          <w:szCs w:val="24"/>
          <w:u w:val="none" w:color="auto"/>
        </w:rPr>
        <w:t>项目</w:t>
      </w:r>
      <w:r>
        <w:rPr>
          <w:rFonts w:hint="eastAsia" w:ascii="Times New Roman" w:hAnsi="Times New Roman" w:eastAsia="宋体" w:cs="Times New Roman"/>
          <w:color w:val="auto"/>
          <w:kern w:val="0"/>
          <w:sz w:val="24"/>
          <w:szCs w:val="24"/>
          <w:u w:val="none" w:color="auto"/>
        </w:rPr>
        <w:t>外排</w:t>
      </w:r>
      <w:r>
        <w:rPr>
          <w:rFonts w:ascii="Times New Roman" w:hAnsi="Times New Roman" w:eastAsia="宋体" w:cs="Times New Roman"/>
          <w:color w:val="auto"/>
          <w:kern w:val="0"/>
          <w:sz w:val="24"/>
          <w:szCs w:val="24"/>
          <w:u w:val="none" w:color="auto"/>
        </w:rPr>
        <w:t>废水</w:t>
      </w:r>
      <w:r>
        <w:rPr>
          <w:rFonts w:hint="eastAsia" w:ascii="Times New Roman" w:hAnsi="Times New Roman" w:eastAsia="宋体" w:cs="Times New Roman"/>
          <w:color w:val="auto"/>
          <w:kern w:val="0"/>
          <w:sz w:val="24"/>
          <w:szCs w:val="24"/>
          <w:u w:val="none" w:color="auto"/>
        </w:rPr>
        <w:t>主要是生活污水</w:t>
      </w:r>
      <w:r>
        <w:rPr>
          <w:rFonts w:hint="eastAsia" w:ascii="Times New Roman" w:hAnsi="Times New Roman" w:eastAsia="宋体" w:cs="Times New Roman"/>
          <w:color w:val="auto"/>
          <w:kern w:val="0"/>
          <w:sz w:val="24"/>
          <w:szCs w:val="24"/>
          <w:u w:val="none" w:color="auto"/>
          <w:lang w:val="en-US" w:eastAsia="zh-CN"/>
        </w:rPr>
        <w:t>和初期雨水</w:t>
      </w:r>
      <w:r>
        <w:rPr>
          <w:rFonts w:ascii="Times New Roman" w:hAnsi="Times New Roman" w:eastAsia="宋体" w:cs="Times New Roman"/>
          <w:color w:val="auto"/>
          <w:kern w:val="0"/>
          <w:sz w:val="24"/>
          <w:szCs w:val="24"/>
          <w:u w:val="none" w:color="auto"/>
        </w:rPr>
        <w:t>。</w:t>
      </w:r>
    </w:p>
    <w:p w14:paraId="2F83A8F4">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kern w:val="0"/>
          <w:sz w:val="24"/>
          <w:szCs w:val="24"/>
          <w:u w:val="none" w:color="auto"/>
        </w:rPr>
        <w:t>项目生活污水排放量为</w:t>
      </w:r>
      <w:r>
        <w:rPr>
          <w:rFonts w:hint="eastAsia" w:ascii="Times New Roman" w:hAnsi="Times New Roman" w:eastAsia="宋体" w:cs="Times New Roman"/>
          <w:color w:val="auto"/>
          <w:sz w:val="24"/>
          <w:szCs w:val="24"/>
          <w:u w:val="none" w:color="auto"/>
        </w:rPr>
        <w:t>26.4</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/d，</w:t>
      </w:r>
      <w:r>
        <w:rPr>
          <w:rFonts w:hint="eastAsia" w:ascii="Times New Roman" w:hAnsi="Times New Roman" w:eastAsia="宋体" w:cs="Times New Roman"/>
          <w:color w:val="auto"/>
          <w:sz w:val="24"/>
          <w:szCs w:val="24"/>
          <w:u w:val="none" w:color="auto"/>
        </w:rPr>
        <w:t>8712</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/a。</w:t>
      </w:r>
      <w:r>
        <w:rPr>
          <w:rFonts w:ascii="Times New Roman" w:hAnsi="Times New Roman" w:eastAsia="宋体" w:cs="Times New Roman"/>
          <w:color w:val="auto"/>
          <w:kern w:val="0"/>
          <w:sz w:val="24"/>
          <w:szCs w:val="24"/>
          <w:u w:val="none" w:color="auto"/>
        </w:rPr>
        <w:t>其主要污染物为COD、BOD</w:t>
      </w:r>
      <w:r>
        <w:rPr>
          <w:rFonts w:ascii="Times New Roman" w:hAnsi="Times New Roman" w:eastAsia="宋体" w:cs="Times New Roman"/>
          <w:color w:val="auto"/>
          <w:kern w:val="0"/>
          <w:sz w:val="24"/>
          <w:szCs w:val="24"/>
          <w:u w:val="none" w:color="auto"/>
          <w:vertAlign w:val="subscript"/>
        </w:rPr>
        <w:t>5</w:t>
      </w:r>
      <w:r>
        <w:rPr>
          <w:rFonts w:ascii="Times New Roman" w:hAnsi="Times New Roman" w:eastAsia="宋体" w:cs="Times New Roman"/>
          <w:color w:val="auto"/>
          <w:kern w:val="0"/>
          <w:sz w:val="24"/>
          <w:szCs w:val="24"/>
          <w:u w:val="none" w:color="auto"/>
        </w:rPr>
        <w:t>、SS、NH</w:t>
      </w:r>
      <w:r>
        <w:rPr>
          <w:rFonts w:ascii="Times New Roman" w:hAnsi="Times New Roman" w:eastAsia="宋体" w:cs="Times New Roman"/>
          <w:color w:val="auto"/>
          <w:kern w:val="0"/>
          <w:sz w:val="24"/>
          <w:szCs w:val="24"/>
          <w:u w:val="none" w:color="auto"/>
          <w:vertAlign w:val="subscript"/>
        </w:rPr>
        <w:t>3</w:t>
      </w:r>
      <w:r>
        <w:rPr>
          <w:rFonts w:ascii="Times New Roman" w:hAnsi="Times New Roman" w:eastAsia="宋体" w:cs="Times New Roman"/>
          <w:color w:val="auto"/>
          <w:kern w:val="0"/>
          <w:sz w:val="24"/>
          <w:szCs w:val="24"/>
          <w:u w:val="none" w:color="auto"/>
        </w:rPr>
        <w:t>-N等。</w:t>
      </w:r>
      <w:r>
        <w:rPr>
          <w:rFonts w:hint="eastAsia" w:ascii="Times New Roman" w:hAnsi="Times New Roman" w:eastAsia="宋体" w:cs="Times New Roman"/>
          <w:color w:val="auto"/>
          <w:kern w:val="0"/>
          <w:sz w:val="24"/>
          <w:szCs w:val="24"/>
          <w:u w:val="none" w:color="auto"/>
        </w:rPr>
        <w:t>项目</w:t>
      </w:r>
      <w:r>
        <w:rPr>
          <w:rFonts w:ascii="Times New Roman" w:hAnsi="Times New Roman" w:eastAsia="宋体" w:cs="Times New Roman"/>
          <w:color w:val="auto"/>
          <w:sz w:val="24"/>
          <w:szCs w:val="24"/>
          <w:u w:val="none" w:color="auto"/>
        </w:rPr>
        <w:t>生活污水经三级化粪池预处理达到</w:t>
      </w:r>
      <w:r>
        <w:rPr>
          <w:rFonts w:hint="eastAsia" w:ascii="Times New Roman" w:hAnsi="Times New Roman" w:eastAsia="宋体" w:cs="Times New Roman"/>
          <w:color w:val="auto"/>
          <w:sz w:val="24"/>
          <w:szCs w:val="24"/>
          <w:u w:val="none" w:color="auto"/>
          <w:lang w:eastAsia="zh-CN"/>
        </w:rPr>
        <w:t>大榄坪污水处理厂接管标准</w:t>
      </w:r>
      <w:r>
        <w:rPr>
          <w:rFonts w:ascii="Times New Roman" w:hAnsi="Times New Roman" w:eastAsia="宋体" w:cs="Times New Roman"/>
          <w:color w:val="auto"/>
          <w:sz w:val="24"/>
          <w:szCs w:val="24"/>
          <w:u w:val="none" w:color="auto"/>
        </w:rPr>
        <w:t>要求后，经市政管网排入大榄坪污水处理厂</w:t>
      </w:r>
      <w:r>
        <w:rPr>
          <w:rFonts w:hint="eastAsia" w:ascii="Times New Roman" w:hAnsi="Times New Roman" w:eastAsia="宋体" w:cs="Times New Roman"/>
          <w:color w:val="auto"/>
          <w:sz w:val="24"/>
          <w:szCs w:val="24"/>
          <w:u w:val="none" w:color="auto"/>
        </w:rPr>
        <w:t>处理</w:t>
      </w:r>
      <w:r>
        <w:rPr>
          <w:rFonts w:ascii="Times New Roman" w:hAnsi="Times New Roman" w:eastAsia="宋体" w:cs="Times New Roman"/>
          <w:color w:val="auto"/>
          <w:kern w:val="0"/>
          <w:sz w:val="24"/>
          <w:szCs w:val="24"/>
          <w:u w:val="none" w:color="auto"/>
        </w:rPr>
        <w:t>，不直接排入地表水体，对区域地表水环境影响较小</w:t>
      </w:r>
      <w:r>
        <w:rPr>
          <w:rFonts w:ascii="Times New Roman" w:hAnsi="Times New Roman" w:eastAsia="宋体" w:cs="Times New Roman"/>
          <w:color w:val="auto"/>
          <w:sz w:val="24"/>
          <w:szCs w:val="24"/>
          <w:u w:val="none" w:color="auto"/>
        </w:rPr>
        <w:t>。</w:t>
      </w:r>
    </w:p>
    <w:p w14:paraId="5509EB01">
      <w:pPr>
        <w:keepNext w:val="0"/>
        <w:keepLines w:val="0"/>
        <w:pageBreakBefore w:val="0"/>
        <w:widowControl w:val="0"/>
        <w:kinsoku/>
        <w:wordWrap/>
        <w:overflowPunct/>
        <w:topLinePunct w:val="0"/>
        <w:autoSpaceDE/>
        <w:autoSpaceDN/>
        <w:bidi w:val="0"/>
        <w:adjustRightInd/>
        <w:snapToGrid/>
        <w:spacing w:line="360" w:lineRule="auto"/>
        <w:ind w:left="0" w:firstLine="520" w:firstLineChars="200"/>
        <w:jc w:val="both"/>
        <w:textAlignment w:val="auto"/>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eastAsia="宋体" w:cs="Times New Roman"/>
          <w:color w:val="auto"/>
          <w:spacing w:val="10"/>
          <w:sz w:val="24"/>
          <w:szCs w:val="24"/>
          <w:highlight w:val="none"/>
          <w:u w:val="single"/>
        </w:rPr>
        <w:t>初期雨水</w:t>
      </w:r>
      <w:r>
        <w:rPr>
          <w:rFonts w:hint="eastAsia" w:ascii="Times New Roman" w:hAnsi="Times New Roman" w:eastAsia="宋体" w:cs="Times New Roman"/>
          <w:color w:val="auto"/>
          <w:spacing w:val="10"/>
          <w:sz w:val="24"/>
          <w:szCs w:val="24"/>
          <w:highlight w:val="none"/>
          <w:u w:val="single"/>
          <w:lang w:val="en-US" w:eastAsia="zh-CN"/>
        </w:rPr>
        <w:t>经雨水沟收集</w:t>
      </w:r>
      <w:r>
        <w:rPr>
          <w:rFonts w:hint="default" w:ascii="Times New Roman" w:hAnsi="Times New Roman" w:eastAsia="宋体" w:cs="Times New Roman"/>
          <w:color w:val="auto"/>
          <w:spacing w:val="10"/>
          <w:sz w:val="24"/>
          <w:szCs w:val="24"/>
          <w:highlight w:val="none"/>
          <w:u w:val="single"/>
        </w:rPr>
        <w:t>，</w:t>
      </w:r>
      <w:r>
        <w:rPr>
          <w:rFonts w:hint="eastAsia" w:ascii="Times New Roman" w:hAnsi="Times New Roman" w:eastAsia="宋体" w:cs="Times New Roman"/>
          <w:color w:val="auto"/>
          <w:spacing w:val="10"/>
          <w:sz w:val="24"/>
          <w:szCs w:val="24"/>
          <w:highlight w:val="none"/>
          <w:u w:val="single"/>
          <w:lang w:eastAsia="zh-CN"/>
        </w:rPr>
        <w:t>排入</w:t>
      </w:r>
      <w:r>
        <w:rPr>
          <w:rFonts w:hint="default" w:ascii="Times New Roman" w:hAnsi="Times New Roman" w:eastAsia="宋体" w:cs="Times New Roman"/>
          <w:snapToGrid w:val="0"/>
          <w:color w:val="auto"/>
          <w:sz w:val="24"/>
          <w:szCs w:val="24"/>
          <w:highlight w:val="none"/>
          <w:u w:val="single"/>
        </w:rPr>
        <w:t>初期雨水收集池</w:t>
      </w:r>
      <w:r>
        <w:rPr>
          <w:rFonts w:hint="default" w:ascii="Times New Roman" w:hAnsi="Times New Roman" w:eastAsia="宋体" w:cs="Times New Roman"/>
          <w:color w:val="auto"/>
          <w:spacing w:val="10"/>
          <w:sz w:val="24"/>
          <w:szCs w:val="24"/>
          <w:highlight w:val="none"/>
          <w:u w:val="single"/>
        </w:rPr>
        <w:t>中，</w:t>
      </w:r>
      <w:r>
        <w:rPr>
          <w:rFonts w:hint="eastAsia" w:ascii="Times New Roman" w:hAnsi="Times New Roman" w:eastAsia="宋体" w:cs="Times New Roman"/>
          <w:color w:val="auto"/>
          <w:spacing w:val="10"/>
          <w:sz w:val="24"/>
          <w:szCs w:val="24"/>
          <w:highlight w:val="none"/>
          <w:u w:val="single"/>
          <w:lang w:val="en-US" w:eastAsia="zh-CN"/>
        </w:rPr>
        <w:t>收集沉淀处理后用于厂区洒水降尘，不外排</w:t>
      </w:r>
      <w:r>
        <w:rPr>
          <w:rFonts w:hint="default" w:ascii="Times New Roman" w:hAnsi="Times New Roman" w:eastAsia="宋体" w:cs="Times New Roman"/>
          <w:color w:val="auto"/>
          <w:spacing w:val="10"/>
          <w:sz w:val="24"/>
          <w:szCs w:val="24"/>
          <w:highlight w:val="none"/>
          <w:u w:val="single"/>
        </w:rPr>
        <w:t>，对周围环境影响较小。</w:t>
      </w:r>
      <w:r>
        <w:rPr>
          <w:rFonts w:hint="eastAsia" w:ascii="Times New Roman" w:hAnsi="Times New Roman" w:eastAsia="宋体" w:cs="Times New Roman"/>
          <w:color w:val="auto"/>
          <w:spacing w:val="10"/>
          <w:sz w:val="24"/>
          <w:szCs w:val="24"/>
          <w:highlight w:val="none"/>
          <w:u w:val="single"/>
          <w:lang w:val="en-US" w:eastAsia="zh-CN"/>
        </w:rPr>
        <w:t>生产区设置</w:t>
      </w:r>
      <w:r>
        <w:rPr>
          <w:rFonts w:hint="eastAsia" w:ascii="Times New Roman" w:hAnsi="Times New Roman" w:eastAsia="宋体" w:cs="Times New Roman"/>
          <w:color w:val="auto"/>
          <w:sz w:val="24"/>
          <w:szCs w:val="24"/>
          <w:highlight w:val="none"/>
          <w:u w:val="single"/>
          <w:lang w:val="en-US" w:eastAsia="zh-CN"/>
        </w:rPr>
        <w:t>900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初期雨水池，产品堆场设置</w:t>
      </w:r>
      <w:r>
        <w:rPr>
          <w:rFonts w:hint="eastAsia" w:ascii="Times New Roman" w:hAnsi="Times New Roman" w:eastAsia="宋体" w:cs="Times New Roman"/>
          <w:color w:val="auto"/>
          <w:sz w:val="24"/>
          <w:szCs w:val="24"/>
          <w:highlight w:val="none"/>
          <w:u w:val="single"/>
          <w:lang w:val="en-US" w:eastAsia="zh-CN"/>
        </w:rPr>
        <w:t>550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w:t>
      </w:r>
    </w:p>
    <w:p w14:paraId="53144753">
      <w:pPr>
        <w:autoSpaceDE w:val="0"/>
        <w:autoSpaceDN w:val="0"/>
        <w:spacing w:line="360" w:lineRule="auto"/>
        <w:ind w:firstLine="480"/>
        <w:rPr>
          <w:rFonts w:ascii="Times New Roman" w:hAnsi="Times New Roman" w:eastAsia="宋体" w:cs="Times New Roman"/>
          <w:color w:val="auto"/>
          <w:kern w:val="0"/>
          <w:sz w:val="24"/>
          <w:szCs w:val="24"/>
          <w:u w:val="none" w:color="auto"/>
        </w:rPr>
      </w:pPr>
      <w:bookmarkStart w:id="233" w:name="_Hlk1724421"/>
      <w:r>
        <w:rPr>
          <w:rFonts w:ascii="Times New Roman" w:hAnsi="Times New Roman" w:eastAsia="宋体" w:cs="Times New Roman"/>
          <w:color w:val="auto"/>
          <w:kern w:val="0"/>
          <w:sz w:val="24"/>
          <w:szCs w:val="24"/>
          <w:u w:val="none" w:color="auto"/>
        </w:rPr>
        <w:t>大榄坪污水处理厂</w:t>
      </w:r>
      <w:r>
        <w:rPr>
          <w:rFonts w:hint="eastAsia" w:ascii="Times New Roman" w:hAnsi="Times New Roman" w:eastAsia="宋体" w:cs="Times New Roman"/>
          <w:color w:val="auto"/>
          <w:kern w:val="0"/>
          <w:sz w:val="24"/>
          <w:szCs w:val="24"/>
          <w:u w:val="none" w:color="auto"/>
        </w:rPr>
        <w:t>污水</w:t>
      </w:r>
      <w:r>
        <w:rPr>
          <w:rFonts w:ascii="Times New Roman" w:hAnsi="Times New Roman" w:eastAsia="宋体" w:cs="Times New Roman"/>
          <w:color w:val="auto"/>
          <w:kern w:val="0"/>
          <w:sz w:val="24"/>
          <w:szCs w:val="24"/>
          <w:u w:val="none" w:color="auto"/>
        </w:rPr>
        <w:t>处理工艺</w:t>
      </w:r>
      <w:r>
        <w:rPr>
          <w:rFonts w:hint="eastAsia" w:ascii="Times New Roman" w:hAnsi="Times New Roman" w:eastAsia="宋体" w:cs="Times New Roman"/>
          <w:color w:val="auto"/>
          <w:kern w:val="0"/>
          <w:sz w:val="24"/>
          <w:szCs w:val="24"/>
          <w:u w:val="none" w:color="auto"/>
        </w:rPr>
        <w:t>采用</w:t>
      </w:r>
      <w:r>
        <w:rPr>
          <w:rFonts w:ascii="Times New Roman" w:hAnsi="Times New Roman" w:eastAsia="宋体" w:cs="Times New Roman"/>
          <w:color w:val="auto"/>
          <w:kern w:val="0"/>
          <w:sz w:val="24"/>
          <w:szCs w:val="24"/>
          <w:u w:val="none" w:color="auto"/>
        </w:rPr>
        <w:t>A/A/O微曝氧化沟工艺</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对项目产生的</w:t>
      </w:r>
      <w:r>
        <w:rPr>
          <w:rFonts w:hint="eastAsia" w:ascii="Times New Roman" w:hAnsi="Times New Roman" w:eastAsia="宋体" w:cs="Times New Roman"/>
          <w:color w:val="auto"/>
          <w:kern w:val="0"/>
          <w:sz w:val="24"/>
          <w:szCs w:val="24"/>
          <w:u w:val="none" w:color="auto"/>
        </w:rPr>
        <w:t>生活污水</w:t>
      </w:r>
      <w:r>
        <w:rPr>
          <w:rFonts w:ascii="Times New Roman" w:hAnsi="Times New Roman" w:eastAsia="宋体" w:cs="Times New Roman"/>
          <w:color w:val="auto"/>
          <w:kern w:val="0"/>
          <w:sz w:val="24"/>
          <w:szCs w:val="24"/>
          <w:u w:val="none" w:color="auto"/>
        </w:rPr>
        <w:t xml:space="preserve"> COD、BOD</w:t>
      </w:r>
      <w:r>
        <w:rPr>
          <w:rFonts w:ascii="Times New Roman" w:hAnsi="Times New Roman" w:eastAsia="宋体" w:cs="Times New Roman"/>
          <w:color w:val="auto"/>
          <w:kern w:val="0"/>
          <w:sz w:val="24"/>
          <w:szCs w:val="24"/>
          <w:u w:val="none" w:color="auto"/>
          <w:vertAlign w:val="subscript"/>
        </w:rPr>
        <w:t>5</w:t>
      </w:r>
      <w:r>
        <w:rPr>
          <w:rFonts w:ascii="Times New Roman" w:hAnsi="Times New Roman" w:eastAsia="宋体" w:cs="Times New Roman"/>
          <w:color w:val="auto"/>
          <w:kern w:val="0"/>
          <w:sz w:val="24"/>
          <w:szCs w:val="24"/>
          <w:u w:val="none" w:color="auto"/>
        </w:rPr>
        <w:t>、NH</w:t>
      </w:r>
      <w:r>
        <w:rPr>
          <w:rFonts w:ascii="Times New Roman" w:hAnsi="Times New Roman" w:eastAsia="宋体" w:cs="Times New Roman"/>
          <w:color w:val="auto"/>
          <w:kern w:val="0"/>
          <w:sz w:val="24"/>
          <w:szCs w:val="24"/>
          <w:u w:val="none" w:color="auto"/>
          <w:vertAlign w:val="subscript"/>
        </w:rPr>
        <w:t>3</w:t>
      </w:r>
      <w:r>
        <w:rPr>
          <w:rFonts w:ascii="Times New Roman" w:hAnsi="Times New Roman" w:eastAsia="宋体" w:cs="Times New Roman"/>
          <w:color w:val="auto"/>
          <w:kern w:val="0"/>
          <w:sz w:val="24"/>
          <w:szCs w:val="24"/>
          <w:u w:val="none" w:color="auto"/>
        </w:rPr>
        <w:t>-N有较好的处理作用</w:t>
      </w:r>
      <w:r>
        <w:rPr>
          <w:rFonts w:hint="eastAsia" w:ascii="Times New Roman" w:hAnsi="Times New Roman" w:eastAsia="宋体" w:cs="Times New Roman"/>
          <w:color w:val="auto"/>
          <w:kern w:val="0"/>
          <w:sz w:val="24"/>
          <w:szCs w:val="24"/>
          <w:u w:val="none" w:color="auto"/>
        </w:rPr>
        <w:t>，处理后尾水执行《城镇污水处理厂污染物排放标准》（GB18918-2002）一级</w:t>
      </w:r>
      <w:r>
        <w:rPr>
          <w:rFonts w:hint="eastAsia" w:ascii="Times New Roman" w:hAnsi="Times New Roman" w:eastAsia="宋体" w:cs="Times New Roman"/>
          <w:color w:val="auto"/>
          <w:kern w:val="0"/>
          <w:sz w:val="24"/>
          <w:szCs w:val="24"/>
          <w:u w:val="none" w:color="auto"/>
          <w:lang w:val="en-US" w:eastAsia="zh-CN"/>
        </w:rPr>
        <w:t>A</w:t>
      </w:r>
      <w:r>
        <w:rPr>
          <w:rFonts w:hint="eastAsia" w:ascii="Times New Roman" w:hAnsi="Times New Roman" w:eastAsia="宋体" w:cs="Times New Roman"/>
          <w:color w:val="auto"/>
          <w:kern w:val="0"/>
          <w:sz w:val="24"/>
          <w:szCs w:val="24"/>
          <w:u w:val="none" w:color="auto"/>
        </w:rPr>
        <w:t>标准，</w:t>
      </w:r>
      <w:r>
        <w:rPr>
          <w:rFonts w:hint="eastAsia" w:ascii="Times New Roman" w:hAnsi="Times New Roman" w:eastAsia="宋体" w:cs="Times New Roman"/>
          <w:color w:val="auto"/>
          <w:kern w:val="0"/>
          <w:sz w:val="24"/>
          <w:szCs w:val="20"/>
          <w:u w:val="none" w:color="auto"/>
        </w:rPr>
        <w:t>达标尾水</w:t>
      </w:r>
      <w:r>
        <w:rPr>
          <w:rFonts w:ascii="Times New Roman" w:hAnsi="Times New Roman" w:eastAsia="宋体" w:cs="Times New Roman"/>
          <w:color w:val="auto"/>
          <w:kern w:val="0"/>
          <w:sz w:val="24"/>
          <w:szCs w:val="20"/>
          <w:u w:val="none" w:color="auto"/>
        </w:rPr>
        <w:t>排入</w:t>
      </w:r>
      <w:r>
        <w:rPr>
          <w:rFonts w:ascii="Times New Roman" w:hAnsi="Times New Roman" w:eastAsia="宋体" w:cs="Times New Roman"/>
          <w:color w:val="auto"/>
          <w:sz w:val="24"/>
          <w:u w:val="single" w:color="auto"/>
        </w:rPr>
        <w:t>钦州港大榄坪</w:t>
      </w:r>
      <w:r>
        <w:rPr>
          <w:rFonts w:hint="eastAsia" w:ascii="Times New Roman" w:hAnsi="Times New Roman" w:eastAsia="宋体" w:cs="Times New Roman"/>
          <w:color w:val="auto"/>
          <w:sz w:val="24"/>
          <w:u w:val="single" w:color="auto"/>
          <w:lang w:val="en-US" w:eastAsia="zh-CN"/>
        </w:rPr>
        <w:t>排污混合</w:t>
      </w:r>
      <w:r>
        <w:rPr>
          <w:rFonts w:ascii="Times New Roman" w:hAnsi="Times New Roman" w:eastAsia="宋体" w:cs="Times New Roman"/>
          <w:color w:val="auto"/>
          <w:sz w:val="24"/>
          <w:u w:val="single" w:color="auto"/>
        </w:rPr>
        <w:t>区（GX0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kern w:val="0"/>
          <w:sz w:val="24"/>
          <w:szCs w:val="24"/>
          <w:u w:val="none" w:color="auto"/>
        </w:rPr>
        <w:t>。大榄坪污水处理厂的处理工艺的处理能力为5万m³/d，剩余处理能力约为4.7万m³/d。项目排水量占</w:t>
      </w:r>
      <w:r>
        <w:rPr>
          <w:rFonts w:ascii="Times New Roman" w:hAnsi="Times New Roman" w:eastAsia="宋体" w:cs="Times New Roman"/>
          <w:color w:val="auto"/>
          <w:kern w:val="0"/>
          <w:sz w:val="24"/>
          <w:szCs w:val="24"/>
          <w:u w:val="none" w:color="auto"/>
        </w:rPr>
        <w:t>大榄坪污水处理厂</w:t>
      </w:r>
      <w:r>
        <w:rPr>
          <w:rFonts w:hint="eastAsia" w:ascii="Times New Roman" w:hAnsi="Times New Roman" w:eastAsia="宋体" w:cs="Times New Roman"/>
          <w:color w:val="auto"/>
          <w:kern w:val="0"/>
          <w:sz w:val="24"/>
          <w:szCs w:val="24"/>
          <w:u w:val="none" w:color="auto"/>
        </w:rPr>
        <w:t>设计污水日处理量的比例很小，故不会对污水处理厂造成太大的负荷影响。目前项目所在地已配套建设完善的污水管网，项目生活污水可以顺利接入，排水方案可行。</w:t>
      </w:r>
    </w:p>
    <w:bookmarkEnd w:id="233"/>
    <w:p w14:paraId="53EE2854">
      <w:pPr>
        <w:pStyle w:val="3"/>
        <w:bidi w:val="0"/>
        <w:rPr>
          <w:color w:val="auto"/>
          <w:u w:val="none" w:color="auto"/>
        </w:rPr>
      </w:pPr>
      <w:bookmarkStart w:id="234" w:name="_Toc3728242"/>
      <w:bookmarkStart w:id="235" w:name="_Toc3955"/>
      <w:r>
        <w:rPr>
          <w:color w:val="auto"/>
          <w:u w:val="none" w:color="auto"/>
        </w:rPr>
        <w:t>声环境影响预测与评价</w:t>
      </w:r>
      <w:bookmarkEnd w:id="234"/>
      <w:bookmarkEnd w:id="235"/>
    </w:p>
    <w:p w14:paraId="00CE07BB">
      <w:pPr>
        <w:numPr>
          <w:ilvl w:val="2"/>
          <w:numId w:val="0"/>
        </w:numPr>
        <w:autoSpaceDE w:val="0"/>
        <w:autoSpaceDN w:val="0"/>
        <w:snapToGrid w:val="0"/>
        <w:spacing w:line="360" w:lineRule="auto"/>
        <w:jc w:val="left"/>
        <w:outlineLvl w:val="2"/>
        <w:rPr>
          <w:rFonts w:ascii="Times New Roman" w:hAnsi="Times New Roman" w:eastAsia="宋体" w:cs="Times New Roman"/>
          <w:b/>
          <w:snapToGrid w:val="0"/>
          <w:color w:val="auto"/>
          <w:sz w:val="28"/>
          <w:szCs w:val="20"/>
          <w:u w:val="none" w:color="auto"/>
        </w:rPr>
      </w:pPr>
      <w:bookmarkStart w:id="236" w:name="_Toc3728243"/>
      <w:r>
        <w:rPr>
          <w:rFonts w:hint="eastAsia" w:ascii="Times New Roman" w:hAnsi="Times New Roman" w:eastAsia="宋体" w:cs="Times New Roman"/>
          <w:b/>
          <w:snapToGrid w:val="0"/>
          <w:color w:val="auto"/>
          <w:sz w:val="28"/>
          <w:szCs w:val="20"/>
          <w:u w:val="none" w:color="auto"/>
        </w:rPr>
        <w:t>4</w:t>
      </w:r>
      <w:r>
        <w:rPr>
          <w:rFonts w:ascii="Times New Roman" w:hAnsi="Times New Roman" w:eastAsia="宋体" w:cs="Times New Roman"/>
          <w:b/>
          <w:snapToGrid w:val="0"/>
          <w:color w:val="auto"/>
          <w:sz w:val="28"/>
          <w:szCs w:val="20"/>
          <w:u w:val="none" w:color="auto"/>
        </w:rPr>
        <w:t>.4.1噪声源强</w:t>
      </w:r>
      <w:bookmarkEnd w:id="236"/>
    </w:p>
    <w:p w14:paraId="494B101D">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u w:val="none" w:color="auto"/>
        </w:rPr>
        <w:t>由工程分析可知，</w:t>
      </w:r>
      <w:r>
        <w:rPr>
          <w:rFonts w:ascii="Times New Roman" w:hAnsi="Times New Roman" w:eastAsia="宋体" w:cs="Times New Roman"/>
          <w:color w:val="auto"/>
          <w:sz w:val="24"/>
          <w:szCs w:val="24"/>
          <w:u w:val="none" w:color="auto"/>
        </w:rPr>
        <w:t>本项目主要噪声设备为切割机、锯床、组立机、矫正机、钻床、冲孔机、割圆机、剪板机、冲剪机、折弯机、卷弯机、型弯机、卷板机、铣削机、抛丸机、喷砂机、空压机等，噪声在75-</w:t>
      </w:r>
      <w:r>
        <w:rPr>
          <w:rFonts w:hint="eastAsia" w:ascii="Times New Roman" w:hAnsi="Times New Roman" w:eastAsia="宋体" w:cs="Times New Roman"/>
          <w:color w:val="auto"/>
          <w:sz w:val="24"/>
          <w:szCs w:val="24"/>
          <w:u w:val="none" w:color="auto"/>
          <w:lang w:val="en-US" w:eastAsia="zh-CN"/>
        </w:rPr>
        <w:t>105</w:t>
      </w:r>
      <w:r>
        <w:rPr>
          <w:rFonts w:ascii="Times New Roman" w:hAnsi="Times New Roman" w:eastAsia="宋体" w:cs="Times New Roman"/>
          <w:color w:val="auto"/>
          <w:sz w:val="24"/>
          <w:szCs w:val="24"/>
          <w:u w:val="none" w:color="auto"/>
        </w:rPr>
        <w:t>dB（A）之间。项目噪声源分布见表</w:t>
      </w:r>
      <w:r>
        <w:rPr>
          <w:rFonts w:hint="eastAsia" w:ascii="Times New Roman" w:hAnsi="Times New Roman" w:eastAsia="宋体" w:cs="Times New Roman"/>
          <w:color w:val="auto"/>
          <w:sz w:val="24"/>
          <w:szCs w:val="24"/>
          <w:u w:val="none" w:color="auto"/>
        </w:rPr>
        <w:t>4</w:t>
      </w:r>
      <w:r>
        <w:rPr>
          <w:rFonts w:ascii="Times New Roman" w:hAnsi="Times New Roman" w:eastAsia="宋体" w:cs="Times New Roman"/>
          <w:color w:val="auto"/>
          <w:sz w:val="24"/>
          <w:szCs w:val="24"/>
          <w:u w:val="none" w:color="auto"/>
        </w:rPr>
        <w:t>.4-1。</w:t>
      </w:r>
    </w:p>
    <w:p w14:paraId="7BE12415">
      <w:pPr>
        <w:keepNext w:val="0"/>
        <w:keepLines w:val="0"/>
        <w:pageBreakBefore w:val="0"/>
        <w:widowControl w:val="0"/>
        <w:kinsoku/>
        <w:wordWrap/>
        <w:overflowPunct/>
        <w:topLinePunct w:val="0"/>
        <w:autoSpaceDE/>
        <w:autoSpaceDN/>
        <w:bidi w:val="0"/>
        <w:adjustRightInd/>
        <w:snapToGrid/>
        <w:spacing w:before="161" w:beforeLines="50"/>
        <w:ind w:left="0" w:leftChars="0" w:firstLine="0" w:firstLineChars="0"/>
        <w:jc w:val="center"/>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表</w:t>
      </w:r>
      <w:r>
        <w:rPr>
          <w:rFonts w:hint="eastAsia" w:ascii="Times New Roman" w:hAnsi="Times New Roman" w:eastAsia="宋体" w:cs="Times New Roman"/>
          <w:b/>
          <w:bCs/>
          <w:color w:val="auto"/>
          <w:sz w:val="24"/>
          <w:szCs w:val="24"/>
          <w:lang w:val="en-US" w:eastAsia="zh-CN"/>
        </w:rPr>
        <w:t xml:space="preserve">4.4-1 </w:t>
      </w:r>
      <w:r>
        <w:rPr>
          <w:rFonts w:hint="default" w:ascii="Times New Roman" w:hAnsi="Times New Roman" w:eastAsia="宋体" w:cs="Times New Roman"/>
          <w:b/>
          <w:bCs/>
          <w:color w:val="auto"/>
          <w:sz w:val="24"/>
          <w:szCs w:val="24"/>
          <w:lang w:eastAsia="zh-CN"/>
        </w:rPr>
        <w:t>各生产设备噪声源强一览表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1802"/>
        <w:gridCol w:w="2316"/>
        <w:gridCol w:w="3370"/>
      </w:tblGrid>
      <w:tr w14:paraId="3132E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1A63DB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序号</w:t>
            </w:r>
          </w:p>
        </w:tc>
        <w:tc>
          <w:tcPr>
            <w:tcW w:w="1058" w:type="pct"/>
            <w:noWrap w:val="0"/>
            <w:vAlign w:val="center"/>
          </w:tcPr>
          <w:p w14:paraId="6FDE432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设备名称</w:t>
            </w:r>
          </w:p>
        </w:tc>
        <w:tc>
          <w:tcPr>
            <w:tcW w:w="1360" w:type="pct"/>
            <w:noWrap w:val="0"/>
            <w:vAlign w:val="center"/>
          </w:tcPr>
          <w:p w14:paraId="1677D9F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数量（台/套）</w:t>
            </w:r>
          </w:p>
        </w:tc>
        <w:tc>
          <w:tcPr>
            <w:tcW w:w="1979" w:type="pct"/>
            <w:noWrap w:val="0"/>
            <w:vAlign w:val="center"/>
          </w:tcPr>
          <w:p w14:paraId="19A5A1F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噪声值dB</w:t>
            </w:r>
            <w:r>
              <w:rPr>
                <w:rFonts w:hint="default" w:ascii="Times New Roman" w:hAnsi="Times New Roman" w:eastAsia="宋体" w:cs="Times New Roman"/>
                <w:color w:val="auto"/>
                <w:sz w:val="21"/>
                <w:szCs w:val="21"/>
                <w:u w:val="single" w:color="auto"/>
                <w:lang w:eastAsia="zh-CN"/>
              </w:rPr>
              <w:t>（A）</w:t>
            </w:r>
          </w:p>
        </w:tc>
      </w:tr>
      <w:tr w14:paraId="6316A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6C20455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058" w:type="pct"/>
            <w:noWrap w:val="0"/>
            <w:vAlign w:val="center"/>
          </w:tcPr>
          <w:p w14:paraId="51CD822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多头条直切割机</w:t>
            </w:r>
          </w:p>
        </w:tc>
        <w:tc>
          <w:tcPr>
            <w:tcW w:w="1360" w:type="pct"/>
            <w:noWrap w:val="0"/>
            <w:vAlign w:val="center"/>
          </w:tcPr>
          <w:p w14:paraId="2A060B7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979" w:type="pct"/>
            <w:noWrap w:val="0"/>
            <w:vAlign w:val="center"/>
          </w:tcPr>
          <w:p w14:paraId="692A9D0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6631E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74B1AA1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058" w:type="pct"/>
            <w:noWrap w:val="0"/>
            <w:vAlign w:val="center"/>
          </w:tcPr>
          <w:p w14:paraId="2174033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数控直条切割机</w:t>
            </w:r>
          </w:p>
        </w:tc>
        <w:tc>
          <w:tcPr>
            <w:tcW w:w="1360" w:type="pct"/>
            <w:noWrap w:val="0"/>
            <w:vAlign w:val="center"/>
          </w:tcPr>
          <w:p w14:paraId="15492EA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12</w:t>
            </w:r>
          </w:p>
        </w:tc>
        <w:tc>
          <w:tcPr>
            <w:tcW w:w="1979" w:type="pct"/>
            <w:noWrap w:val="0"/>
            <w:vAlign w:val="center"/>
          </w:tcPr>
          <w:p w14:paraId="0C7C609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2F6FF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03CE8E4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3</w:t>
            </w:r>
          </w:p>
        </w:tc>
        <w:tc>
          <w:tcPr>
            <w:tcW w:w="1058" w:type="pct"/>
            <w:noWrap w:val="0"/>
            <w:vAlign w:val="center"/>
          </w:tcPr>
          <w:p w14:paraId="2356A8D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数控等离子门式切割机</w:t>
            </w:r>
          </w:p>
        </w:tc>
        <w:tc>
          <w:tcPr>
            <w:tcW w:w="1360" w:type="pct"/>
            <w:noWrap w:val="0"/>
            <w:vAlign w:val="center"/>
          </w:tcPr>
          <w:p w14:paraId="7F965A6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9" w:type="pct"/>
            <w:noWrap w:val="0"/>
            <w:vAlign w:val="center"/>
          </w:tcPr>
          <w:p w14:paraId="27F5E26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36C35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4CFF5BE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058" w:type="pct"/>
            <w:noWrap w:val="0"/>
            <w:vAlign w:val="center"/>
          </w:tcPr>
          <w:p w14:paraId="0E0B354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数控等离子相贯线切割机</w:t>
            </w:r>
          </w:p>
        </w:tc>
        <w:tc>
          <w:tcPr>
            <w:tcW w:w="1360" w:type="pct"/>
            <w:noWrap w:val="0"/>
            <w:vAlign w:val="center"/>
          </w:tcPr>
          <w:p w14:paraId="4962214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9" w:type="pct"/>
            <w:noWrap w:val="0"/>
            <w:vAlign w:val="center"/>
          </w:tcPr>
          <w:p w14:paraId="11FF525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70</w:t>
            </w:r>
          </w:p>
        </w:tc>
      </w:tr>
      <w:tr w14:paraId="65BED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4BC4F80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5</w:t>
            </w:r>
          </w:p>
        </w:tc>
        <w:tc>
          <w:tcPr>
            <w:tcW w:w="1058" w:type="pct"/>
            <w:noWrap w:val="0"/>
            <w:vAlign w:val="center"/>
          </w:tcPr>
          <w:p w14:paraId="2DF8B2E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锯床</w:t>
            </w:r>
          </w:p>
        </w:tc>
        <w:tc>
          <w:tcPr>
            <w:tcW w:w="1360" w:type="pct"/>
            <w:noWrap w:val="0"/>
            <w:vAlign w:val="center"/>
          </w:tcPr>
          <w:p w14:paraId="4EFF676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9" w:type="pct"/>
            <w:noWrap w:val="0"/>
            <w:vAlign w:val="center"/>
          </w:tcPr>
          <w:p w14:paraId="24B0220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5FC53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0AD1F4A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058" w:type="pct"/>
            <w:noWrap w:val="0"/>
            <w:vAlign w:val="center"/>
          </w:tcPr>
          <w:p w14:paraId="4E89A07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摇臂钻床</w:t>
            </w:r>
          </w:p>
        </w:tc>
        <w:tc>
          <w:tcPr>
            <w:tcW w:w="1360" w:type="pct"/>
            <w:noWrap w:val="0"/>
            <w:vAlign w:val="center"/>
          </w:tcPr>
          <w:p w14:paraId="1C50D51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w:t>
            </w:r>
          </w:p>
        </w:tc>
        <w:tc>
          <w:tcPr>
            <w:tcW w:w="1979" w:type="pct"/>
            <w:noWrap w:val="0"/>
            <w:vAlign w:val="center"/>
          </w:tcPr>
          <w:p w14:paraId="2AF5EC8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52320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691DF12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7</w:t>
            </w:r>
          </w:p>
        </w:tc>
        <w:tc>
          <w:tcPr>
            <w:tcW w:w="1058" w:type="pct"/>
            <w:noWrap w:val="0"/>
            <w:vAlign w:val="center"/>
          </w:tcPr>
          <w:p w14:paraId="6BADEFA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数控平板钻床</w:t>
            </w:r>
          </w:p>
        </w:tc>
        <w:tc>
          <w:tcPr>
            <w:tcW w:w="1360" w:type="pct"/>
            <w:noWrap w:val="0"/>
            <w:vAlign w:val="center"/>
          </w:tcPr>
          <w:p w14:paraId="1647871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9" w:type="pct"/>
            <w:noWrap w:val="0"/>
            <w:vAlign w:val="center"/>
          </w:tcPr>
          <w:p w14:paraId="205CE7C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03EBE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6A4DF1E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w:t>
            </w:r>
          </w:p>
        </w:tc>
        <w:tc>
          <w:tcPr>
            <w:tcW w:w="1058" w:type="pct"/>
            <w:noWrap w:val="0"/>
            <w:vAlign w:val="center"/>
          </w:tcPr>
          <w:p w14:paraId="589A5A0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磁力钻</w:t>
            </w:r>
          </w:p>
        </w:tc>
        <w:tc>
          <w:tcPr>
            <w:tcW w:w="1360" w:type="pct"/>
            <w:noWrap w:val="0"/>
            <w:vAlign w:val="center"/>
          </w:tcPr>
          <w:p w14:paraId="094B724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979" w:type="pct"/>
            <w:noWrap w:val="0"/>
            <w:vAlign w:val="center"/>
          </w:tcPr>
          <w:p w14:paraId="0CF176C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50C37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339FCED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9</w:t>
            </w:r>
          </w:p>
        </w:tc>
        <w:tc>
          <w:tcPr>
            <w:tcW w:w="1058" w:type="pct"/>
            <w:noWrap w:val="0"/>
            <w:vAlign w:val="center"/>
          </w:tcPr>
          <w:p w14:paraId="2ACDE6E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冲孔机</w:t>
            </w:r>
          </w:p>
        </w:tc>
        <w:tc>
          <w:tcPr>
            <w:tcW w:w="1360" w:type="pct"/>
            <w:noWrap w:val="0"/>
            <w:vAlign w:val="center"/>
          </w:tcPr>
          <w:p w14:paraId="4747B70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9" w:type="pct"/>
            <w:noWrap w:val="0"/>
            <w:vAlign w:val="center"/>
          </w:tcPr>
          <w:p w14:paraId="4DD7455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5B86F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58FAC9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058" w:type="pct"/>
            <w:noWrap w:val="0"/>
            <w:vAlign w:val="center"/>
          </w:tcPr>
          <w:p w14:paraId="53A2705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割圆机</w:t>
            </w:r>
          </w:p>
        </w:tc>
        <w:tc>
          <w:tcPr>
            <w:tcW w:w="1360" w:type="pct"/>
            <w:noWrap w:val="0"/>
            <w:vAlign w:val="center"/>
          </w:tcPr>
          <w:p w14:paraId="6A46537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6</w:t>
            </w:r>
          </w:p>
        </w:tc>
        <w:tc>
          <w:tcPr>
            <w:tcW w:w="1979" w:type="pct"/>
            <w:noWrap w:val="0"/>
            <w:vAlign w:val="center"/>
          </w:tcPr>
          <w:p w14:paraId="743896D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702F3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F3D8E0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11</w:t>
            </w:r>
          </w:p>
        </w:tc>
        <w:tc>
          <w:tcPr>
            <w:tcW w:w="1058" w:type="pct"/>
            <w:noWrap w:val="0"/>
            <w:vAlign w:val="center"/>
          </w:tcPr>
          <w:p w14:paraId="18EA58B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剪板机</w:t>
            </w:r>
          </w:p>
        </w:tc>
        <w:tc>
          <w:tcPr>
            <w:tcW w:w="1360" w:type="pct"/>
            <w:noWrap w:val="0"/>
            <w:vAlign w:val="center"/>
          </w:tcPr>
          <w:p w14:paraId="465D483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9" w:type="pct"/>
            <w:noWrap w:val="0"/>
            <w:vAlign w:val="center"/>
          </w:tcPr>
          <w:p w14:paraId="3EDDF09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470DA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2BE66A5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12</w:t>
            </w:r>
          </w:p>
        </w:tc>
        <w:tc>
          <w:tcPr>
            <w:tcW w:w="1058" w:type="pct"/>
            <w:noWrap w:val="0"/>
            <w:vAlign w:val="center"/>
          </w:tcPr>
          <w:p w14:paraId="73EDA8B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联合冲剪机</w:t>
            </w:r>
          </w:p>
        </w:tc>
        <w:tc>
          <w:tcPr>
            <w:tcW w:w="1360" w:type="pct"/>
            <w:noWrap w:val="0"/>
            <w:vAlign w:val="center"/>
          </w:tcPr>
          <w:p w14:paraId="709C2D0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1979" w:type="pct"/>
            <w:noWrap w:val="0"/>
            <w:vAlign w:val="center"/>
          </w:tcPr>
          <w:p w14:paraId="26B8689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339CC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2" w:type="pct"/>
            <w:noWrap w:val="0"/>
            <w:vAlign w:val="center"/>
          </w:tcPr>
          <w:p w14:paraId="51CD52A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13</w:t>
            </w:r>
          </w:p>
        </w:tc>
        <w:tc>
          <w:tcPr>
            <w:tcW w:w="1058" w:type="pct"/>
            <w:noWrap w:val="0"/>
            <w:vAlign w:val="center"/>
          </w:tcPr>
          <w:p w14:paraId="04B111FC">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龙门吊</w:t>
            </w:r>
          </w:p>
        </w:tc>
        <w:tc>
          <w:tcPr>
            <w:tcW w:w="1360" w:type="pct"/>
            <w:noWrap w:val="0"/>
            <w:vAlign w:val="center"/>
          </w:tcPr>
          <w:p w14:paraId="684484F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32</w:t>
            </w:r>
          </w:p>
        </w:tc>
        <w:tc>
          <w:tcPr>
            <w:tcW w:w="1979" w:type="pct"/>
            <w:noWrap w:val="0"/>
            <w:vAlign w:val="center"/>
          </w:tcPr>
          <w:p w14:paraId="2561CF2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2F79F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02" w:type="pct"/>
            <w:noWrap w:val="0"/>
            <w:vAlign w:val="center"/>
          </w:tcPr>
          <w:p w14:paraId="64798E4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14</w:t>
            </w:r>
          </w:p>
        </w:tc>
        <w:tc>
          <w:tcPr>
            <w:tcW w:w="1058" w:type="pct"/>
            <w:noWrap w:val="0"/>
            <w:vAlign w:val="center"/>
          </w:tcPr>
          <w:p w14:paraId="42843808">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ascii="Times New Roman" w:hAnsi="Times New Roman" w:eastAsia="宋体" w:cs="Times New Roman"/>
                <w:color w:val="auto"/>
                <w:szCs w:val="21"/>
                <w:u w:val="single" w:color="auto"/>
              </w:rPr>
              <w:t>型钢抛丸机</w:t>
            </w:r>
          </w:p>
        </w:tc>
        <w:tc>
          <w:tcPr>
            <w:tcW w:w="1360" w:type="pct"/>
            <w:noWrap w:val="0"/>
            <w:vAlign w:val="center"/>
          </w:tcPr>
          <w:p w14:paraId="02D6AD9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4</w:t>
            </w:r>
          </w:p>
        </w:tc>
        <w:tc>
          <w:tcPr>
            <w:tcW w:w="1979" w:type="pct"/>
            <w:noWrap w:val="0"/>
            <w:vAlign w:val="center"/>
          </w:tcPr>
          <w:p w14:paraId="54B241E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3FFB2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02" w:type="pct"/>
            <w:noWrap w:val="0"/>
            <w:vAlign w:val="center"/>
          </w:tcPr>
          <w:p w14:paraId="67A530E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15</w:t>
            </w:r>
          </w:p>
        </w:tc>
        <w:tc>
          <w:tcPr>
            <w:tcW w:w="1058" w:type="pct"/>
            <w:noWrap w:val="0"/>
            <w:vAlign w:val="center"/>
          </w:tcPr>
          <w:p w14:paraId="38A9DEDE">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u w:val="single" w:color="auto"/>
                <w:lang w:val="en-US" w:eastAsia="zh-CN"/>
              </w:rPr>
            </w:pPr>
            <w:r>
              <w:rPr>
                <w:rFonts w:hint="eastAsia" w:ascii="Times New Roman" w:hAnsi="Times New Roman" w:cs="Times New Roman"/>
                <w:color w:val="auto"/>
                <w:szCs w:val="21"/>
                <w:u w:val="single" w:color="auto"/>
                <w:lang w:val="en-US" w:eastAsia="zh-CN"/>
              </w:rPr>
              <w:t>喷砂机</w:t>
            </w:r>
          </w:p>
        </w:tc>
        <w:tc>
          <w:tcPr>
            <w:tcW w:w="1360" w:type="pct"/>
            <w:noWrap w:val="0"/>
            <w:vAlign w:val="center"/>
          </w:tcPr>
          <w:p w14:paraId="4298201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979" w:type="pct"/>
            <w:noWrap w:val="0"/>
            <w:vAlign w:val="center"/>
          </w:tcPr>
          <w:p w14:paraId="3AA1A26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85</w:t>
            </w:r>
          </w:p>
        </w:tc>
      </w:tr>
      <w:tr w14:paraId="7D1E8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0" w:hRule="atLeast"/>
          <w:jc w:val="center"/>
        </w:trPr>
        <w:tc>
          <w:tcPr>
            <w:tcW w:w="602" w:type="pct"/>
            <w:noWrap w:val="0"/>
            <w:vAlign w:val="center"/>
          </w:tcPr>
          <w:p w14:paraId="1115EBC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16</w:t>
            </w:r>
          </w:p>
        </w:tc>
        <w:tc>
          <w:tcPr>
            <w:tcW w:w="1058" w:type="pct"/>
            <w:noWrap w:val="0"/>
            <w:vAlign w:val="center"/>
          </w:tcPr>
          <w:p w14:paraId="29F0EA42">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color w:val="auto"/>
                <w:spacing w:val="18"/>
                <w:sz w:val="21"/>
                <w:szCs w:val="21"/>
                <w:u w:val="single" w:color="auto"/>
              </w:rPr>
              <w:t>空压机</w:t>
            </w:r>
          </w:p>
        </w:tc>
        <w:tc>
          <w:tcPr>
            <w:tcW w:w="1360" w:type="pct"/>
            <w:noWrap w:val="0"/>
            <w:vAlign w:val="center"/>
          </w:tcPr>
          <w:p w14:paraId="58FA249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w:t>
            </w:r>
          </w:p>
        </w:tc>
        <w:tc>
          <w:tcPr>
            <w:tcW w:w="1979" w:type="pct"/>
            <w:noWrap w:val="0"/>
            <w:vAlign w:val="center"/>
          </w:tcPr>
          <w:p w14:paraId="2A15E66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105</w:t>
            </w:r>
          </w:p>
        </w:tc>
      </w:tr>
    </w:tbl>
    <w:p w14:paraId="3CFDB707">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p>
    <w:p w14:paraId="08B3B377">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p>
    <w:p w14:paraId="1A85D2BB">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p>
    <w:p w14:paraId="0DEAA0D7">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p>
    <w:p w14:paraId="093157DE">
      <w:pPr>
        <w:autoSpaceDE w:val="0"/>
        <w:autoSpaceDN w:val="0"/>
        <w:spacing w:line="520" w:lineRule="exact"/>
        <w:ind w:firstLine="480" w:firstLineChars="200"/>
        <w:rPr>
          <w:rFonts w:ascii="Times New Roman" w:hAnsi="Times New Roman" w:eastAsia="宋体" w:cs="Times New Roman"/>
          <w:color w:val="auto"/>
          <w:sz w:val="24"/>
          <w:szCs w:val="24"/>
          <w:u w:val="none" w:color="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9" w:charSpace="0"/>
        </w:sectPr>
      </w:pPr>
    </w:p>
    <w:p w14:paraId="4AB3412C">
      <w:pPr>
        <w:autoSpaceDE w:val="0"/>
        <w:autoSpaceDN w:val="0"/>
        <w:spacing w:line="520" w:lineRule="exact"/>
        <w:ind w:firstLine="480" w:firstLineChars="200"/>
        <w:rPr>
          <w:rFonts w:ascii="Times New Roman" w:hAnsi="Times New Roman" w:eastAsia="宋体" w:cs="Times New Roman"/>
          <w:color w:val="auto"/>
          <w:sz w:val="24"/>
          <w:szCs w:val="24"/>
          <w:u w:val="none" w:color="auto"/>
        </w:rPr>
      </w:pPr>
    </w:p>
    <w:p w14:paraId="78301828">
      <w:pPr>
        <w:spacing w:before="49" w:line="221" w:lineRule="auto"/>
        <w:ind w:left="4496"/>
        <w:rPr>
          <w:rFonts w:ascii="宋体" w:hAnsi="宋体" w:eastAsia="宋体" w:cs="宋体"/>
          <w:color w:val="auto"/>
          <w:sz w:val="21"/>
          <w:szCs w:val="21"/>
          <w:u w:val="single" w:color="auto"/>
        </w:rPr>
      </w:pPr>
      <w:r>
        <w:rPr>
          <w:rFonts w:ascii="Times New Roman" w:hAnsi="Times New Roman" w:eastAsia="宋体" w:cs="Times New Roman"/>
          <w:b/>
          <w:bCs/>
          <w:color w:val="auto"/>
          <w:sz w:val="24"/>
          <w:szCs w:val="24"/>
          <w:u w:val="single" w:color="auto"/>
        </w:rPr>
        <w:t>表</w:t>
      </w:r>
      <w:r>
        <w:rPr>
          <w:rFonts w:hint="eastAsia" w:ascii="Times New Roman" w:hAnsi="Times New Roman" w:eastAsia="宋体" w:cs="Times New Roman"/>
          <w:b/>
          <w:bCs/>
          <w:color w:val="auto"/>
          <w:sz w:val="24"/>
          <w:szCs w:val="24"/>
          <w:u w:val="single" w:color="auto"/>
          <w:lang w:val="en-US" w:eastAsia="zh-CN"/>
        </w:rPr>
        <w:t>4.4</w:t>
      </w:r>
      <w:r>
        <w:rPr>
          <w:rFonts w:ascii="Times New Roman" w:hAnsi="Times New Roman" w:eastAsia="宋体" w:cs="Times New Roman"/>
          <w:b/>
          <w:bCs/>
          <w:color w:val="auto"/>
          <w:sz w:val="24"/>
          <w:szCs w:val="24"/>
          <w:u w:val="single" w:color="auto"/>
        </w:rPr>
        <w:t>-</w:t>
      </w:r>
      <w:r>
        <w:rPr>
          <w:rFonts w:hint="eastAsia" w:ascii="Times New Roman" w:hAnsi="Times New Roman" w:eastAsia="宋体" w:cs="Times New Roman"/>
          <w:b/>
          <w:bCs/>
          <w:color w:val="auto"/>
          <w:sz w:val="24"/>
          <w:szCs w:val="24"/>
          <w:u w:val="single" w:color="auto"/>
          <w:lang w:val="en-US" w:eastAsia="zh-CN"/>
        </w:rPr>
        <w:t>2</w:t>
      </w:r>
      <w:r>
        <w:rPr>
          <w:rFonts w:ascii="宋体" w:hAnsi="宋体" w:eastAsia="宋体" w:cs="宋体"/>
          <w:b/>
          <w:bCs/>
          <w:color w:val="auto"/>
          <w:spacing w:val="3"/>
          <w:sz w:val="21"/>
          <w:szCs w:val="21"/>
          <w:u w:val="single" w:color="auto"/>
        </w:rPr>
        <w:t>工业企业噪</w:t>
      </w:r>
      <w:r>
        <w:rPr>
          <w:rFonts w:ascii="宋体" w:hAnsi="宋体" w:eastAsia="宋体" w:cs="宋体"/>
          <w:b/>
          <w:bCs/>
          <w:color w:val="auto"/>
          <w:spacing w:val="2"/>
          <w:sz w:val="21"/>
          <w:szCs w:val="21"/>
          <w:u w:val="single" w:color="auto"/>
        </w:rPr>
        <w:t>声源强调查清单(室外声源)</w:t>
      </w:r>
    </w:p>
    <w:p w14:paraId="1070F30E">
      <w:pPr>
        <w:spacing w:line="88" w:lineRule="exact"/>
        <w:rPr>
          <w:color w:val="auto"/>
          <w:u w:val="single" w:color="auto"/>
        </w:rPr>
      </w:pPr>
    </w:p>
    <w:tbl>
      <w:tblPr>
        <w:tblStyle w:val="110"/>
        <w:tblW w:w="13991" w:type="dxa"/>
        <w:tblInd w:w="28" w:type="dxa"/>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Layout w:type="fixed"/>
        <w:tblCellMar>
          <w:top w:w="0" w:type="dxa"/>
          <w:left w:w="0" w:type="dxa"/>
          <w:bottom w:w="0" w:type="dxa"/>
          <w:right w:w="0" w:type="dxa"/>
        </w:tblCellMar>
      </w:tblPr>
      <w:tblGrid>
        <w:gridCol w:w="801"/>
        <w:gridCol w:w="3377"/>
        <w:gridCol w:w="1098"/>
        <w:gridCol w:w="1098"/>
        <w:gridCol w:w="880"/>
        <w:gridCol w:w="2866"/>
        <w:gridCol w:w="2818"/>
        <w:gridCol w:w="1053"/>
      </w:tblGrid>
      <w:tr w14:paraId="698046AD">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PrEx>
        <w:trPr>
          <w:trHeight w:val="0" w:hRule="atLeast"/>
        </w:trPr>
        <w:tc>
          <w:tcPr>
            <w:tcW w:w="801" w:type="dxa"/>
            <w:vMerge w:val="restart"/>
            <w:tcBorders>
              <w:bottom w:val="nil"/>
            </w:tcBorders>
            <w:vAlign w:val="center"/>
          </w:tcPr>
          <w:p w14:paraId="2E0D79F2">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序号</w:t>
            </w:r>
          </w:p>
        </w:tc>
        <w:tc>
          <w:tcPr>
            <w:tcW w:w="3377" w:type="dxa"/>
            <w:vMerge w:val="restart"/>
            <w:tcBorders>
              <w:bottom w:val="nil"/>
            </w:tcBorders>
            <w:vAlign w:val="center"/>
          </w:tcPr>
          <w:p w14:paraId="4911BEAC">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声源名称</w:t>
            </w:r>
          </w:p>
        </w:tc>
        <w:tc>
          <w:tcPr>
            <w:tcW w:w="3076" w:type="dxa"/>
            <w:gridSpan w:val="3"/>
            <w:vAlign w:val="center"/>
          </w:tcPr>
          <w:p w14:paraId="095165A8">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11"/>
                <w:szCs w:val="11"/>
                <w:u w:val="single" w:color="auto"/>
              </w:rPr>
            </w:pPr>
            <w:r>
              <w:rPr>
                <w:color w:val="auto"/>
                <w:spacing w:val="-2"/>
                <w:sz w:val="21"/>
                <w:szCs w:val="21"/>
                <w:u w:val="single" w:color="auto"/>
              </w:rPr>
              <w:t>空间相对位置</w:t>
            </w:r>
            <w:r>
              <w:rPr>
                <w:rFonts w:ascii="Times New Roman" w:hAnsi="Times New Roman" w:eastAsia="Times New Roman" w:cs="Times New Roman"/>
                <w:color w:val="auto"/>
                <w:spacing w:val="-2"/>
                <w:sz w:val="21"/>
                <w:szCs w:val="21"/>
                <w:u w:val="single" w:color="auto"/>
              </w:rPr>
              <w:t>/m</w:t>
            </w:r>
          </w:p>
        </w:tc>
        <w:tc>
          <w:tcPr>
            <w:tcW w:w="2866" w:type="dxa"/>
            <w:vAlign w:val="center"/>
          </w:tcPr>
          <w:p w14:paraId="2EF9A625">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声源源强</w:t>
            </w:r>
          </w:p>
        </w:tc>
        <w:tc>
          <w:tcPr>
            <w:tcW w:w="2818" w:type="dxa"/>
            <w:vMerge w:val="restart"/>
            <w:tcBorders>
              <w:bottom w:val="nil"/>
            </w:tcBorders>
            <w:vAlign w:val="center"/>
          </w:tcPr>
          <w:p w14:paraId="1AB75ED8">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声源控制措施</w:t>
            </w:r>
          </w:p>
        </w:tc>
        <w:tc>
          <w:tcPr>
            <w:tcW w:w="1053" w:type="dxa"/>
            <w:vMerge w:val="restart"/>
            <w:tcBorders>
              <w:bottom w:val="nil"/>
            </w:tcBorders>
            <w:vAlign w:val="center"/>
          </w:tcPr>
          <w:p w14:paraId="4395BE81">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运行时</w:t>
            </w:r>
            <w:r>
              <w:rPr>
                <w:color w:val="auto"/>
                <w:sz w:val="21"/>
                <w:szCs w:val="21"/>
                <w:u w:val="single" w:color="auto"/>
              </w:rPr>
              <w:t>段</w:t>
            </w:r>
          </w:p>
        </w:tc>
      </w:tr>
      <w:tr w14:paraId="045F4478">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Merge w:val="continue"/>
            <w:tcBorders>
              <w:top w:val="nil"/>
            </w:tcBorders>
            <w:vAlign w:val="center"/>
          </w:tcPr>
          <w:p w14:paraId="3CCAC6D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single" w:color="auto"/>
              </w:rPr>
            </w:pPr>
          </w:p>
        </w:tc>
        <w:tc>
          <w:tcPr>
            <w:tcW w:w="3377" w:type="dxa"/>
            <w:vMerge w:val="continue"/>
            <w:tcBorders>
              <w:top w:val="nil"/>
            </w:tcBorders>
            <w:vAlign w:val="center"/>
          </w:tcPr>
          <w:p w14:paraId="6E0294D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single" w:color="auto"/>
              </w:rPr>
            </w:pPr>
          </w:p>
        </w:tc>
        <w:tc>
          <w:tcPr>
            <w:tcW w:w="1098" w:type="dxa"/>
            <w:vAlign w:val="center"/>
          </w:tcPr>
          <w:p w14:paraId="5B0028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X</w:t>
            </w:r>
          </w:p>
        </w:tc>
        <w:tc>
          <w:tcPr>
            <w:tcW w:w="1098" w:type="dxa"/>
            <w:vAlign w:val="center"/>
          </w:tcPr>
          <w:p w14:paraId="1749F22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Y</w:t>
            </w:r>
          </w:p>
        </w:tc>
        <w:tc>
          <w:tcPr>
            <w:tcW w:w="880" w:type="dxa"/>
            <w:vAlign w:val="center"/>
          </w:tcPr>
          <w:p w14:paraId="7EC097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Z</w:t>
            </w:r>
          </w:p>
        </w:tc>
        <w:tc>
          <w:tcPr>
            <w:tcW w:w="2866" w:type="dxa"/>
            <w:vAlign w:val="center"/>
          </w:tcPr>
          <w:p w14:paraId="3EED8142">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声压级</w:t>
            </w:r>
            <w:r>
              <w:rPr>
                <w:rFonts w:ascii="Times New Roman" w:hAnsi="Times New Roman" w:eastAsia="Times New Roman" w:cs="Times New Roman"/>
                <w:color w:val="auto"/>
                <w:spacing w:val="-2"/>
                <w:sz w:val="21"/>
                <w:szCs w:val="21"/>
                <w:u w:val="single" w:color="auto"/>
              </w:rPr>
              <w:t>/</w:t>
            </w:r>
            <w:r>
              <w:rPr>
                <w:color w:val="auto"/>
                <w:spacing w:val="-2"/>
                <w:sz w:val="21"/>
                <w:szCs w:val="21"/>
                <w:u w:val="single" w:color="auto"/>
              </w:rPr>
              <w:t>距声源距离</w:t>
            </w:r>
          </w:p>
          <w:p w14:paraId="25E17BD1">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z w:val="21"/>
                <w:szCs w:val="21"/>
                <w:u w:val="single" w:color="auto"/>
              </w:rPr>
              <w:t>(</w:t>
            </w:r>
            <w:r>
              <w:rPr>
                <w:rFonts w:ascii="Times New Roman" w:hAnsi="Times New Roman" w:eastAsia="Times New Roman" w:cs="Times New Roman"/>
                <w:color w:val="auto"/>
                <w:sz w:val="21"/>
                <w:szCs w:val="21"/>
                <w:u w:val="single" w:color="auto"/>
              </w:rPr>
              <w:t>dB(A)/m</w:t>
            </w:r>
            <w:r>
              <w:rPr>
                <w:color w:val="auto"/>
                <w:sz w:val="21"/>
                <w:szCs w:val="21"/>
                <w:u w:val="single" w:color="auto"/>
              </w:rPr>
              <w:t>)</w:t>
            </w:r>
          </w:p>
        </w:tc>
        <w:tc>
          <w:tcPr>
            <w:tcW w:w="2818" w:type="dxa"/>
            <w:vMerge w:val="continue"/>
            <w:tcBorders>
              <w:top w:val="nil"/>
            </w:tcBorders>
            <w:vAlign w:val="center"/>
          </w:tcPr>
          <w:p w14:paraId="4A0B40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single" w:color="auto"/>
              </w:rPr>
            </w:pPr>
          </w:p>
        </w:tc>
        <w:tc>
          <w:tcPr>
            <w:tcW w:w="1053" w:type="dxa"/>
            <w:vMerge w:val="continue"/>
            <w:tcBorders>
              <w:top w:val="nil"/>
            </w:tcBorders>
            <w:vAlign w:val="center"/>
          </w:tcPr>
          <w:p w14:paraId="508F3BB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u w:val="single" w:color="auto"/>
              </w:rPr>
            </w:pPr>
          </w:p>
        </w:tc>
      </w:tr>
      <w:tr w14:paraId="6DD9C764">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Align w:val="center"/>
          </w:tcPr>
          <w:p w14:paraId="09942A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1</w:t>
            </w:r>
          </w:p>
        </w:tc>
        <w:tc>
          <w:tcPr>
            <w:tcW w:w="3377" w:type="dxa"/>
            <w:vAlign w:val="center"/>
          </w:tcPr>
          <w:p w14:paraId="3ED7D74C">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color w:val="auto"/>
                <w:sz w:val="21"/>
                <w:szCs w:val="21"/>
                <w:u w:val="single" w:color="auto"/>
                <w:lang w:eastAsia="zh-CN"/>
              </w:rPr>
            </w:pPr>
            <w:r>
              <w:rPr>
                <w:rFonts w:hint="eastAsia"/>
                <w:color w:val="auto"/>
                <w:spacing w:val="4"/>
                <w:sz w:val="21"/>
                <w:szCs w:val="21"/>
                <w:u w:val="single" w:color="auto"/>
                <w:lang w:val="en-US" w:eastAsia="zh-CN"/>
              </w:rPr>
              <w:t>厂区卸货场地龙门吊</w:t>
            </w:r>
          </w:p>
        </w:tc>
        <w:tc>
          <w:tcPr>
            <w:tcW w:w="1098" w:type="dxa"/>
            <w:vAlign w:val="center"/>
          </w:tcPr>
          <w:p w14:paraId="5DADA6D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182.28</w:t>
            </w:r>
          </w:p>
        </w:tc>
        <w:tc>
          <w:tcPr>
            <w:tcW w:w="1098" w:type="dxa"/>
            <w:vAlign w:val="center"/>
          </w:tcPr>
          <w:p w14:paraId="798B5E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116.88</w:t>
            </w:r>
          </w:p>
        </w:tc>
        <w:tc>
          <w:tcPr>
            <w:tcW w:w="880" w:type="dxa"/>
            <w:vAlign w:val="center"/>
          </w:tcPr>
          <w:p w14:paraId="332D3B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2866" w:type="dxa"/>
            <w:vAlign w:val="center"/>
          </w:tcPr>
          <w:p w14:paraId="69D34E8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2818" w:type="dxa"/>
            <w:vMerge w:val="restart"/>
            <w:vAlign w:val="center"/>
          </w:tcPr>
          <w:p w14:paraId="596ED78A">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u w:val="single" w:color="auto"/>
              </w:rPr>
            </w:pPr>
            <w:r>
              <w:rPr>
                <w:color w:val="auto"/>
                <w:spacing w:val="-1"/>
                <w:sz w:val="21"/>
                <w:szCs w:val="21"/>
                <w:u w:val="single" w:color="auto"/>
              </w:rPr>
              <w:t>低噪设备、基础减振、</w:t>
            </w:r>
            <w:r>
              <w:rPr>
                <w:color w:val="auto"/>
                <w:spacing w:val="-7"/>
                <w:sz w:val="21"/>
                <w:szCs w:val="21"/>
                <w:u w:val="single" w:color="auto"/>
              </w:rPr>
              <w:t>厂区绿化</w:t>
            </w:r>
          </w:p>
        </w:tc>
        <w:tc>
          <w:tcPr>
            <w:tcW w:w="1053" w:type="dxa"/>
            <w:vAlign w:val="center"/>
          </w:tcPr>
          <w:p w14:paraId="2FE963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r>
      <w:tr w14:paraId="001956B0">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0" w:hRule="atLeast"/>
        </w:trPr>
        <w:tc>
          <w:tcPr>
            <w:tcW w:w="801" w:type="dxa"/>
            <w:vAlign w:val="center"/>
          </w:tcPr>
          <w:p w14:paraId="298730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2</w:t>
            </w:r>
          </w:p>
        </w:tc>
        <w:tc>
          <w:tcPr>
            <w:tcW w:w="3377" w:type="dxa"/>
            <w:vAlign w:val="center"/>
          </w:tcPr>
          <w:p w14:paraId="2A1B6F53">
            <w:pPr>
              <w:pStyle w:val="15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color w:val="auto"/>
                <w:spacing w:val="4"/>
                <w:sz w:val="21"/>
                <w:szCs w:val="21"/>
                <w:u w:val="single" w:color="auto"/>
                <w:lang w:eastAsia="zh-CN"/>
              </w:rPr>
            </w:pPr>
            <w:r>
              <w:rPr>
                <w:rFonts w:hint="eastAsia"/>
                <w:color w:val="auto"/>
                <w:spacing w:val="4"/>
                <w:sz w:val="21"/>
                <w:szCs w:val="21"/>
                <w:u w:val="single" w:color="auto"/>
                <w:lang w:val="en-US" w:eastAsia="zh-CN"/>
              </w:rPr>
              <w:t>成品堆场龙门吊</w:t>
            </w:r>
          </w:p>
        </w:tc>
        <w:tc>
          <w:tcPr>
            <w:tcW w:w="1098" w:type="dxa"/>
            <w:vAlign w:val="center"/>
          </w:tcPr>
          <w:p w14:paraId="7CDAE1B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3"/>
                <w:sz w:val="21"/>
                <w:szCs w:val="21"/>
                <w:u w:val="single" w:color="auto"/>
                <w:lang w:val="en-US" w:eastAsia="zh-CN"/>
              </w:rPr>
            </w:pPr>
            <w:r>
              <w:rPr>
                <w:rFonts w:hint="eastAsia" w:ascii="Times New Roman" w:hAnsi="Times New Roman" w:eastAsia="宋体" w:cs="Times New Roman"/>
                <w:color w:val="auto"/>
                <w:spacing w:val="-3"/>
                <w:sz w:val="21"/>
                <w:szCs w:val="21"/>
                <w:u w:val="single" w:color="auto"/>
                <w:lang w:val="en-US" w:eastAsia="zh-CN"/>
              </w:rPr>
              <w:t>274</w:t>
            </w:r>
            <w:r>
              <w:rPr>
                <w:rFonts w:ascii="Times New Roman" w:hAnsi="Times New Roman" w:eastAsia="Times New Roman" w:cs="Times New Roman"/>
                <w:color w:val="auto"/>
                <w:spacing w:val="-3"/>
                <w:sz w:val="21"/>
                <w:szCs w:val="21"/>
                <w:u w:val="single" w:color="auto"/>
              </w:rPr>
              <w:t>.</w:t>
            </w:r>
            <w:r>
              <w:rPr>
                <w:rFonts w:hint="eastAsia" w:ascii="Times New Roman" w:hAnsi="Times New Roman" w:eastAsia="宋体" w:cs="Times New Roman"/>
                <w:color w:val="auto"/>
                <w:spacing w:val="-3"/>
                <w:sz w:val="21"/>
                <w:szCs w:val="21"/>
                <w:u w:val="single" w:color="auto"/>
                <w:lang w:val="en-US" w:eastAsia="zh-CN"/>
              </w:rPr>
              <w:t>35</w:t>
            </w:r>
          </w:p>
        </w:tc>
        <w:tc>
          <w:tcPr>
            <w:tcW w:w="1098" w:type="dxa"/>
            <w:vAlign w:val="center"/>
          </w:tcPr>
          <w:p w14:paraId="0927A7B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5"/>
                <w:sz w:val="21"/>
                <w:szCs w:val="21"/>
                <w:u w:val="single" w:color="auto"/>
                <w:lang w:val="en-US" w:eastAsia="zh-CN"/>
              </w:rPr>
            </w:pPr>
            <w:r>
              <w:rPr>
                <w:rFonts w:hint="eastAsia" w:ascii="Times New Roman" w:hAnsi="Times New Roman" w:eastAsia="宋体" w:cs="Times New Roman"/>
                <w:color w:val="auto"/>
                <w:spacing w:val="-5"/>
                <w:sz w:val="21"/>
                <w:szCs w:val="21"/>
                <w:u w:val="single" w:color="auto"/>
                <w:lang w:val="en-US" w:eastAsia="zh-CN"/>
              </w:rPr>
              <w:t>-380.92</w:t>
            </w:r>
          </w:p>
        </w:tc>
        <w:tc>
          <w:tcPr>
            <w:tcW w:w="880" w:type="dxa"/>
            <w:vAlign w:val="center"/>
          </w:tcPr>
          <w:p w14:paraId="1B17964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5"/>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2866" w:type="dxa"/>
            <w:vAlign w:val="center"/>
          </w:tcPr>
          <w:p w14:paraId="3E5C7E6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2818" w:type="dxa"/>
            <w:vMerge w:val="continue"/>
            <w:vAlign w:val="center"/>
          </w:tcPr>
          <w:p w14:paraId="019BB162">
            <w:pPr>
              <w:pStyle w:val="15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color w:val="auto"/>
                <w:spacing w:val="-7"/>
                <w:sz w:val="21"/>
                <w:szCs w:val="21"/>
                <w:u w:val="single" w:color="auto"/>
              </w:rPr>
            </w:pPr>
          </w:p>
        </w:tc>
        <w:tc>
          <w:tcPr>
            <w:tcW w:w="1053" w:type="dxa"/>
            <w:vAlign w:val="center"/>
          </w:tcPr>
          <w:p w14:paraId="2752668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r>
    </w:tbl>
    <w:p w14:paraId="5C029FDB">
      <w:pPr>
        <w:spacing w:before="69" w:line="220" w:lineRule="auto"/>
        <w:ind w:left="4551"/>
        <w:rPr>
          <w:rFonts w:ascii="宋体" w:hAnsi="宋体" w:eastAsia="宋体" w:cs="宋体"/>
          <w:color w:val="auto"/>
          <w:sz w:val="21"/>
          <w:szCs w:val="21"/>
          <w:u w:val="single" w:color="auto"/>
        </w:rPr>
      </w:pPr>
      <w:r>
        <w:rPr>
          <w:rFonts w:ascii="Times New Roman" w:hAnsi="Times New Roman" w:eastAsia="宋体" w:cs="Times New Roman"/>
          <w:b/>
          <w:bCs/>
          <w:color w:val="auto"/>
          <w:sz w:val="24"/>
          <w:szCs w:val="24"/>
          <w:u w:val="single" w:color="auto"/>
        </w:rPr>
        <w:t>表</w:t>
      </w:r>
      <w:r>
        <w:rPr>
          <w:rFonts w:hint="eastAsia" w:ascii="Times New Roman" w:hAnsi="Times New Roman" w:eastAsia="宋体" w:cs="Times New Roman"/>
          <w:b/>
          <w:bCs/>
          <w:color w:val="auto"/>
          <w:sz w:val="24"/>
          <w:szCs w:val="24"/>
          <w:u w:val="single" w:color="auto"/>
          <w:lang w:val="en-US" w:eastAsia="zh-CN"/>
        </w:rPr>
        <w:t>4.4</w:t>
      </w:r>
      <w:r>
        <w:rPr>
          <w:rFonts w:ascii="Times New Roman" w:hAnsi="Times New Roman" w:eastAsia="宋体" w:cs="Times New Roman"/>
          <w:b/>
          <w:bCs/>
          <w:color w:val="auto"/>
          <w:sz w:val="24"/>
          <w:szCs w:val="24"/>
          <w:u w:val="single" w:color="auto"/>
        </w:rPr>
        <w:t>-</w:t>
      </w:r>
      <w:r>
        <w:rPr>
          <w:rFonts w:hint="eastAsia" w:ascii="Times New Roman" w:hAnsi="Times New Roman" w:eastAsia="宋体" w:cs="Times New Roman"/>
          <w:b/>
          <w:bCs/>
          <w:color w:val="auto"/>
          <w:sz w:val="24"/>
          <w:szCs w:val="24"/>
          <w:u w:val="single" w:color="auto"/>
          <w:lang w:val="en-US" w:eastAsia="zh-CN"/>
        </w:rPr>
        <w:t>3</w:t>
      </w:r>
      <w:r>
        <w:rPr>
          <w:rFonts w:ascii="宋体" w:hAnsi="宋体" w:eastAsia="宋体" w:cs="宋体"/>
          <w:b/>
          <w:bCs/>
          <w:color w:val="auto"/>
          <w:spacing w:val="3"/>
          <w:sz w:val="21"/>
          <w:szCs w:val="21"/>
          <w:u w:val="single" w:color="auto"/>
        </w:rPr>
        <w:t>工业企业噪声源强</w:t>
      </w:r>
      <w:r>
        <w:rPr>
          <w:rFonts w:ascii="宋体" w:hAnsi="宋体" w:eastAsia="宋体" w:cs="宋体"/>
          <w:b/>
          <w:bCs/>
          <w:color w:val="auto"/>
          <w:spacing w:val="2"/>
          <w:sz w:val="21"/>
          <w:szCs w:val="21"/>
          <w:u w:val="single" w:color="auto"/>
        </w:rPr>
        <w:t>调查清单(室内声源)</w:t>
      </w:r>
    </w:p>
    <w:p w14:paraId="3C587DF4">
      <w:pPr>
        <w:spacing w:line="88" w:lineRule="exact"/>
        <w:rPr>
          <w:color w:val="auto"/>
          <w:u w:val="single" w:color="auto"/>
        </w:rPr>
      </w:pPr>
    </w:p>
    <w:tbl>
      <w:tblPr>
        <w:tblStyle w:val="110"/>
        <w:tblW w:w="13991" w:type="dxa"/>
        <w:tblInd w:w="28" w:type="dxa"/>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Layout w:type="fixed"/>
        <w:tblCellMar>
          <w:top w:w="0" w:type="dxa"/>
          <w:left w:w="0" w:type="dxa"/>
          <w:bottom w:w="0" w:type="dxa"/>
          <w:right w:w="0" w:type="dxa"/>
        </w:tblCellMar>
      </w:tblPr>
      <w:tblGrid>
        <w:gridCol w:w="612"/>
        <w:gridCol w:w="664"/>
        <w:gridCol w:w="1578"/>
        <w:gridCol w:w="1458"/>
        <w:gridCol w:w="1379"/>
        <w:gridCol w:w="801"/>
        <w:gridCol w:w="949"/>
        <w:gridCol w:w="876"/>
        <w:gridCol w:w="875"/>
        <w:gridCol w:w="995"/>
        <w:gridCol w:w="952"/>
        <w:gridCol w:w="993"/>
        <w:gridCol w:w="993"/>
        <w:gridCol w:w="866"/>
      </w:tblGrid>
      <w:tr w14:paraId="3EB3458C">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vMerge w:val="restart"/>
            <w:tcBorders>
              <w:tl2br w:val="nil"/>
              <w:tr2bl w:val="nil"/>
            </w:tcBorders>
            <w:textDirection w:val="tbRlV"/>
            <w:vAlign w:val="center"/>
          </w:tcPr>
          <w:p w14:paraId="613D6F5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1"/>
                <w:sz w:val="21"/>
                <w:szCs w:val="21"/>
                <w:u w:val="single" w:color="auto"/>
              </w:rPr>
              <w:t>序号</w:t>
            </w:r>
          </w:p>
        </w:tc>
        <w:tc>
          <w:tcPr>
            <w:tcW w:w="664" w:type="dxa"/>
            <w:vMerge w:val="restart"/>
            <w:tcBorders>
              <w:tl2br w:val="nil"/>
              <w:tr2bl w:val="nil"/>
            </w:tcBorders>
            <w:vAlign w:val="center"/>
          </w:tcPr>
          <w:p w14:paraId="37FBA912">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5"/>
                <w:sz w:val="21"/>
                <w:szCs w:val="21"/>
                <w:u w:val="single" w:color="auto"/>
              </w:rPr>
              <w:t>建筑</w:t>
            </w:r>
            <w:r>
              <w:rPr>
                <w:color w:val="auto"/>
                <w:spacing w:val="-4"/>
                <w:sz w:val="21"/>
                <w:szCs w:val="21"/>
                <w:u w:val="single" w:color="auto"/>
              </w:rPr>
              <w:t>物名</w:t>
            </w:r>
            <w:r>
              <w:rPr>
                <w:color w:val="auto"/>
                <w:spacing w:val="28"/>
                <w:w w:val="132"/>
                <w:sz w:val="21"/>
                <w:szCs w:val="21"/>
                <w:u w:val="single" w:color="auto"/>
              </w:rPr>
              <w:t>称</w:t>
            </w:r>
          </w:p>
        </w:tc>
        <w:tc>
          <w:tcPr>
            <w:tcW w:w="1578" w:type="dxa"/>
            <w:vMerge w:val="restart"/>
            <w:tcBorders>
              <w:tl2br w:val="nil"/>
              <w:tr2bl w:val="nil"/>
            </w:tcBorders>
            <w:vAlign w:val="center"/>
          </w:tcPr>
          <w:p w14:paraId="56A711B6">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声源名称</w:t>
            </w:r>
          </w:p>
        </w:tc>
        <w:tc>
          <w:tcPr>
            <w:tcW w:w="1458" w:type="dxa"/>
            <w:vMerge w:val="restart"/>
            <w:tcBorders>
              <w:tl2br w:val="nil"/>
              <w:tr2bl w:val="nil"/>
            </w:tcBorders>
            <w:vAlign w:val="center"/>
          </w:tcPr>
          <w:p w14:paraId="0AF7A80F">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声源源强声压级</w:t>
            </w:r>
            <w:r>
              <w:rPr>
                <w:rFonts w:ascii="Times New Roman" w:hAnsi="Times New Roman" w:eastAsia="Times New Roman" w:cs="Times New Roman"/>
                <w:color w:val="auto"/>
                <w:spacing w:val="-2"/>
                <w:sz w:val="21"/>
                <w:szCs w:val="21"/>
                <w:u w:val="single" w:color="auto"/>
              </w:rPr>
              <w:t>/</w:t>
            </w:r>
            <w:r>
              <w:rPr>
                <w:color w:val="auto"/>
                <w:spacing w:val="-2"/>
                <w:sz w:val="21"/>
                <w:szCs w:val="21"/>
                <w:u w:val="single" w:color="auto"/>
              </w:rPr>
              <w:t>距声源距离</w:t>
            </w:r>
            <w:r>
              <w:rPr>
                <w:color w:val="auto"/>
                <w:sz w:val="21"/>
                <w:szCs w:val="21"/>
                <w:u w:val="single" w:color="auto"/>
              </w:rPr>
              <w:t>(</w:t>
            </w:r>
            <w:r>
              <w:rPr>
                <w:rFonts w:ascii="Times New Roman" w:hAnsi="Times New Roman" w:eastAsia="Times New Roman" w:cs="Times New Roman"/>
                <w:color w:val="auto"/>
                <w:sz w:val="21"/>
                <w:szCs w:val="21"/>
                <w:u w:val="single" w:color="auto"/>
              </w:rPr>
              <w:t>dB(A)/m</w:t>
            </w:r>
            <w:r>
              <w:rPr>
                <w:color w:val="auto"/>
                <w:sz w:val="21"/>
                <w:szCs w:val="21"/>
                <w:u w:val="single" w:color="auto"/>
              </w:rPr>
              <w:t>)</w:t>
            </w:r>
          </w:p>
        </w:tc>
        <w:tc>
          <w:tcPr>
            <w:tcW w:w="1379" w:type="dxa"/>
            <w:vMerge w:val="restart"/>
            <w:tcBorders>
              <w:tl2br w:val="nil"/>
              <w:tr2bl w:val="nil"/>
            </w:tcBorders>
            <w:vAlign w:val="center"/>
          </w:tcPr>
          <w:p w14:paraId="14E7D91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声源控制措</w:t>
            </w:r>
            <w:r>
              <w:rPr>
                <w:color w:val="auto"/>
                <w:sz w:val="21"/>
                <w:szCs w:val="21"/>
                <w:u w:val="single" w:color="auto"/>
              </w:rPr>
              <w:t>施</w:t>
            </w:r>
          </w:p>
        </w:tc>
        <w:tc>
          <w:tcPr>
            <w:tcW w:w="2626" w:type="dxa"/>
            <w:gridSpan w:val="3"/>
            <w:tcBorders>
              <w:tl2br w:val="nil"/>
              <w:tr2bl w:val="nil"/>
            </w:tcBorders>
            <w:vAlign w:val="center"/>
          </w:tcPr>
          <w:p w14:paraId="42C4D663">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11"/>
                <w:szCs w:val="11"/>
                <w:u w:val="single" w:color="auto"/>
              </w:rPr>
            </w:pPr>
            <w:r>
              <w:rPr>
                <w:color w:val="auto"/>
                <w:spacing w:val="-2"/>
                <w:sz w:val="21"/>
                <w:szCs w:val="21"/>
                <w:u w:val="single" w:color="auto"/>
              </w:rPr>
              <w:t>空间相对位置</w:t>
            </w:r>
            <w:r>
              <w:rPr>
                <w:rFonts w:ascii="Times New Roman" w:hAnsi="Times New Roman" w:eastAsia="Times New Roman" w:cs="Times New Roman"/>
                <w:color w:val="auto"/>
                <w:spacing w:val="-2"/>
                <w:sz w:val="21"/>
                <w:szCs w:val="21"/>
                <w:u w:val="single" w:color="auto"/>
              </w:rPr>
              <w:t>/m</w:t>
            </w:r>
          </w:p>
        </w:tc>
        <w:tc>
          <w:tcPr>
            <w:tcW w:w="875" w:type="dxa"/>
            <w:vMerge w:val="restart"/>
            <w:tcBorders>
              <w:tl2br w:val="nil"/>
              <w:tr2bl w:val="nil"/>
            </w:tcBorders>
            <w:vAlign w:val="center"/>
          </w:tcPr>
          <w:p w14:paraId="6954E1C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2"/>
                <w:sz w:val="21"/>
                <w:szCs w:val="21"/>
                <w:u w:val="single" w:color="auto"/>
              </w:rPr>
              <w:t>距室内边界距</w:t>
            </w:r>
            <w:r>
              <w:rPr>
                <w:color w:val="auto"/>
                <w:spacing w:val="30"/>
                <w:sz w:val="21"/>
                <w:szCs w:val="21"/>
                <w:u w:val="single" w:color="auto"/>
              </w:rPr>
              <w:t>离</w:t>
            </w:r>
            <w:r>
              <w:rPr>
                <w:rFonts w:ascii="Times New Roman" w:hAnsi="Times New Roman" w:eastAsia="Times New Roman" w:cs="Times New Roman"/>
                <w:color w:val="auto"/>
                <w:spacing w:val="30"/>
                <w:sz w:val="21"/>
                <w:szCs w:val="21"/>
                <w:u w:val="single" w:color="auto"/>
              </w:rPr>
              <w:t>/m</w:t>
            </w:r>
          </w:p>
        </w:tc>
        <w:tc>
          <w:tcPr>
            <w:tcW w:w="995" w:type="dxa"/>
            <w:vMerge w:val="restart"/>
            <w:tcBorders>
              <w:tl2br w:val="nil"/>
              <w:tr2bl w:val="nil"/>
            </w:tcBorders>
            <w:vAlign w:val="center"/>
          </w:tcPr>
          <w:p w14:paraId="09800430">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3"/>
                <w:sz w:val="21"/>
                <w:szCs w:val="21"/>
                <w:u w:val="single" w:color="auto"/>
              </w:rPr>
              <w:t>室内边</w:t>
            </w:r>
            <w:r>
              <w:rPr>
                <w:color w:val="auto"/>
                <w:spacing w:val="-4"/>
                <w:sz w:val="21"/>
                <w:szCs w:val="21"/>
                <w:u w:val="single" w:color="auto"/>
              </w:rPr>
              <w:t>界声级</w:t>
            </w:r>
            <w:r>
              <w:rPr>
                <w:rFonts w:ascii="Times New Roman" w:hAnsi="Times New Roman" w:eastAsia="Times New Roman" w:cs="Times New Roman"/>
                <w:color w:val="auto"/>
                <w:spacing w:val="2"/>
                <w:sz w:val="21"/>
                <w:szCs w:val="21"/>
                <w:u w:val="single" w:color="auto"/>
              </w:rPr>
              <w:t>/</w:t>
            </w:r>
            <w:r>
              <w:rPr>
                <w:rFonts w:ascii="Times New Roman" w:hAnsi="Times New Roman" w:eastAsia="Times New Roman" w:cs="Times New Roman"/>
                <w:color w:val="auto"/>
                <w:sz w:val="21"/>
                <w:szCs w:val="21"/>
                <w:u w:val="single" w:color="auto"/>
              </w:rPr>
              <w:t>dB</w:t>
            </w:r>
            <w:r>
              <w:rPr>
                <w:rFonts w:ascii="Times New Roman" w:hAnsi="Times New Roman" w:eastAsia="Times New Roman" w:cs="Times New Roman"/>
                <w:color w:val="auto"/>
                <w:spacing w:val="2"/>
                <w:sz w:val="21"/>
                <w:szCs w:val="21"/>
                <w:u w:val="single" w:color="auto"/>
              </w:rPr>
              <w:t>(A)</w:t>
            </w:r>
          </w:p>
        </w:tc>
        <w:tc>
          <w:tcPr>
            <w:tcW w:w="952" w:type="dxa"/>
            <w:vMerge w:val="restart"/>
            <w:tcBorders>
              <w:tl2br w:val="nil"/>
              <w:tr2bl w:val="nil"/>
            </w:tcBorders>
            <w:vAlign w:val="center"/>
          </w:tcPr>
          <w:p w14:paraId="3A8EE602">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运行时</w:t>
            </w:r>
            <w:r>
              <w:rPr>
                <w:color w:val="auto"/>
                <w:sz w:val="21"/>
                <w:szCs w:val="21"/>
                <w:u w:val="single" w:color="auto"/>
              </w:rPr>
              <w:t>段</w:t>
            </w:r>
          </w:p>
        </w:tc>
        <w:tc>
          <w:tcPr>
            <w:tcW w:w="993" w:type="dxa"/>
            <w:vMerge w:val="restart"/>
            <w:tcBorders>
              <w:tl2br w:val="nil"/>
              <w:tr2bl w:val="nil"/>
            </w:tcBorders>
            <w:vAlign w:val="center"/>
          </w:tcPr>
          <w:p w14:paraId="51FC36A2">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2"/>
                <w:sz w:val="21"/>
                <w:szCs w:val="21"/>
                <w:u w:val="single" w:color="auto"/>
              </w:rPr>
              <w:t>建筑物</w:t>
            </w:r>
            <w:r>
              <w:rPr>
                <w:color w:val="auto"/>
                <w:spacing w:val="-1"/>
                <w:sz w:val="21"/>
                <w:szCs w:val="21"/>
                <w:u w:val="single" w:color="auto"/>
              </w:rPr>
              <w:t>插入损</w:t>
            </w:r>
            <w:r>
              <w:rPr>
                <w:color w:val="auto"/>
                <w:sz w:val="21"/>
                <w:szCs w:val="21"/>
                <w:u w:val="single" w:color="auto"/>
              </w:rPr>
              <w:t>失</w:t>
            </w:r>
            <w:r>
              <w:rPr>
                <w:rFonts w:ascii="Times New Roman" w:hAnsi="Times New Roman" w:eastAsia="Times New Roman" w:cs="Times New Roman"/>
                <w:color w:val="auto"/>
                <w:sz w:val="21"/>
                <w:szCs w:val="21"/>
                <w:u w:val="single" w:color="auto"/>
              </w:rPr>
              <w:t>/dB(A)</w:t>
            </w:r>
          </w:p>
        </w:tc>
        <w:tc>
          <w:tcPr>
            <w:tcW w:w="1859" w:type="dxa"/>
            <w:gridSpan w:val="2"/>
            <w:tcBorders>
              <w:tl2br w:val="nil"/>
              <w:tr2bl w:val="nil"/>
            </w:tcBorders>
            <w:vAlign w:val="center"/>
          </w:tcPr>
          <w:p w14:paraId="5A9F71F5">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建筑物外噪声</w:t>
            </w:r>
          </w:p>
        </w:tc>
      </w:tr>
      <w:tr w14:paraId="4F72E98F">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vMerge w:val="continue"/>
            <w:tcBorders>
              <w:tl2br w:val="nil"/>
              <w:tr2bl w:val="nil"/>
            </w:tcBorders>
            <w:textDirection w:val="tbRlV"/>
            <w:vAlign w:val="center"/>
          </w:tcPr>
          <w:p w14:paraId="1762101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664" w:type="dxa"/>
            <w:vMerge w:val="continue"/>
            <w:tcBorders>
              <w:tl2br w:val="nil"/>
              <w:tr2bl w:val="nil"/>
            </w:tcBorders>
            <w:vAlign w:val="center"/>
          </w:tcPr>
          <w:p w14:paraId="7DC87AC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vMerge w:val="continue"/>
            <w:tcBorders>
              <w:tl2br w:val="nil"/>
              <w:tr2bl w:val="nil"/>
            </w:tcBorders>
            <w:vAlign w:val="center"/>
          </w:tcPr>
          <w:p w14:paraId="5AF1280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458" w:type="dxa"/>
            <w:vMerge w:val="continue"/>
            <w:tcBorders>
              <w:tl2br w:val="nil"/>
              <w:tr2bl w:val="nil"/>
            </w:tcBorders>
            <w:vAlign w:val="center"/>
          </w:tcPr>
          <w:p w14:paraId="24D329F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379" w:type="dxa"/>
            <w:vMerge w:val="continue"/>
            <w:tcBorders>
              <w:tl2br w:val="nil"/>
              <w:tr2bl w:val="nil"/>
            </w:tcBorders>
            <w:vAlign w:val="center"/>
          </w:tcPr>
          <w:p w14:paraId="4765F60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7DF3B7E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X</w:t>
            </w:r>
          </w:p>
        </w:tc>
        <w:tc>
          <w:tcPr>
            <w:tcW w:w="949" w:type="dxa"/>
            <w:tcBorders>
              <w:tl2br w:val="nil"/>
              <w:tr2bl w:val="nil"/>
            </w:tcBorders>
            <w:vAlign w:val="center"/>
          </w:tcPr>
          <w:p w14:paraId="16CA4D7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Y</w:t>
            </w:r>
          </w:p>
        </w:tc>
        <w:tc>
          <w:tcPr>
            <w:tcW w:w="876" w:type="dxa"/>
            <w:tcBorders>
              <w:tl2br w:val="nil"/>
              <w:tr2bl w:val="nil"/>
            </w:tcBorders>
            <w:vAlign w:val="center"/>
          </w:tcPr>
          <w:p w14:paraId="6B8207F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Z</w:t>
            </w:r>
          </w:p>
        </w:tc>
        <w:tc>
          <w:tcPr>
            <w:tcW w:w="875" w:type="dxa"/>
            <w:vMerge w:val="continue"/>
            <w:tcBorders>
              <w:tl2br w:val="nil"/>
              <w:tr2bl w:val="nil"/>
            </w:tcBorders>
            <w:vAlign w:val="center"/>
          </w:tcPr>
          <w:p w14:paraId="229C42D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5" w:type="dxa"/>
            <w:vMerge w:val="continue"/>
            <w:tcBorders>
              <w:tl2br w:val="nil"/>
              <w:tr2bl w:val="nil"/>
            </w:tcBorders>
            <w:vAlign w:val="center"/>
          </w:tcPr>
          <w:p w14:paraId="06EFD19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52" w:type="dxa"/>
            <w:vMerge w:val="continue"/>
            <w:tcBorders>
              <w:tl2br w:val="nil"/>
              <w:tr2bl w:val="nil"/>
            </w:tcBorders>
            <w:vAlign w:val="center"/>
          </w:tcPr>
          <w:p w14:paraId="542A71C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3" w:type="dxa"/>
            <w:vMerge w:val="continue"/>
            <w:tcBorders>
              <w:tl2br w:val="nil"/>
              <w:tr2bl w:val="nil"/>
            </w:tcBorders>
            <w:vAlign w:val="center"/>
          </w:tcPr>
          <w:p w14:paraId="7286214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993" w:type="dxa"/>
            <w:tcBorders>
              <w:tl2br w:val="nil"/>
              <w:tr2bl w:val="nil"/>
            </w:tcBorders>
            <w:vAlign w:val="center"/>
          </w:tcPr>
          <w:p w14:paraId="3990F987">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4"/>
                <w:sz w:val="21"/>
                <w:szCs w:val="21"/>
                <w:u w:val="single" w:color="auto"/>
              </w:rPr>
              <w:t>声压级</w:t>
            </w:r>
            <w:r>
              <w:rPr>
                <w:rFonts w:ascii="Times New Roman" w:hAnsi="Times New Roman" w:eastAsia="Times New Roman" w:cs="Times New Roman"/>
                <w:color w:val="auto"/>
                <w:sz w:val="21"/>
                <w:szCs w:val="21"/>
                <w:u w:val="single" w:color="auto"/>
              </w:rPr>
              <w:t>/dB(A)</w:t>
            </w:r>
          </w:p>
        </w:tc>
        <w:tc>
          <w:tcPr>
            <w:tcW w:w="866" w:type="dxa"/>
            <w:tcBorders>
              <w:tl2br w:val="nil"/>
              <w:tr2bl w:val="nil"/>
            </w:tcBorders>
            <w:vAlign w:val="center"/>
          </w:tcPr>
          <w:p w14:paraId="524D5886">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建筑物</w:t>
            </w:r>
          </w:p>
          <w:p w14:paraId="1930C3B9">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3"/>
                <w:sz w:val="21"/>
                <w:szCs w:val="21"/>
                <w:u w:val="single" w:color="auto"/>
              </w:rPr>
              <w:t>外距离</w:t>
            </w:r>
          </w:p>
          <w:p w14:paraId="73AF348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/m</w:t>
            </w:r>
          </w:p>
        </w:tc>
      </w:tr>
      <w:tr w14:paraId="34B47020">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7ABC68F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1</w:t>
            </w:r>
          </w:p>
        </w:tc>
        <w:tc>
          <w:tcPr>
            <w:tcW w:w="664" w:type="dxa"/>
            <w:vMerge w:val="restart"/>
            <w:tcBorders>
              <w:tl2br w:val="nil"/>
              <w:tr2bl w:val="nil"/>
            </w:tcBorders>
            <w:vAlign w:val="center"/>
          </w:tcPr>
          <w:p w14:paraId="5BDBACB4">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eastAsia="宋体"/>
                <w:color w:val="auto"/>
                <w:sz w:val="21"/>
                <w:szCs w:val="21"/>
                <w:u w:val="single" w:color="auto"/>
                <w:lang w:val="en-US" w:eastAsia="zh-CN"/>
              </w:rPr>
            </w:pPr>
            <w:r>
              <w:rPr>
                <w:rFonts w:hint="eastAsia"/>
                <w:color w:val="auto"/>
                <w:spacing w:val="-5"/>
                <w:sz w:val="21"/>
                <w:szCs w:val="21"/>
                <w:u w:val="single" w:color="auto"/>
                <w:lang w:val="en-US" w:eastAsia="zh-CN"/>
              </w:rPr>
              <w:t>装焊车间</w:t>
            </w:r>
          </w:p>
        </w:tc>
        <w:tc>
          <w:tcPr>
            <w:tcW w:w="1578" w:type="dxa"/>
            <w:tcBorders>
              <w:tl2br w:val="nil"/>
              <w:tr2bl w:val="nil"/>
            </w:tcBorders>
            <w:vAlign w:val="center"/>
          </w:tcPr>
          <w:p w14:paraId="4ADD10CD">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多头条直切割机</w:t>
            </w:r>
          </w:p>
        </w:tc>
        <w:tc>
          <w:tcPr>
            <w:tcW w:w="1458" w:type="dxa"/>
            <w:tcBorders>
              <w:tl2br w:val="nil"/>
              <w:tr2bl w:val="nil"/>
            </w:tcBorders>
            <w:vAlign w:val="center"/>
          </w:tcPr>
          <w:p w14:paraId="7A36B70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restart"/>
            <w:tcBorders>
              <w:tl2br w:val="nil"/>
              <w:tr2bl w:val="nil"/>
            </w:tcBorders>
            <w:vAlign w:val="center"/>
          </w:tcPr>
          <w:p w14:paraId="1BC0CE9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2"/>
                <w:sz w:val="21"/>
                <w:szCs w:val="21"/>
                <w:u w:val="single" w:color="auto"/>
              </w:rPr>
              <w:t>选用高品质、高性</w:t>
            </w:r>
            <w:r>
              <w:rPr>
                <w:color w:val="auto"/>
                <w:spacing w:val="-3"/>
                <w:sz w:val="21"/>
                <w:szCs w:val="21"/>
                <w:u w:val="single" w:color="auto"/>
              </w:rPr>
              <w:t>能、低噪声</w:t>
            </w:r>
            <w:r>
              <w:rPr>
                <w:color w:val="auto"/>
                <w:spacing w:val="-8"/>
                <w:sz w:val="21"/>
                <w:szCs w:val="21"/>
                <w:u w:val="single" w:color="auto"/>
              </w:rPr>
              <w:t>设备,隔振</w:t>
            </w:r>
            <w:r>
              <w:rPr>
                <w:color w:val="auto"/>
                <w:spacing w:val="-7"/>
                <w:sz w:val="21"/>
                <w:szCs w:val="21"/>
                <w:u w:val="single" w:color="auto"/>
              </w:rPr>
              <w:t>基础,软接</w:t>
            </w:r>
            <w:r>
              <w:rPr>
                <w:color w:val="auto"/>
                <w:spacing w:val="19"/>
                <w:sz w:val="21"/>
                <w:szCs w:val="21"/>
                <w:u w:val="single" w:color="auto"/>
              </w:rPr>
              <w:t>头</w:t>
            </w:r>
          </w:p>
        </w:tc>
        <w:tc>
          <w:tcPr>
            <w:tcW w:w="801" w:type="dxa"/>
            <w:tcBorders>
              <w:tl2br w:val="nil"/>
              <w:tr2bl w:val="nil"/>
            </w:tcBorders>
            <w:vAlign w:val="center"/>
          </w:tcPr>
          <w:p w14:paraId="45BDF96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162.82</w:t>
            </w:r>
          </w:p>
        </w:tc>
        <w:tc>
          <w:tcPr>
            <w:tcW w:w="949" w:type="dxa"/>
            <w:tcBorders>
              <w:tl2br w:val="nil"/>
              <w:tr2bl w:val="nil"/>
            </w:tcBorders>
            <w:vAlign w:val="center"/>
          </w:tcPr>
          <w:p w14:paraId="29DBA20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-73.91</w:t>
            </w:r>
          </w:p>
        </w:tc>
        <w:tc>
          <w:tcPr>
            <w:tcW w:w="876" w:type="dxa"/>
            <w:tcBorders>
              <w:tl2br w:val="nil"/>
              <w:tr2bl w:val="nil"/>
            </w:tcBorders>
            <w:vAlign w:val="center"/>
          </w:tcPr>
          <w:p w14:paraId="1F766B3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4D82A06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5A3C5BD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47.1</w:t>
            </w:r>
          </w:p>
        </w:tc>
        <w:tc>
          <w:tcPr>
            <w:tcW w:w="952" w:type="dxa"/>
            <w:tcBorders>
              <w:tl2br w:val="nil"/>
              <w:tr2bl w:val="nil"/>
            </w:tcBorders>
            <w:vAlign w:val="center"/>
          </w:tcPr>
          <w:p w14:paraId="5719779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8F0A21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val="en-US" w:eastAsia="zh-CN"/>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1FE3325D">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27.1</w:t>
            </w:r>
          </w:p>
        </w:tc>
        <w:tc>
          <w:tcPr>
            <w:tcW w:w="866" w:type="dxa"/>
            <w:tcBorders>
              <w:tl2br w:val="nil"/>
              <w:tr2bl w:val="nil"/>
            </w:tcBorders>
            <w:vAlign w:val="center"/>
          </w:tcPr>
          <w:p w14:paraId="027FC74D">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306AF3C9">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C01254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2</w:t>
            </w:r>
          </w:p>
        </w:tc>
        <w:tc>
          <w:tcPr>
            <w:tcW w:w="664" w:type="dxa"/>
            <w:vMerge w:val="continue"/>
            <w:tcBorders>
              <w:tl2br w:val="nil"/>
              <w:tr2bl w:val="nil"/>
            </w:tcBorders>
            <w:vAlign w:val="center"/>
          </w:tcPr>
          <w:p w14:paraId="40CF445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vAlign w:val="center"/>
          </w:tcPr>
          <w:p w14:paraId="4675F002">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数控直条切割机</w:t>
            </w:r>
          </w:p>
        </w:tc>
        <w:tc>
          <w:tcPr>
            <w:tcW w:w="1458" w:type="dxa"/>
            <w:tcBorders>
              <w:tl2br w:val="nil"/>
              <w:tr2bl w:val="nil"/>
            </w:tcBorders>
            <w:vAlign w:val="center"/>
          </w:tcPr>
          <w:p w14:paraId="4393D21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7256761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1974A0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4"/>
                <w:sz w:val="21"/>
                <w:szCs w:val="21"/>
                <w:u w:val="single" w:color="auto"/>
              </w:rPr>
              <w:t>184.1</w:t>
            </w:r>
          </w:p>
        </w:tc>
        <w:tc>
          <w:tcPr>
            <w:tcW w:w="949" w:type="dxa"/>
            <w:tcBorders>
              <w:tl2br w:val="nil"/>
              <w:tr2bl w:val="nil"/>
            </w:tcBorders>
            <w:vAlign w:val="center"/>
          </w:tcPr>
          <w:p w14:paraId="4D548B2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-67.93</w:t>
            </w:r>
          </w:p>
        </w:tc>
        <w:tc>
          <w:tcPr>
            <w:tcW w:w="876" w:type="dxa"/>
            <w:tcBorders>
              <w:tl2br w:val="nil"/>
              <w:tr2bl w:val="nil"/>
            </w:tcBorders>
            <w:vAlign w:val="center"/>
          </w:tcPr>
          <w:p w14:paraId="3314F18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5E0BA46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71D622C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57.9</w:t>
            </w:r>
          </w:p>
        </w:tc>
        <w:tc>
          <w:tcPr>
            <w:tcW w:w="952" w:type="dxa"/>
            <w:tcBorders>
              <w:tl2br w:val="nil"/>
              <w:tr2bl w:val="nil"/>
            </w:tcBorders>
            <w:vAlign w:val="center"/>
          </w:tcPr>
          <w:p w14:paraId="10478F2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0724B2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val="en-US" w:eastAsia="zh-CN"/>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3396212E">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37.9</w:t>
            </w:r>
          </w:p>
        </w:tc>
        <w:tc>
          <w:tcPr>
            <w:tcW w:w="866" w:type="dxa"/>
            <w:tcBorders>
              <w:tl2br w:val="nil"/>
              <w:tr2bl w:val="nil"/>
            </w:tcBorders>
            <w:vAlign w:val="center"/>
          </w:tcPr>
          <w:p w14:paraId="0338C1F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B6C7820">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61A71CD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3</w:t>
            </w:r>
          </w:p>
        </w:tc>
        <w:tc>
          <w:tcPr>
            <w:tcW w:w="664" w:type="dxa"/>
            <w:vMerge w:val="continue"/>
            <w:tcBorders>
              <w:tl2br w:val="nil"/>
              <w:tr2bl w:val="nil"/>
            </w:tcBorders>
            <w:vAlign w:val="center"/>
          </w:tcPr>
          <w:p w14:paraId="407886B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485EDAF8">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数控等离子门式切割机</w:t>
            </w:r>
          </w:p>
        </w:tc>
        <w:tc>
          <w:tcPr>
            <w:tcW w:w="1458" w:type="dxa"/>
            <w:tcBorders>
              <w:tl2br w:val="nil"/>
              <w:tr2bl w:val="nil"/>
            </w:tcBorders>
            <w:vAlign w:val="center"/>
          </w:tcPr>
          <w:p w14:paraId="2B53EF2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3F72471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49AC210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208.71</w:t>
            </w:r>
          </w:p>
        </w:tc>
        <w:tc>
          <w:tcPr>
            <w:tcW w:w="949" w:type="dxa"/>
            <w:tcBorders>
              <w:tl2br w:val="nil"/>
              <w:tr2bl w:val="nil"/>
            </w:tcBorders>
            <w:vAlign w:val="center"/>
          </w:tcPr>
          <w:p w14:paraId="47DDF1D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-63.27</w:t>
            </w:r>
          </w:p>
        </w:tc>
        <w:tc>
          <w:tcPr>
            <w:tcW w:w="876" w:type="dxa"/>
            <w:tcBorders>
              <w:tl2br w:val="nil"/>
              <w:tr2bl w:val="nil"/>
            </w:tcBorders>
            <w:vAlign w:val="center"/>
          </w:tcPr>
          <w:p w14:paraId="544105E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1D577FA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373EAEC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50.1</w:t>
            </w:r>
          </w:p>
        </w:tc>
        <w:tc>
          <w:tcPr>
            <w:tcW w:w="952" w:type="dxa"/>
            <w:tcBorders>
              <w:tl2br w:val="nil"/>
              <w:tr2bl w:val="nil"/>
            </w:tcBorders>
            <w:vAlign w:val="center"/>
          </w:tcPr>
          <w:p w14:paraId="69404C6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6F80D15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7A2DD0AA">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30.1</w:t>
            </w:r>
          </w:p>
        </w:tc>
        <w:tc>
          <w:tcPr>
            <w:tcW w:w="866" w:type="dxa"/>
            <w:tcBorders>
              <w:tl2br w:val="nil"/>
              <w:tr2bl w:val="nil"/>
            </w:tcBorders>
            <w:vAlign w:val="center"/>
          </w:tcPr>
          <w:p w14:paraId="35CCD7C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6DDFB75D">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4DBF41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4</w:t>
            </w:r>
          </w:p>
        </w:tc>
        <w:tc>
          <w:tcPr>
            <w:tcW w:w="664" w:type="dxa"/>
            <w:vMerge w:val="continue"/>
            <w:tcBorders>
              <w:tl2br w:val="nil"/>
              <w:tr2bl w:val="nil"/>
            </w:tcBorders>
            <w:vAlign w:val="center"/>
          </w:tcPr>
          <w:p w14:paraId="4FD8414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62A94BF9">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数控等离子相贯线切割机</w:t>
            </w:r>
          </w:p>
        </w:tc>
        <w:tc>
          <w:tcPr>
            <w:tcW w:w="1458" w:type="dxa"/>
            <w:tcBorders>
              <w:tl2br w:val="nil"/>
              <w:tr2bl w:val="nil"/>
            </w:tcBorders>
            <w:vAlign w:val="center"/>
          </w:tcPr>
          <w:p w14:paraId="0F0A32A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70/1</w:t>
            </w:r>
          </w:p>
        </w:tc>
        <w:tc>
          <w:tcPr>
            <w:tcW w:w="1379" w:type="dxa"/>
            <w:vMerge w:val="continue"/>
            <w:tcBorders>
              <w:tl2br w:val="nil"/>
              <w:tr2bl w:val="nil"/>
            </w:tcBorders>
            <w:vAlign w:val="center"/>
          </w:tcPr>
          <w:p w14:paraId="590106D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4BD2CC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232.65</w:t>
            </w:r>
          </w:p>
        </w:tc>
        <w:tc>
          <w:tcPr>
            <w:tcW w:w="949" w:type="dxa"/>
            <w:tcBorders>
              <w:tl2br w:val="nil"/>
              <w:tr2bl w:val="nil"/>
            </w:tcBorders>
            <w:vAlign w:val="center"/>
          </w:tcPr>
          <w:p w14:paraId="70BF20F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-56.62</w:t>
            </w:r>
          </w:p>
        </w:tc>
        <w:tc>
          <w:tcPr>
            <w:tcW w:w="876" w:type="dxa"/>
            <w:tcBorders>
              <w:tl2br w:val="nil"/>
              <w:tr2bl w:val="nil"/>
            </w:tcBorders>
            <w:vAlign w:val="center"/>
          </w:tcPr>
          <w:p w14:paraId="4065857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484AA69F">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14</w:t>
            </w:r>
          </w:p>
        </w:tc>
        <w:tc>
          <w:tcPr>
            <w:tcW w:w="995" w:type="dxa"/>
            <w:tcBorders>
              <w:tl2br w:val="nil"/>
              <w:tr2bl w:val="nil"/>
            </w:tcBorders>
            <w:vAlign w:val="center"/>
          </w:tcPr>
          <w:p w14:paraId="4D495B7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50.1</w:t>
            </w:r>
          </w:p>
        </w:tc>
        <w:tc>
          <w:tcPr>
            <w:tcW w:w="952" w:type="dxa"/>
            <w:tcBorders>
              <w:tl2br w:val="nil"/>
              <w:tr2bl w:val="nil"/>
            </w:tcBorders>
            <w:vAlign w:val="center"/>
          </w:tcPr>
          <w:p w14:paraId="2213C70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21C5D7C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113B76D9">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30.1</w:t>
            </w:r>
          </w:p>
        </w:tc>
        <w:tc>
          <w:tcPr>
            <w:tcW w:w="866" w:type="dxa"/>
            <w:tcBorders>
              <w:tl2br w:val="nil"/>
              <w:tr2bl w:val="nil"/>
            </w:tcBorders>
            <w:vAlign w:val="center"/>
          </w:tcPr>
          <w:p w14:paraId="35F8CA2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4D9A96BE">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C405D3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5</w:t>
            </w:r>
          </w:p>
        </w:tc>
        <w:tc>
          <w:tcPr>
            <w:tcW w:w="664" w:type="dxa"/>
            <w:vMerge w:val="continue"/>
            <w:tcBorders>
              <w:tl2br w:val="nil"/>
              <w:tr2bl w:val="nil"/>
            </w:tcBorders>
            <w:vAlign w:val="center"/>
          </w:tcPr>
          <w:p w14:paraId="5797558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0CEB2A5C">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heme="minorHAnsi" w:hAnsiTheme="minorHAnsi" w:eastAsiaTheme="minorEastAsia" w:cstheme="minorBidi"/>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锯床</w:t>
            </w:r>
          </w:p>
        </w:tc>
        <w:tc>
          <w:tcPr>
            <w:tcW w:w="1458" w:type="dxa"/>
            <w:tcBorders>
              <w:tl2br w:val="nil"/>
              <w:tr2bl w:val="nil"/>
            </w:tcBorders>
            <w:vAlign w:val="center"/>
          </w:tcPr>
          <w:p w14:paraId="6AEB34B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7143547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CD5C5B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164.82</w:t>
            </w:r>
          </w:p>
        </w:tc>
        <w:tc>
          <w:tcPr>
            <w:tcW w:w="949" w:type="dxa"/>
            <w:tcBorders>
              <w:tl2br w:val="nil"/>
              <w:tr2bl w:val="nil"/>
            </w:tcBorders>
            <w:vAlign w:val="center"/>
          </w:tcPr>
          <w:p w14:paraId="001BC45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-5.41</w:t>
            </w:r>
          </w:p>
        </w:tc>
        <w:tc>
          <w:tcPr>
            <w:tcW w:w="876" w:type="dxa"/>
            <w:tcBorders>
              <w:tl2br w:val="nil"/>
              <w:tr2bl w:val="nil"/>
            </w:tcBorders>
            <w:vAlign w:val="center"/>
          </w:tcPr>
          <w:p w14:paraId="0338E19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13CA3D3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7A89AAA2">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59.7</w:t>
            </w:r>
          </w:p>
        </w:tc>
        <w:tc>
          <w:tcPr>
            <w:tcW w:w="952" w:type="dxa"/>
            <w:tcBorders>
              <w:tl2br w:val="nil"/>
              <w:tr2bl w:val="nil"/>
            </w:tcBorders>
            <w:vAlign w:val="center"/>
          </w:tcPr>
          <w:p w14:paraId="762713D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786A630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9247C9C">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39.7</w:t>
            </w:r>
          </w:p>
        </w:tc>
        <w:tc>
          <w:tcPr>
            <w:tcW w:w="866" w:type="dxa"/>
            <w:tcBorders>
              <w:tl2br w:val="nil"/>
              <w:tr2bl w:val="nil"/>
            </w:tcBorders>
            <w:vAlign w:val="center"/>
          </w:tcPr>
          <w:p w14:paraId="70A7EFA1">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2813F16">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7FB0F6B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6</w:t>
            </w:r>
          </w:p>
        </w:tc>
        <w:tc>
          <w:tcPr>
            <w:tcW w:w="664" w:type="dxa"/>
            <w:vMerge w:val="continue"/>
            <w:tcBorders>
              <w:tl2br w:val="nil"/>
              <w:tr2bl w:val="nil"/>
            </w:tcBorders>
            <w:vAlign w:val="center"/>
          </w:tcPr>
          <w:p w14:paraId="36249AD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5301B86C">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摇臂钻床</w:t>
            </w:r>
          </w:p>
        </w:tc>
        <w:tc>
          <w:tcPr>
            <w:tcW w:w="1458" w:type="dxa"/>
            <w:tcBorders>
              <w:tl2br w:val="nil"/>
              <w:tr2bl w:val="nil"/>
            </w:tcBorders>
            <w:vAlign w:val="center"/>
          </w:tcPr>
          <w:p w14:paraId="33A20E3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6F1A860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6610B5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174.79</w:t>
            </w:r>
          </w:p>
        </w:tc>
        <w:tc>
          <w:tcPr>
            <w:tcW w:w="949" w:type="dxa"/>
            <w:tcBorders>
              <w:tl2br w:val="nil"/>
              <w:tr2bl w:val="nil"/>
            </w:tcBorders>
            <w:vAlign w:val="center"/>
          </w:tcPr>
          <w:p w14:paraId="7FB34FA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-38.67</w:t>
            </w:r>
          </w:p>
        </w:tc>
        <w:tc>
          <w:tcPr>
            <w:tcW w:w="876" w:type="dxa"/>
            <w:tcBorders>
              <w:tl2br w:val="nil"/>
              <w:tr2bl w:val="nil"/>
            </w:tcBorders>
            <w:vAlign w:val="center"/>
          </w:tcPr>
          <w:p w14:paraId="4600D76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109B8B4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2E5C76A2">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53.4</w:t>
            </w:r>
          </w:p>
        </w:tc>
        <w:tc>
          <w:tcPr>
            <w:tcW w:w="952" w:type="dxa"/>
            <w:tcBorders>
              <w:tl2br w:val="nil"/>
              <w:tr2bl w:val="nil"/>
            </w:tcBorders>
            <w:vAlign w:val="center"/>
          </w:tcPr>
          <w:p w14:paraId="1780DD8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C8C696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7D159E23">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33.4</w:t>
            </w:r>
          </w:p>
        </w:tc>
        <w:tc>
          <w:tcPr>
            <w:tcW w:w="866" w:type="dxa"/>
            <w:tcBorders>
              <w:tl2br w:val="nil"/>
              <w:tr2bl w:val="nil"/>
            </w:tcBorders>
            <w:vAlign w:val="center"/>
          </w:tcPr>
          <w:p w14:paraId="5AE17DC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430DE6E9">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34B97E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7</w:t>
            </w:r>
          </w:p>
        </w:tc>
        <w:tc>
          <w:tcPr>
            <w:tcW w:w="664" w:type="dxa"/>
            <w:vMerge w:val="continue"/>
            <w:tcBorders>
              <w:tl2br w:val="nil"/>
              <w:tr2bl w:val="nil"/>
            </w:tcBorders>
            <w:vAlign w:val="center"/>
          </w:tcPr>
          <w:p w14:paraId="04A1B22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2821F13E">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数控平板钻床</w:t>
            </w:r>
          </w:p>
        </w:tc>
        <w:tc>
          <w:tcPr>
            <w:tcW w:w="1458" w:type="dxa"/>
            <w:tcBorders>
              <w:tl2br w:val="nil"/>
              <w:tr2bl w:val="nil"/>
            </w:tcBorders>
            <w:vAlign w:val="center"/>
          </w:tcPr>
          <w:p w14:paraId="06E9568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5270F8C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4A51B36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215.37</w:t>
            </w:r>
          </w:p>
        </w:tc>
        <w:tc>
          <w:tcPr>
            <w:tcW w:w="949" w:type="dxa"/>
            <w:tcBorders>
              <w:tl2br w:val="nil"/>
              <w:tr2bl w:val="nil"/>
            </w:tcBorders>
            <w:vAlign w:val="center"/>
          </w:tcPr>
          <w:p w14:paraId="6F3051B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7.23</w:t>
            </w:r>
          </w:p>
        </w:tc>
        <w:tc>
          <w:tcPr>
            <w:tcW w:w="876" w:type="dxa"/>
            <w:tcBorders>
              <w:tl2br w:val="nil"/>
              <w:tr2bl w:val="nil"/>
            </w:tcBorders>
            <w:vAlign w:val="center"/>
          </w:tcPr>
          <w:p w14:paraId="18A0426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7363767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5ACAC3D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64.5</w:t>
            </w:r>
          </w:p>
        </w:tc>
        <w:tc>
          <w:tcPr>
            <w:tcW w:w="952" w:type="dxa"/>
            <w:tcBorders>
              <w:tl2br w:val="nil"/>
              <w:tr2bl w:val="nil"/>
            </w:tcBorders>
            <w:vAlign w:val="center"/>
          </w:tcPr>
          <w:p w14:paraId="2440762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3C0E910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529D4679">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44.5</w:t>
            </w:r>
          </w:p>
        </w:tc>
        <w:tc>
          <w:tcPr>
            <w:tcW w:w="866" w:type="dxa"/>
            <w:tcBorders>
              <w:tl2br w:val="nil"/>
              <w:tr2bl w:val="nil"/>
            </w:tcBorders>
            <w:vAlign w:val="center"/>
          </w:tcPr>
          <w:p w14:paraId="791E9E51">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380EAA4F">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5016B3D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8</w:t>
            </w:r>
          </w:p>
        </w:tc>
        <w:tc>
          <w:tcPr>
            <w:tcW w:w="664" w:type="dxa"/>
            <w:vMerge w:val="continue"/>
            <w:tcBorders>
              <w:tl2br w:val="nil"/>
              <w:tr2bl w:val="nil"/>
            </w:tcBorders>
            <w:vAlign w:val="center"/>
          </w:tcPr>
          <w:p w14:paraId="13D2B0A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3C33A94B">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磁力钻</w:t>
            </w:r>
          </w:p>
        </w:tc>
        <w:tc>
          <w:tcPr>
            <w:tcW w:w="1458" w:type="dxa"/>
            <w:tcBorders>
              <w:tl2br w:val="nil"/>
              <w:tr2bl w:val="nil"/>
            </w:tcBorders>
            <w:vAlign w:val="center"/>
          </w:tcPr>
          <w:p w14:paraId="74EA1F7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3B741AB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0ED5ED8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225.34</w:t>
            </w:r>
          </w:p>
        </w:tc>
        <w:tc>
          <w:tcPr>
            <w:tcW w:w="949" w:type="dxa"/>
            <w:tcBorders>
              <w:tl2br w:val="nil"/>
              <w:tr2bl w:val="nil"/>
            </w:tcBorders>
            <w:vAlign w:val="center"/>
          </w:tcPr>
          <w:p w14:paraId="51BC6AA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-30.01</w:t>
            </w:r>
          </w:p>
        </w:tc>
        <w:tc>
          <w:tcPr>
            <w:tcW w:w="876" w:type="dxa"/>
            <w:tcBorders>
              <w:tl2br w:val="nil"/>
              <w:tr2bl w:val="nil"/>
            </w:tcBorders>
            <w:vAlign w:val="center"/>
          </w:tcPr>
          <w:p w14:paraId="272A3A4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BA19690">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39B29A9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59.4</w:t>
            </w:r>
          </w:p>
        </w:tc>
        <w:tc>
          <w:tcPr>
            <w:tcW w:w="952" w:type="dxa"/>
            <w:tcBorders>
              <w:tl2br w:val="nil"/>
              <w:tr2bl w:val="nil"/>
            </w:tcBorders>
            <w:vAlign w:val="center"/>
          </w:tcPr>
          <w:p w14:paraId="2475092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72B0289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73C1D7E3">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39.4</w:t>
            </w:r>
          </w:p>
        </w:tc>
        <w:tc>
          <w:tcPr>
            <w:tcW w:w="866" w:type="dxa"/>
            <w:tcBorders>
              <w:tl2br w:val="nil"/>
              <w:tr2bl w:val="nil"/>
            </w:tcBorders>
            <w:vAlign w:val="center"/>
          </w:tcPr>
          <w:p w14:paraId="5E3DFC57">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FC6E74B">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571F4D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z w:val="21"/>
                <w:szCs w:val="21"/>
                <w:u w:val="single" w:color="auto"/>
              </w:rPr>
              <w:t>9</w:t>
            </w:r>
          </w:p>
        </w:tc>
        <w:tc>
          <w:tcPr>
            <w:tcW w:w="664" w:type="dxa"/>
            <w:vMerge w:val="continue"/>
            <w:tcBorders>
              <w:tl2br w:val="nil"/>
              <w:tr2bl w:val="nil"/>
            </w:tcBorders>
            <w:vAlign w:val="center"/>
          </w:tcPr>
          <w:p w14:paraId="40C35D5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2D1C5FD0">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冲孔机</w:t>
            </w:r>
          </w:p>
        </w:tc>
        <w:tc>
          <w:tcPr>
            <w:tcW w:w="1458" w:type="dxa"/>
            <w:tcBorders>
              <w:tl2br w:val="nil"/>
              <w:tr2bl w:val="nil"/>
            </w:tcBorders>
            <w:vAlign w:val="center"/>
          </w:tcPr>
          <w:p w14:paraId="2D74A8D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72FFCE6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223E5C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275.22</w:t>
            </w:r>
          </w:p>
        </w:tc>
        <w:tc>
          <w:tcPr>
            <w:tcW w:w="949" w:type="dxa"/>
            <w:tcBorders>
              <w:tl2br w:val="nil"/>
              <w:tr2bl w:val="nil"/>
            </w:tcBorders>
            <w:vAlign w:val="center"/>
          </w:tcPr>
          <w:p w14:paraId="2686D52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22.52</w:t>
            </w:r>
          </w:p>
        </w:tc>
        <w:tc>
          <w:tcPr>
            <w:tcW w:w="876" w:type="dxa"/>
            <w:tcBorders>
              <w:tl2br w:val="nil"/>
              <w:tr2bl w:val="nil"/>
            </w:tcBorders>
            <w:vAlign w:val="center"/>
          </w:tcPr>
          <w:p w14:paraId="596070C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33B23F41">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5FE40DA0">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64.5</w:t>
            </w:r>
          </w:p>
        </w:tc>
        <w:tc>
          <w:tcPr>
            <w:tcW w:w="952" w:type="dxa"/>
            <w:tcBorders>
              <w:tl2br w:val="nil"/>
              <w:tr2bl w:val="nil"/>
            </w:tcBorders>
            <w:vAlign w:val="center"/>
          </w:tcPr>
          <w:p w14:paraId="536BC25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6872F50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2C387FA9">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44.5</w:t>
            </w:r>
          </w:p>
        </w:tc>
        <w:tc>
          <w:tcPr>
            <w:tcW w:w="866" w:type="dxa"/>
            <w:tcBorders>
              <w:tl2br w:val="nil"/>
              <w:tr2bl w:val="nil"/>
            </w:tcBorders>
            <w:vAlign w:val="center"/>
          </w:tcPr>
          <w:p w14:paraId="59057909">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03761C0C">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75148C9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10</w:t>
            </w:r>
          </w:p>
        </w:tc>
        <w:tc>
          <w:tcPr>
            <w:tcW w:w="664" w:type="dxa"/>
            <w:vMerge w:val="continue"/>
            <w:tcBorders>
              <w:tl2br w:val="nil"/>
              <w:tr2bl w:val="nil"/>
            </w:tcBorders>
            <w:vAlign w:val="center"/>
          </w:tcPr>
          <w:p w14:paraId="19B5F37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4FAF929F">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割圆机</w:t>
            </w:r>
          </w:p>
        </w:tc>
        <w:tc>
          <w:tcPr>
            <w:tcW w:w="1458" w:type="dxa"/>
            <w:tcBorders>
              <w:tl2br w:val="nil"/>
              <w:tr2bl w:val="nil"/>
            </w:tcBorders>
            <w:vAlign w:val="center"/>
          </w:tcPr>
          <w:p w14:paraId="71941C3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100372E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6DE3F0E">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285.19</w:t>
            </w:r>
          </w:p>
        </w:tc>
        <w:tc>
          <w:tcPr>
            <w:tcW w:w="949" w:type="dxa"/>
            <w:tcBorders>
              <w:tl2br w:val="nil"/>
              <w:tr2bl w:val="nil"/>
            </w:tcBorders>
            <w:vAlign w:val="center"/>
          </w:tcPr>
          <w:p w14:paraId="5C6591F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-16.72</w:t>
            </w:r>
          </w:p>
        </w:tc>
        <w:tc>
          <w:tcPr>
            <w:tcW w:w="876" w:type="dxa"/>
            <w:tcBorders>
              <w:tl2br w:val="nil"/>
              <w:tr2bl w:val="nil"/>
            </w:tcBorders>
            <w:vAlign w:val="center"/>
          </w:tcPr>
          <w:p w14:paraId="30DF892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7A5C6A2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41B5B22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61.2</w:t>
            </w:r>
          </w:p>
        </w:tc>
        <w:tc>
          <w:tcPr>
            <w:tcW w:w="952" w:type="dxa"/>
            <w:tcBorders>
              <w:tl2br w:val="nil"/>
              <w:tr2bl w:val="nil"/>
            </w:tcBorders>
            <w:vAlign w:val="center"/>
          </w:tcPr>
          <w:p w14:paraId="3D632109">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4764BC9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6A4D2C9">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41.2</w:t>
            </w:r>
          </w:p>
        </w:tc>
        <w:tc>
          <w:tcPr>
            <w:tcW w:w="866" w:type="dxa"/>
            <w:tcBorders>
              <w:tl2br w:val="nil"/>
              <w:tr2bl w:val="nil"/>
            </w:tcBorders>
            <w:vAlign w:val="center"/>
          </w:tcPr>
          <w:p w14:paraId="47A7DF49">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DBF94E5">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97FEAF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8"/>
                <w:sz w:val="21"/>
                <w:szCs w:val="21"/>
                <w:u w:val="single" w:color="auto"/>
              </w:rPr>
              <w:t>11</w:t>
            </w:r>
          </w:p>
        </w:tc>
        <w:tc>
          <w:tcPr>
            <w:tcW w:w="664" w:type="dxa"/>
            <w:vMerge w:val="continue"/>
            <w:tcBorders>
              <w:tl2br w:val="nil"/>
              <w:tr2bl w:val="nil"/>
            </w:tcBorders>
            <w:vAlign w:val="center"/>
          </w:tcPr>
          <w:p w14:paraId="6075531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44F023A5">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剪板机</w:t>
            </w:r>
          </w:p>
        </w:tc>
        <w:tc>
          <w:tcPr>
            <w:tcW w:w="1458" w:type="dxa"/>
            <w:tcBorders>
              <w:tl2br w:val="nil"/>
              <w:tr2bl w:val="nil"/>
            </w:tcBorders>
            <w:vAlign w:val="center"/>
          </w:tcPr>
          <w:p w14:paraId="2E69440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012E4C0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30AAA3E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335.07</w:t>
            </w:r>
          </w:p>
        </w:tc>
        <w:tc>
          <w:tcPr>
            <w:tcW w:w="949" w:type="dxa"/>
            <w:tcBorders>
              <w:tl2br w:val="nil"/>
              <w:tr2bl w:val="nil"/>
            </w:tcBorders>
            <w:vAlign w:val="center"/>
          </w:tcPr>
          <w:p w14:paraId="29D7193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37.15</w:t>
            </w:r>
          </w:p>
        </w:tc>
        <w:tc>
          <w:tcPr>
            <w:tcW w:w="876" w:type="dxa"/>
            <w:tcBorders>
              <w:tl2br w:val="nil"/>
              <w:tr2bl w:val="nil"/>
            </w:tcBorders>
            <w:vAlign w:val="center"/>
          </w:tcPr>
          <w:p w14:paraId="2119849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48C4DF2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70831FCE">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59.7</w:t>
            </w:r>
          </w:p>
        </w:tc>
        <w:tc>
          <w:tcPr>
            <w:tcW w:w="952" w:type="dxa"/>
            <w:tcBorders>
              <w:tl2br w:val="nil"/>
              <w:tr2bl w:val="nil"/>
            </w:tcBorders>
            <w:vAlign w:val="center"/>
          </w:tcPr>
          <w:p w14:paraId="4E541CE1">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4636F8C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5BA05603">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39.7</w:t>
            </w:r>
          </w:p>
        </w:tc>
        <w:tc>
          <w:tcPr>
            <w:tcW w:w="866" w:type="dxa"/>
            <w:tcBorders>
              <w:tl2br w:val="nil"/>
              <w:tr2bl w:val="nil"/>
            </w:tcBorders>
            <w:vAlign w:val="center"/>
          </w:tcPr>
          <w:p w14:paraId="3F0844ED">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7598FE9A">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525660A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12</w:t>
            </w:r>
          </w:p>
        </w:tc>
        <w:tc>
          <w:tcPr>
            <w:tcW w:w="664" w:type="dxa"/>
            <w:vMerge w:val="continue"/>
            <w:tcBorders>
              <w:tl2br w:val="nil"/>
              <w:tr2bl w:val="nil"/>
            </w:tcBorders>
            <w:vAlign w:val="center"/>
          </w:tcPr>
          <w:p w14:paraId="115A007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shd w:val="clear" w:color="auto" w:fill="auto"/>
            <w:vAlign w:val="center"/>
          </w:tcPr>
          <w:p w14:paraId="705FDC10">
            <w:pPr>
              <w:keepNext w:val="0"/>
              <w:keepLines w:val="0"/>
              <w:pageBreakBefore w:val="0"/>
              <w:widowControl w:val="0"/>
              <w:kinsoku/>
              <w:wordWrap/>
              <w:overflowPunct/>
              <w:topLinePunct w:val="0"/>
              <w:autoSpaceDE/>
              <w:autoSpaceDN/>
              <w:bidi w:val="0"/>
              <w:adjustRightInd/>
              <w:snapToGrid w:val="0"/>
              <w:spacing w:line="240" w:lineRule="auto"/>
              <w:ind w:left="0" w:right="0" w:firstLine="0"/>
              <w:jc w:val="center"/>
              <w:textAlignment w:val="auto"/>
              <w:rPr>
                <w:rFonts w:ascii="Times New Roman" w:hAnsi="Times New Roman" w:eastAsia="宋体" w:cs="Times New Roman"/>
                <w:color w:val="auto"/>
                <w:kern w:val="2"/>
                <w:sz w:val="21"/>
                <w:szCs w:val="21"/>
                <w:u w:val="single" w:color="auto"/>
                <w:lang w:val="en-US" w:eastAsia="zh-CN" w:bidi="ar-SA"/>
              </w:rPr>
            </w:pPr>
            <w:r>
              <w:rPr>
                <w:rFonts w:ascii="Times New Roman" w:hAnsi="Times New Roman" w:eastAsia="宋体" w:cs="Times New Roman"/>
                <w:color w:val="auto"/>
                <w:szCs w:val="21"/>
                <w:u w:val="single" w:color="auto"/>
              </w:rPr>
              <w:t>联合冲剪机</w:t>
            </w:r>
          </w:p>
        </w:tc>
        <w:tc>
          <w:tcPr>
            <w:tcW w:w="1458" w:type="dxa"/>
            <w:tcBorders>
              <w:tl2br w:val="nil"/>
              <w:tr2bl w:val="nil"/>
            </w:tcBorders>
            <w:vAlign w:val="center"/>
          </w:tcPr>
          <w:p w14:paraId="0A8A8B7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07AD822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5226F15A">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345.71</w:t>
            </w:r>
          </w:p>
        </w:tc>
        <w:tc>
          <w:tcPr>
            <w:tcW w:w="949" w:type="dxa"/>
            <w:tcBorders>
              <w:tl2br w:val="nil"/>
              <w:tr2bl w:val="nil"/>
            </w:tcBorders>
            <w:vAlign w:val="center"/>
          </w:tcPr>
          <w:p w14:paraId="7AAF538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-4.75</w:t>
            </w:r>
          </w:p>
        </w:tc>
        <w:tc>
          <w:tcPr>
            <w:tcW w:w="876" w:type="dxa"/>
            <w:tcBorders>
              <w:tl2br w:val="nil"/>
              <w:tr2bl w:val="nil"/>
            </w:tcBorders>
            <w:vAlign w:val="center"/>
          </w:tcPr>
          <w:p w14:paraId="5EDE0EF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66A08F6C">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vAlign w:val="center"/>
          </w:tcPr>
          <w:p w14:paraId="6052D76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56.4</w:t>
            </w:r>
          </w:p>
        </w:tc>
        <w:tc>
          <w:tcPr>
            <w:tcW w:w="952" w:type="dxa"/>
            <w:tcBorders>
              <w:tl2br w:val="nil"/>
              <w:tr2bl w:val="nil"/>
            </w:tcBorders>
            <w:vAlign w:val="center"/>
          </w:tcPr>
          <w:p w14:paraId="67C36C6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536B048D">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01BB2D08">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36.4</w:t>
            </w:r>
          </w:p>
        </w:tc>
        <w:tc>
          <w:tcPr>
            <w:tcW w:w="866" w:type="dxa"/>
            <w:tcBorders>
              <w:tl2br w:val="nil"/>
              <w:tr2bl w:val="nil"/>
            </w:tcBorders>
            <w:vAlign w:val="center"/>
          </w:tcPr>
          <w:p w14:paraId="4C6027D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5959E5DB">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2A75E364">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6"/>
                <w:sz w:val="21"/>
                <w:szCs w:val="21"/>
                <w:u w:val="single" w:color="auto"/>
              </w:rPr>
              <w:t>13</w:t>
            </w:r>
          </w:p>
        </w:tc>
        <w:tc>
          <w:tcPr>
            <w:tcW w:w="664" w:type="dxa"/>
            <w:vMerge w:val="continue"/>
            <w:tcBorders>
              <w:tl2br w:val="nil"/>
              <w:tr2bl w:val="nil"/>
            </w:tcBorders>
            <w:vAlign w:val="center"/>
          </w:tcPr>
          <w:p w14:paraId="4FE097E6">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1578" w:type="dxa"/>
            <w:tcBorders>
              <w:tl2br w:val="nil"/>
              <w:tr2bl w:val="nil"/>
            </w:tcBorders>
            <w:vAlign w:val="center"/>
          </w:tcPr>
          <w:p w14:paraId="555E9EF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rFonts w:ascii="Times New Roman" w:hAnsi="Times New Roman" w:eastAsia="宋体" w:cs="Times New Roman"/>
                <w:color w:val="auto"/>
                <w:szCs w:val="21"/>
                <w:u w:val="single" w:color="auto"/>
              </w:rPr>
              <w:t>龙门吊</w:t>
            </w:r>
          </w:p>
        </w:tc>
        <w:tc>
          <w:tcPr>
            <w:tcW w:w="1458" w:type="dxa"/>
            <w:tcBorders>
              <w:tl2br w:val="nil"/>
              <w:tr2bl w:val="nil"/>
            </w:tcBorders>
            <w:vAlign w:val="center"/>
          </w:tcPr>
          <w:p w14:paraId="30672AF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vAlign w:val="center"/>
          </w:tcPr>
          <w:p w14:paraId="49C0779B">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Arial"/>
                <w:color w:val="auto"/>
                <w:sz w:val="21"/>
                <w:u w:val="single" w:color="auto"/>
              </w:rPr>
            </w:pPr>
          </w:p>
        </w:tc>
        <w:tc>
          <w:tcPr>
            <w:tcW w:w="801" w:type="dxa"/>
            <w:tcBorders>
              <w:tl2br w:val="nil"/>
              <w:tr2bl w:val="nil"/>
            </w:tcBorders>
            <w:vAlign w:val="center"/>
          </w:tcPr>
          <w:p w14:paraId="66404035">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378.3</w:t>
            </w:r>
          </w:p>
        </w:tc>
        <w:tc>
          <w:tcPr>
            <w:tcW w:w="949" w:type="dxa"/>
            <w:tcBorders>
              <w:tl2br w:val="nil"/>
              <w:tr2bl w:val="nil"/>
            </w:tcBorders>
            <w:vAlign w:val="center"/>
          </w:tcPr>
          <w:p w14:paraId="24CD755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48.46</w:t>
            </w:r>
          </w:p>
        </w:tc>
        <w:tc>
          <w:tcPr>
            <w:tcW w:w="876" w:type="dxa"/>
            <w:tcBorders>
              <w:tl2br w:val="nil"/>
              <w:tr2bl w:val="nil"/>
            </w:tcBorders>
            <w:vAlign w:val="center"/>
          </w:tcPr>
          <w:p w14:paraId="38C3EE6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5444AB96">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26</w:t>
            </w:r>
          </w:p>
        </w:tc>
        <w:tc>
          <w:tcPr>
            <w:tcW w:w="995" w:type="dxa"/>
            <w:tcBorders>
              <w:tl2br w:val="nil"/>
              <w:tr2bl w:val="nil"/>
            </w:tcBorders>
            <w:vAlign w:val="center"/>
          </w:tcPr>
          <w:p w14:paraId="04069652">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71.5</w:t>
            </w:r>
          </w:p>
        </w:tc>
        <w:tc>
          <w:tcPr>
            <w:tcW w:w="952" w:type="dxa"/>
            <w:tcBorders>
              <w:tl2br w:val="nil"/>
              <w:tr2bl w:val="nil"/>
            </w:tcBorders>
            <w:vAlign w:val="center"/>
          </w:tcPr>
          <w:p w14:paraId="512C8A5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164CF1F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5B270EC7">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51.5</w:t>
            </w:r>
          </w:p>
        </w:tc>
        <w:tc>
          <w:tcPr>
            <w:tcW w:w="866" w:type="dxa"/>
            <w:tcBorders>
              <w:tl2br w:val="nil"/>
              <w:tr2bl w:val="nil"/>
            </w:tcBorders>
            <w:vAlign w:val="center"/>
          </w:tcPr>
          <w:p w14:paraId="35AB2AA8">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5311FAF1">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180E5170">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ascii="Times New Roman" w:hAnsi="Times New Roman" w:eastAsia="宋体" w:cs="Times New Roman"/>
                <w:color w:val="auto"/>
                <w:spacing w:val="-6"/>
                <w:sz w:val="21"/>
                <w:szCs w:val="21"/>
                <w:u w:val="single" w:color="auto"/>
                <w:lang w:val="en-US" w:eastAsia="zh-CN"/>
              </w:rPr>
            </w:pPr>
            <w:r>
              <w:rPr>
                <w:rFonts w:hint="eastAsia" w:ascii="Times New Roman" w:hAnsi="Times New Roman" w:eastAsia="宋体" w:cs="Times New Roman"/>
                <w:color w:val="auto"/>
                <w:spacing w:val="-6"/>
                <w:sz w:val="21"/>
                <w:szCs w:val="21"/>
                <w:u w:val="single" w:color="auto"/>
                <w:lang w:val="en-US" w:eastAsia="zh-CN"/>
              </w:rPr>
              <w:t>14</w:t>
            </w:r>
          </w:p>
        </w:tc>
        <w:tc>
          <w:tcPr>
            <w:tcW w:w="664" w:type="dxa"/>
            <w:vMerge w:val="restart"/>
            <w:tcBorders>
              <w:tl2br w:val="nil"/>
              <w:tr2bl w:val="nil"/>
            </w:tcBorders>
            <w:vAlign w:val="center"/>
          </w:tcPr>
          <w:p w14:paraId="49EB805A">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eastAsia="宋体"/>
                <w:color w:val="auto"/>
                <w:sz w:val="21"/>
                <w:szCs w:val="21"/>
                <w:u w:val="single" w:color="auto"/>
                <w:lang w:val="en-US" w:eastAsia="zh-CN"/>
              </w:rPr>
            </w:pPr>
            <w:r>
              <w:rPr>
                <w:rFonts w:hint="eastAsia"/>
                <w:color w:val="auto"/>
                <w:spacing w:val="-8"/>
                <w:sz w:val="21"/>
                <w:szCs w:val="21"/>
                <w:u w:val="single" w:color="auto"/>
                <w:lang w:val="en-US" w:eastAsia="zh-CN"/>
              </w:rPr>
              <w:t>涂装车间</w:t>
            </w:r>
          </w:p>
        </w:tc>
        <w:tc>
          <w:tcPr>
            <w:tcW w:w="1578" w:type="dxa"/>
            <w:tcBorders>
              <w:tl2br w:val="nil"/>
              <w:tr2bl w:val="nil"/>
            </w:tcBorders>
            <w:shd w:val="clear" w:color="auto" w:fill="auto"/>
            <w:vAlign w:val="center"/>
          </w:tcPr>
          <w:p w14:paraId="17412BBD">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宋体" w:hAnsi="宋体" w:eastAsia="宋体" w:cs="宋体"/>
                <w:color w:val="auto"/>
                <w:spacing w:val="18"/>
                <w:kern w:val="2"/>
                <w:sz w:val="21"/>
                <w:szCs w:val="21"/>
                <w:u w:val="single" w:color="auto"/>
                <w:lang w:val="en-US" w:eastAsia="en-US" w:bidi="ar-SA"/>
              </w:rPr>
            </w:pPr>
            <w:r>
              <w:rPr>
                <w:rFonts w:ascii="Times New Roman" w:hAnsi="Times New Roman" w:eastAsia="宋体" w:cs="Times New Roman"/>
                <w:color w:val="auto"/>
                <w:szCs w:val="21"/>
                <w:u w:val="single" w:color="auto"/>
              </w:rPr>
              <w:t>型钢抛丸机</w:t>
            </w:r>
          </w:p>
        </w:tc>
        <w:tc>
          <w:tcPr>
            <w:tcW w:w="1458" w:type="dxa"/>
            <w:tcBorders>
              <w:tl2br w:val="nil"/>
              <w:tr2bl w:val="nil"/>
            </w:tcBorders>
            <w:shd w:val="clear" w:color="auto" w:fill="auto"/>
            <w:vAlign w:val="center"/>
          </w:tcPr>
          <w:p w14:paraId="2DB6B948">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3"/>
                <w:sz w:val="21"/>
                <w:szCs w:val="21"/>
                <w:u w:val="single" w:color="auto"/>
              </w:rPr>
              <w:t>85/1</w:t>
            </w:r>
          </w:p>
        </w:tc>
        <w:tc>
          <w:tcPr>
            <w:tcW w:w="1379" w:type="dxa"/>
            <w:vMerge w:val="restart"/>
            <w:tcBorders>
              <w:tl2br w:val="nil"/>
              <w:tr2bl w:val="nil"/>
            </w:tcBorders>
            <w:shd w:val="clear" w:color="auto" w:fill="auto"/>
            <w:vAlign w:val="center"/>
          </w:tcPr>
          <w:p w14:paraId="1243EBB2">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r>
              <w:rPr>
                <w:color w:val="auto"/>
                <w:spacing w:val="-8"/>
                <w:sz w:val="21"/>
                <w:szCs w:val="21"/>
                <w:u w:val="single" w:color="auto"/>
              </w:rPr>
              <w:t>低噪设备、基础减振</w:t>
            </w:r>
          </w:p>
        </w:tc>
        <w:tc>
          <w:tcPr>
            <w:tcW w:w="801" w:type="dxa"/>
            <w:tcBorders>
              <w:tl2br w:val="nil"/>
              <w:tr2bl w:val="nil"/>
            </w:tcBorders>
            <w:shd w:val="clear" w:color="auto" w:fill="auto"/>
            <w:vAlign w:val="center"/>
          </w:tcPr>
          <w:p w14:paraId="6D87A3A0">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1"/>
                <w:sz w:val="21"/>
                <w:szCs w:val="21"/>
                <w:u w:val="single" w:color="auto"/>
              </w:rPr>
              <w:t>390.93</w:t>
            </w:r>
          </w:p>
        </w:tc>
        <w:tc>
          <w:tcPr>
            <w:tcW w:w="949" w:type="dxa"/>
            <w:tcBorders>
              <w:tl2br w:val="nil"/>
              <w:tr2bl w:val="nil"/>
            </w:tcBorders>
            <w:shd w:val="clear" w:color="auto" w:fill="auto"/>
            <w:vAlign w:val="center"/>
          </w:tcPr>
          <w:p w14:paraId="0298D1C1">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2"/>
                <w:sz w:val="21"/>
                <w:szCs w:val="21"/>
                <w:u w:val="single" w:color="auto"/>
              </w:rPr>
              <w:t>5.23</w:t>
            </w:r>
          </w:p>
        </w:tc>
        <w:tc>
          <w:tcPr>
            <w:tcW w:w="876" w:type="dxa"/>
            <w:tcBorders>
              <w:tl2br w:val="nil"/>
              <w:tr2bl w:val="nil"/>
            </w:tcBorders>
            <w:shd w:val="clear" w:color="auto" w:fill="auto"/>
            <w:vAlign w:val="center"/>
          </w:tcPr>
          <w:p w14:paraId="228D864B">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shd w:val="clear" w:color="auto" w:fill="auto"/>
            <w:vAlign w:val="center"/>
          </w:tcPr>
          <w:p w14:paraId="20AB0DEF">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shd w:val="clear" w:color="auto" w:fill="auto"/>
            <w:vAlign w:val="center"/>
          </w:tcPr>
          <w:p w14:paraId="5A87D3F5">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59.4</w:t>
            </w:r>
          </w:p>
        </w:tc>
        <w:tc>
          <w:tcPr>
            <w:tcW w:w="952" w:type="dxa"/>
            <w:tcBorders>
              <w:tl2br w:val="nil"/>
              <w:tr2bl w:val="nil"/>
            </w:tcBorders>
            <w:shd w:val="clear" w:color="auto" w:fill="auto"/>
            <w:vAlign w:val="center"/>
          </w:tcPr>
          <w:p w14:paraId="5595B316">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shd w:val="clear" w:color="auto" w:fill="auto"/>
            <w:vAlign w:val="center"/>
          </w:tcPr>
          <w:p w14:paraId="69CA85AD">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kern w:val="2"/>
                <w:sz w:val="21"/>
                <w:szCs w:val="21"/>
                <w:u w:val="single" w:color="auto"/>
                <w:lang w:val="en-US" w:eastAsia="zh-CN" w:bidi="ar-SA"/>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shd w:val="clear" w:color="auto" w:fill="auto"/>
            <w:vAlign w:val="center"/>
          </w:tcPr>
          <w:p w14:paraId="25EB09E3">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2"/>
                <w:szCs w:val="22"/>
                <w:u w:val="single" w:color="auto"/>
                <w:lang w:val="en-US" w:eastAsia="zh-CN" w:bidi="ar"/>
              </w:rPr>
              <w:t>39.4</w:t>
            </w:r>
          </w:p>
        </w:tc>
        <w:tc>
          <w:tcPr>
            <w:tcW w:w="866" w:type="dxa"/>
            <w:tcBorders>
              <w:tl2br w:val="nil"/>
              <w:tr2bl w:val="nil"/>
            </w:tcBorders>
            <w:shd w:val="clear" w:color="auto" w:fill="auto"/>
            <w:vAlign w:val="center"/>
          </w:tcPr>
          <w:p w14:paraId="64043375">
            <w:pPr>
              <w:keepNext w:val="0"/>
              <w:keepLines w:val="0"/>
              <w:widowControl/>
              <w:suppressLineNumbers w:val="0"/>
              <w:jc w:val="center"/>
              <w:textAlignment w:val="center"/>
              <w:rPr>
                <w:rFonts w:ascii="Times New Roman" w:hAnsi="Times New Roman" w:eastAsia="Times New Roman"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39D1110E">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4044AA7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default" w:ascii="Times New Roman" w:hAnsi="Times New Roman" w:eastAsia="宋体" w:cs="Times New Roman"/>
                <w:color w:val="auto"/>
                <w:spacing w:val="-6"/>
                <w:sz w:val="21"/>
                <w:szCs w:val="21"/>
                <w:u w:val="single" w:color="auto"/>
                <w:lang w:val="en-US" w:eastAsia="zh-CN"/>
              </w:rPr>
            </w:pPr>
            <w:r>
              <w:rPr>
                <w:rFonts w:hint="eastAsia" w:ascii="Times New Roman" w:hAnsi="Times New Roman" w:eastAsia="宋体" w:cs="Times New Roman"/>
                <w:color w:val="auto"/>
                <w:spacing w:val="-6"/>
                <w:sz w:val="21"/>
                <w:szCs w:val="21"/>
                <w:u w:val="single" w:color="auto"/>
                <w:lang w:val="en-US" w:eastAsia="zh-CN"/>
              </w:rPr>
              <w:t>15</w:t>
            </w:r>
          </w:p>
        </w:tc>
        <w:tc>
          <w:tcPr>
            <w:tcW w:w="664" w:type="dxa"/>
            <w:vMerge w:val="continue"/>
            <w:tcBorders>
              <w:tl2br w:val="nil"/>
              <w:tr2bl w:val="nil"/>
            </w:tcBorders>
            <w:vAlign w:val="center"/>
          </w:tcPr>
          <w:p w14:paraId="77E81E8B">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color w:val="auto"/>
                <w:spacing w:val="-8"/>
                <w:sz w:val="21"/>
                <w:szCs w:val="21"/>
                <w:u w:val="single" w:color="auto"/>
                <w:lang w:val="en-US" w:eastAsia="zh-CN"/>
              </w:rPr>
            </w:pPr>
          </w:p>
        </w:tc>
        <w:tc>
          <w:tcPr>
            <w:tcW w:w="1578" w:type="dxa"/>
            <w:tcBorders>
              <w:tl2br w:val="nil"/>
              <w:tr2bl w:val="nil"/>
            </w:tcBorders>
            <w:shd w:val="clear" w:color="auto" w:fill="auto"/>
            <w:vAlign w:val="center"/>
          </w:tcPr>
          <w:p w14:paraId="6EEAD4D7">
            <w:pPr>
              <w:pStyle w:val="155"/>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u w:val="single" w:color="auto"/>
                <w:lang w:val="en-US" w:eastAsia="zh-CN"/>
              </w:rPr>
            </w:pPr>
            <w:r>
              <w:rPr>
                <w:rFonts w:hint="eastAsia" w:ascii="Times New Roman" w:hAnsi="Times New Roman" w:cs="Times New Roman"/>
                <w:color w:val="auto"/>
                <w:szCs w:val="21"/>
                <w:u w:val="single" w:color="auto"/>
                <w:lang w:val="en-US" w:eastAsia="zh-CN"/>
              </w:rPr>
              <w:t>喷砂机</w:t>
            </w:r>
          </w:p>
        </w:tc>
        <w:tc>
          <w:tcPr>
            <w:tcW w:w="1458" w:type="dxa"/>
            <w:tcBorders>
              <w:tl2br w:val="nil"/>
              <w:tr2bl w:val="nil"/>
            </w:tcBorders>
            <w:shd w:val="clear" w:color="auto" w:fill="auto"/>
            <w:vAlign w:val="center"/>
          </w:tcPr>
          <w:p w14:paraId="78B6F21E">
            <w:pPr>
              <w:keepNext w:val="0"/>
              <w:keepLines w:val="0"/>
              <w:pageBreakBefore w:val="0"/>
              <w:widowControl w:val="0"/>
              <w:kinsoku/>
              <w:wordWrap/>
              <w:overflowPunct/>
              <w:topLinePunct w:val="0"/>
              <w:autoSpaceDE/>
              <w:autoSpaceDN/>
              <w:bidi w:val="0"/>
              <w:adjustRightInd/>
              <w:spacing w:line="240" w:lineRule="auto"/>
              <w:ind w:left="0" w:leftChars="0" w:right="0" w:firstLine="0"/>
              <w:jc w:val="center"/>
              <w:textAlignment w:val="auto"/>
              <w:rPr>
                <w:rFonts w:ascii="Times New Roman" w:hAnsi="Times New Roman" w:eastAsia="Times New Roman" w:cs="Times New Roman"/>
                <w:color w:val="auto"/>
                <w:spacing w:val="-3"/>
                <w:sz w:val="21"/>
                <w:szCs w:val="21"/>
                <w:u w:val="single" w:color="auto"/>
              </w:rPr>
            </w:pPr>
            <w:r>
              <w:rPr>
                <w:rFonts w:ascii="Times New Roman" w:hAnsi="Times New Roman" w:eastAsia="Times New Roman" w:cs="Times New Roman"/>
                <w:color w:val="auto"/>
                <w:spacing w:val="-3"/>
                <w:sz w:val="21"/>
                <w:szCs w:val="21"/>
                <w:u w:val="single" w:color="auto"/>
              </w:rPr>
              <w:t>85/1</w:t>
            </w:r>
          </w:p>
        </w:tc>
        <w:tc>
          <w:tcPr>
            <w:tcW w:w="1379" w:type="dxa"/>
            <w:vMerge w:val="continue"/>
            <w:tcBorders>
              <w:tl2br w:val="nil"/>
              <w:tr2bl w:val="nil"/>
            </w:tcBorders>
            <w:shd w:val="clear" w:color="auto" w:fill="auto"/>
            <w:vAlign w:val="center"/>
          </w:tcPr>
          <w:p w14:paraId="6E9FD08E">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pacing w:val="-8"/>
                <w:sz w:val="21"/>
                <w:szCs w:val="21"/>
                <w:u w:val="single" w:color="auto"/>
              </w:rPr>
            </w:pPr>
          </w:p>
        </w:tc>
        <w:tc>
          <w:tcPr>
            <w:tcW w:w="801" w:type="dxa"/>
            <w:tcBorders>
              <w:tl2br w:val="nil"/>
              <w:tr2bl w:val="nil"/>
            </w:tcBorders>
            <w:shd w:val="clear" w:color="auto" w:fill="auto"/>
            <w:vAlign w:val="center"/>
          </w:tcPr>
          <w:p w14:paraId="6A46C1FB">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1"/>
                <w:sz w:val="21"/>
                <w:szCs w:val="21"/>
                <w:u w:val="single" w:color="auto"/>
              </w:rPr>
            </w:pPr>
            <w:r>
              <w:rPr>
                <w:rFonts w:ascii="Times New Roman" w:hAnsi="Times New Roman" w:eastAsia="Times New Roman" w:cs="Times New Roman"/>
                <w:color w:val="auto"/>
                <w:spacing w:val="-1"/>
                <w:sz w:val="21"/>
                <w:szCs w:val="21"/>
                <w:u w:val="single" w:color="auto"/>
              </w:rPr>
              <w:t>3</w:t>
            </w:r>
            <w:r>
              <w:rPr>
                <w:rFonts w:hint="eastAsia" w:ascii="Times New Roman" w:hAnsi="Times New Roman" w:eastAsia="宋体" w:cs="Times New Roman"/>
                <w:color w:val="auto"/>
                <w:spacing w:val="-1"/>
                <w:sz w:val="21"/>
                <w:szCs w:val="21"/>
                <w:u w:val="single" w:color="auto"/>
                <w:lang w:val="en-US" w:eastAsia="zh-CN"/>
              </w:rPr>
              <w:t>85</w:t>
            </w:r>
            <w:r>
              <w:rPr>
                <w:rFonts w:ascii="Times New Roman" w:hAnsi="Times New Roman" w:eastAsia="Times New Roman" w:cs="Times New Roman"/>
                <w:color w:val="auto"/>
                <w:spacing w:val="-1"/>
                <w:sz w:val="21"/>
                <w:szCs w:val="21"/>
                <w:u w:val="single" w:color="auto"/>
              </w:rPr>
              <w:t>.93</w:t>
            </w:r>
          </w:p>
        </w:tc>
        <w:tc>
          <w:tcPr>
            <w:tcW w:w="949" w:type="dxa"/>
            <w:tcBorders>
              <w:tl2br w:val="nil"/>
              <w:tr2bl w:val="nil"/>
            </w:tcBorders>
            <w:shd w:val="clear" w:color="auto" w:fill="auto"/>
            <w:vAlign w:val="center"/>
          </w:tcPr>
          <w:p w14:paraId="679C7980">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2"/>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4</w:t>
            </w:r>
            <w:r>
              <w:rPr>
                <w:rFonts w:ascii="Times New Roman" w:hAnsi="Times New Roman" w:eastAsia="Times New Roman" w:cs="Times New Roman"/>
                <w:color w:val="auto"/>
                <w:spacing w:val="-2"/>
                <w:sz w:val="21"/>
                <w:szCs w:val="21"/>
                <w:u w:val="single" w:color="auto"/>
              </w:rPr>
              <w:t>.23</w:t>
            </w:r>
          </w:p>
        </w:tc>
        <w:tc>
          <w:tcPr>
            <w:tcW w:w="876" w:type="dxa"/>
            <w:tcBorders>
              <w:tl2br w:val="nil"/>
              <w:tr2bl w:val="nil"/>
            </w:tcBorders>
            <w:shd w:val="clear" w:color="auto" w:fill="auto"/>
            <w:vAlign w:val="center"/>
          </w:tcPr>
          <w:p w14:paraId="79F3F04A">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5"/>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shd w:val="clear" w:color="auto" w:fill="auto"/>
            <w:vAlign w:val="center"/>
          </w:tcPr>
          <w:p w14:paraId="6C0FA205">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38</w:t>
            </w:r>
          </w:p>
        </w:tc>
        <w:tc>
          <w:tcPr>
            <w:tcW w:w="995" w:type="dxa"/>
            <w:tcBorders>
              <w:tl2br w:val="nil"/>
              <w:tr2bl w:val="nil"/>
            </w:tcBorders>
            <w:shd w:val="clear" w:color="auto" w:fill="auto"/>
            <w:vAlign w:val="center"/>
          </w:tcPr>
          <w:p w14:paraId="1FCB8E10">
            <w:pPr>
              <w:keepNext w:val="0"/>
              <w:keepLines w:val="0"/>
              <w:widowControl/>
              <w:suppressLineNumbers w:val="0"/>
              <w:jc w:val="center"/>
              <w:textAlignment w:val="center"/>
              <w:rPr>
                <w:rFonts w:ascii="Times New Roman" w:hAnsi="Times New Roman" w:eastAsia="Times New Roman" w:cs="Times New Roman"/>
                <w:color w:val="auto"/>
                <w:spacing w:val="-3"/>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63.4</w:t>
            </w:r>
          </w:p>
        </w:tc>
        <w:tc>
          <w:tcPr>
            <w:tcW w:w="952" w:type="dxa"/>
            <w:tcBorders>
              <w:tl2br w:val="nil"/>
              <w:tr2bl w:val="nil"/>
            </w:tcBorders>
            <w:shd w:val="clear" w:color="auto" w:fill="auto"/>
            <w:vAlign w:val="center"/>
          </w:tcPr>
          <w:p w14:paraId="631EB893">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sz w:val="21"/>
                <w:szCs w:val="21"/>
                <w:u w:val="single" w:color="auto"/>
                <w:lang w:val="en-US" w:eastAsia="zh-CN"/>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shd w:val="clear" w:color="auto" w:fill="auto"/>
            <w:vAlign w:val="center"/>
          </w:tcPr>
          <w:p w14:paraId="7551D012">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ascii="Times New Roman" w:hAnsi="Times New Roman" w:eastAsia="Times New Roman" w:cs="Times New Roman"/>
                <w:color w:val="auto"/>
                <w:spacing w:val="-1"/>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shd w:val="clear" w:color="auto" w:fill="auto"/>
            <w:vAlign w:val="center"/>
          </w:tcPr>
          <w:p w14:paraId="0D926C6A">
            <w:pPr>
              <w:keepNext w:val="0"/>
              <w:keepLines w:val="0"/>
              <w:widowControl/>
              <w:suppressLineNumbers w:val="0"/>
              <w:jc w:val="center"/>
              <w:textAlignment w:val="center"/>
              <w:rPr>
                <w:rFonts w:ascii="Times New Roman" w:hAnsi="Times New Roman" w:eastAsia="Times New Roman" w:cs="Times New Roman"/>
                <w:color w:val="auto"/>
                <w:spacing w:val="-2"/>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43.4</w:t>
            </w:r>
          </w:p>
        </w:tc>
        <w:tc>
          <w:tcPr>
            <w:tcW w:w="866" w:type="dxa"/>
            <w:tcBorders>
              <w:tl2br w:val="nil"/>
              <w:tr2bl w:val="nil"/>
            </w:tcBorders>
            <w:shd w:val="clear" w:color="auto" w:fill="auto"/>
            <w:vAlign w:val="center"/>
          </w:tcPr>
          <w:p w14:paraId="37FA9008">
            <w:pPr>
              <w:keepNext w:val="0"/>
              <w:keepLines w:val="0"/>
              <w:widowControl/>
              <w:suppressLineNumbers w:val="0"/>
              <w:jc w:val="center"/>
              <w:textAlignment w:val="center"/>
              <w:rPr>
                <w:rFonts w:ascii="Times New Roman" w:hAnsi="Times New Roman" w:eastAsia="Times New Roman" w:cs="Times New Roman"/>
                <w:color w:val="auto"/>
                <w:spacing w:val="-2"/>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r w14:paraId="5A2C830D">
        <w:tblPrEx>
          <w:tblBorders>
            <w:top w:val="single" w:color="4C4C4E" w:sz="2" w:space="0"/>
            <w:left w:val="single" w:color="4C4C4E" w:sz="2" w:space="0"/>
            <w:bottom w:val="single" w:color="4C4C4E" w:sz="2" w:space="0"/>
            <w:right w:val="single" w:color="4C4C4E" w:sz="2" w:space="0"/>
            <w:insideH w:val="single" w:color="4C4C4E" w:sz="4" w:space="0"/>
            <w:insideV w:val="single" w:color="4C4C4E" w:sz="4" w:space="0"/>
          </w:tblBorders>
          <w:tblCellMar>
            <w:top w:w="0" w:type="dxa"/>
            <w:left w:w="0" w:type="dxa"/>
            <w:bottom w:w="0" w:type="dxa"/>
            <w:right w:w="0" w:type="dxa"/>
          </w:tblCellMar>
        </w:tblPrEx>
        <w:trPr>
          <w:trHeight w:val="0" w:hRule="atLeast"/>
        </w:trPr>
        <w:tc>
          <w:tcPr>
            <w:tcW w:w="612" w:type="dxa"/>
            <w:tcBorders>
              <w:tl2br w:val="nil"/>
              <w:tr2bl w:val="nil"/>
            </w:tcBorders>
            <w:vAlign w:val="center"/>
          </w:tcPr>
          <w:p w14:paraId="5B4A7F52">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hint="eastAsia" w:ascii="Times New Roman" w:hAnsi="Times New Roman" w:eastAsia="宋体" w:cs="Times New Roman"/>
                <w:color w:val="auto"/>
                <w:sz w:val="21"/>
                <w:szCs w:val="21"/>
                <w:u w:val="single" w:color="auto"/>
                <w:lang w:eastAsia="zh-CN"/>
              </w:rPr>
            </w:pPr>
            <w:r>
              <w:rPr>
                <w:rFonts w:ascii="Times New Roman" w:hAnsi="Times New Roman" w:eastAsia="Times New Roman" w:cs="Times New Roman"/>
                <w:color w:val="auto"/>
                <w:spacing w:val="-6"/>
                <w:sz w:val="21"/>
                <w:szCs w:val="21"/>
                <w:u w:val="single" w:color="auto"/>
              </w:rPr>
              <w:t>1</w:t>
            </w:r>
            <w:r>
              <w:rPr>
                <w:rFonts w:hint="eastAsia" w:ascii="Times New Roman" w:hAnsi="Times New Roman" w:eastAsia="宋体" w:cs="Times New Roman"/>
                <w:color w:val="auto"/>
                <w:spacing w:val="-6"/>
                <w:sz w:val="21"/>
                <w:szCs w:val="21"/>
                <w:u w:val="single" w:color="auto"/>
                <w:lang w:val="en-US" w:eastAsia="zh-CN"/>
              </w:rPr>
              <w:t>6</w:t>
            </w:r>
          </w:p>
        </w:tc>
        <w:tc>
          <w:tcPr>
            <w:tcW w:w="664" w:type="dxa"/>
            <w:vMerge w:val="continue"/>
            <w:tcBorders>
              <w:tl2br w:val="nil"/>
              <w:tr2bl w:val="nil"/>
            </w:tcBorders>
            <w:vAlign w:val="center"/>
          </w:tcPr>
          <w:p w14:paraId="745ADADC">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p>
        </w:tc>
        <w:tc>
          <w:tcPr>
            <w:tcW w:w="1578" w:type="dxa"/>
            <w:tcBorders>
              <w:tl2br w:val="nil"/>
              <w:tr2bl w:val="nil"/>
            </w:tcBorders>
            <w:vAlign w:val="center"/>
          </w:tcPr>
          <w:p w14:paraId="0BF7C709">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color w:val="auto"/>
                <w:spacing w:val="18"/>
                <w:sz w:val="21"/>
                <w:szCs w:val="21"/>
                <w:u w:val="single" w:color="auto"/>
              </w:rPr>
              <w:t>空压机</w:t>
            </w:r>
          </w:p>
        </w:tc>
        <w:tc>
          <w:tcPr>
            <w:tcW w:w="1458" w:type="dxa"/>
            <w:tcBorders>
              <w:tl2br w:val="nil"/>
              <w:tr2bl w:val="nil"/>
            </w:tcBorders>
            <w:vAlign w:val="center"/>
          </w:tcPr>
          <w:p w14:paraId="36B5B14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4"/>
                <w:sz w:val="21"/>
                <w:szCs w:val="21"/>
                <w:u w:val="single" w:color="auto"/>
              </w:rPr>
              <w:t>105/1</w:t>
            </w:r>
          </w:p>
        </w:tc>
        <w:tc>
          <w:tcPr>
            <w:tcW w:w="1379" w:type="dxa"/>
            <w:vMerge w:val="continue"/>
            <w:tcBorders>
              <w:tl2br w:val="nil"/>
              <w:tr2bl w:val="nil"/>
            </w:tcBorders>
            <w:vAlign w:val="center"/>
          </w:tcPr>
          <w:p w14:paraId="66BD1BB9">
            <w:pPr>
              <w:pStyle w:val="155"/>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color w:val="auto"/>
                <w:sz w:val="21"/>
                <w:szCs w:val="21"/>
                <w:u w:val="single" w:color="auto"/>
              </w:rPr>
            </w:pPr>
          </w:p>
        </w:tc>
        <w:tc>
          <w:tcPr>
            <w:tcW w:w="801" w:type="dxa"/>
            <w:tcBorders>
              <w:tl2br w:val="nil"/>
              <w:tr2bl w:val="nil"/>
            </w:tcBorders>
            <w:vAlign w:val="center"/>
          </w:tcPr>
          <w:p w14:paraId="43F8AA87">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2"/>
                <w:sz w:val="21"/>
                <w:szCs w:val="21"/>
                <w:u w:val="single" w:color="auto"/>
              </w:rPr>
              <w:t>-2.77</w:t>
            </w:r>
          </w:p>
        </w:tc>
        <w:tc>
          <w:tcPr>
            <w:tcW w:w="949" w:type="dxa"/>
            <w:tcBorders>
              <w:tl2br w:val="nil"/>
              <w:tr2bl w:val="nil"/>
            </w:tcBorders>
            <w:vAlign w:val="center"/>
          </w:tcPr>
          <w:p w14:paraId="7AE29DBF">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90.17</w:t>
            </w:r>
          </w:p>
        </w:tc>
        <w:tc>
          <w:tcPr>
            <w:tcW w:w="876" w:type="dxa"/>
            <w:tcBorders>
              <w:tl2br w:val="nil"/>
              <w:tr2bl w:val="nil"/>
            </w:tcBorders>
            <w:vAlign w:val="center"/>
          </w:tcPr>
          <w:p w14:paraId="00C54F1C">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5"/>
                <w:sz w:val="21"/>
                <w:szCs w:val="21"/>
                <w:u w:val="single" w:color="auto"/>
              </w:rPr>
              <w:t>1.2</w:t>
            </w:r>
          </w:p>
        </w:tc>
        <w:tc>
          <w:tcPr>
            <w:tcW w:w="875" w:type="dxa"/>
            <w:tcBorders>
              <w:tl2br w:val="nil"/>
              <w:tr2bl w:val="nil"/>
            </w:tcBorders>
            <w:vAlign w:val="center"/>
          </w:tcPr>
          <w:p w14:paraId="5B479CEF">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995" w:type="dxa"/>
            <w:tcBorders>
              <w:tl2br w:val="nil"/>
              <w:tr2bl w:val="nil"/>
            </w:tcBorders>
            <w:vAlign w:val="center"/>
          </w:tcPr>
          <w:p w14:paraId="2544423B">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2"/>
                <w:szCs w:val="22"/>
                <w:u w:val="single" w:color="auto"/>
                <w:lang w:val="en-US" w:eastAsia="zh-CN" w:bidi="ar"/>
              </w:rPr>
              <w:t>95</w:t>
            </w:r>
          </w:p>
        </w:tc>
        <w:tc>
          <w:tcPr>
            <w:tcW w:w="952" w:type="dxa"/>
            <w:tcBorders>
              <w:tl2br w:val="nil"/>
              <w:tr2bl w:val="nil"/>
            </w:tcBorders>
            <w:vAlign w:val="center"/>
          </w:tcPr>
          <w:p w14:paraId="2E408088">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hint="eastAsia" w:ascii="Times New Roman" w:hAnsi="Times New Roman" w:eastAsia="宋体" w:cs="Times New Roman"/>
                <w:color w:val="auto"/>
                <w:spacing w:val="-2"/>
                <w:sz w:val="21"/>
                <w:szCs w:val="21"/>
                <w:u w:val="single" w:color="auto"/>
                <w:lang w:val="en-US" w:eastAsia="zh-CN"/>
              </w:rPr>
              <w:t>24</w:t>
            </w:r>
            <w:r>
              <w:rPr>
                <w:rFonts w:ascii="Times New Roman" w:hAnsi="Times New Roman" w:eastAsia="Times New Roman" w:cs="Times New Roman"/>
                <w:color w:val="auto"/>
                <w:spacing w:val="-2"/>
                <w:sz w:val="21"/>
                <w:szCs w:val="21"/>
                <w:u w:val="single" w:color="auto"/>
              </w:rPr>
              <w:t>h/d</w:t>
            </w:r>
          </w:p>
        </w:tc>
        <w:tc>
          <w:tcPr>
            <w:tcW w:w="993" w:type="dxa"/>
            <w:tcBorders>
              <w:tl2br w:val="nil"/>
              <w:tr2bl w:val="nil"/>
            </w:tcBorders>
            <w:vAlign w:val="center"/>
          </w:tcPr>
          <w:p w14:paraId="09C3DBF3">
            <w:pPr>
              <w:keepNext w:val="0"/>
              <w:keepLines w:val="0"/>
              <w:pageBreakBefore w:val="0"/>
              <w:widowControl w:val="0"/>
              <w:kinsoku/>
              <w:wordWrap/>
              <w:overflowPunct/>
              <w:topLinePunct w:val="0"/>
              <w:autoSpaceDE/>
              <w:autoSpaceDN/>
              <w:bidi w:val="0"/>
              <w:adjustRightInd/>
              <w:spacing w:line="240" w:lineRule="auto"/>
              <w:ind w:left="0" w:right="0" w:firstLine="0"/>
              <w:jc w:val="center"/>
              <w:textAlignment w:val="auto"/>
              <w:rPr>
                <w:rFonts w:ascii="Times New Roman" w:hAnsi="Times New Roman" w:eastAsia="Times New Roman" w:cs="Times New Roman"/>
                <w:color w:val="auto"/>
                <w:sz w:val="21"/>
                <w:szCs w:val="21"/>
                <w:u w:val="single" w:color="auto"/>
              </w:rPr>
            </w:pPr>
            <w:r>
              <w:rPr>
                <w:rFonts w:ascii="Times New Roman" w:hAnsi="Times New Roman" w:eastAsia="Times New Roman" w:cs="Times New Roman"/>
                <w:color w:val="auto"/>
                <w:spacing w:val="-1"/>
                <w:sz w:val="21"/>
                <w:szCs w:val="21"/>
                <w:u w:val="single" w:color="auto"/>
              </w:rPr>
              <w:t>2</w:t>
            </w:r>
            <w:r>
              <w:rPr>
                <w:rFonts w:hint="eastAsia" w:ascii="Times New Roman" w:hAnsi="Times New Roman" w:eastAsia="宋体" w:cs="Times New Roman"/>
                <w:color w:val="auto"/>
                <w:spacing w:val="-1"/>
                <w:sz w:val="21"/>
                <w:szCs w:val="21"/>
                <w:u w:val="single" w:color="auto"/>
                <w:lang w:val="en-US" w:eastAsia="zh-CN"/>
              </w:rPr>
              <w:t>0</w:t>
            </w:r>
          </w:p>
        </w:tc>
        <w:tc>
          <w:tcPr>
            <w:tcW w:w="993" w:type="dxa"/>
            <w:tcBorders>
              <w:tl2br w:val="nil"/>
              <w:tr2bl w:val="nil"/>
            </w:tcBorders>
            <w:vAlign w:val="center"/>
          </w:tcPr>
          <w:p w14:paraId="12D10492">
            <w:pPr>
              <w:keepNext w:val="0"/>
              <w:keepLines w:val="0"/>
              <w:widowControl/>
              <w:suppressLineNumbers w:val="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2"/>
                <w:szCs w:val="22"/>
                <w:u w:val="single" w:color="auto"/>
                <w:lang w:val="en-US" w:eastAsia="zh-CN" w:bidi="ar"/>
              </w:rPr>
              <w:t>75</w:t>
            </w:r>
          </w:p>
        </w:tc>
        <w:tc>
          <w:tcPr>
            <w:tcW w:w="866" w:type="dxa"/>
            <w:tcBorders>
              <w:tl2br w:val="nil"/>
              <w:tr2bl w:val="nil"/>
            </w:tcBorders>
            <w:vAlign w:val="center"/>
          </w:tcPr>
          <w:p w14:paraId="06CDAE04">
            <w:pPr>
              <w:keepNext w:val="0"/>
              <w:keepLines w:val="0"/>
              <w:widowControl/>
              <w:suppressLineNumbers w:val="0"/>
              <w:jc w:val="center"/>
              <w:textAlignment w:val="center"/>
              <w:rPr>
                <w:rFonts w:ascii="Times New Roman" w:hAnsi="Times New Roman" w:eastAsia="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r>
    </w:tbl>
    <w:p w14:paraId="5F2C1265">
      <w:pPr>
        <w:snapToGrid w:val="0"/>
        <w:spacing w:line="360" w:lineRule="auto"/>
        <w:ind w:firstLine="480" w:firstLineChars="200"/>
        <w:rPr>
          <w:rFonts w:ascii="Times New Roman" w:hAnsi="Times New Roman" w:eastAsia="宋体" w:cs="Times New Roman"/>
          <w:color w:val="auto"/>
          <w:sz w:val="24"/>
          <w:szCs w:val="24"/>
          <w:u w:val="single" w:color="auto"/>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docGrid w:type="lines" w:linePitch="319" w:charSpace="0"/>
        </w:sectPr>
      </w:pPr>
    </w:p>
    <w:p w14:paraId="2AFA53C3">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为了解本项目投产后对周围声环境的影响程度，本次评价以厂界为评价点，预测工程噪声对各评价点的贡献值，以噪声贡献值作为各评价点的噪声值。</w:t>
      </w:r>
    </w:p>
    <w:p w14:paraId="7ED68680">
      <w:pPr>
        <w:numPr>
          <w:ilvl w:val="2"/>
          <w:numId w:val="0"/>
        </w:numPr>
        <w:autoSpaceDE w:val="0"/>
        <w:autoSpaceDN w:val="0"/>
        <w:snapToGrid w:val="0"/>
        <w:spacing w:line="360" w:lineRule="auto"/>
        <w:jc w:val="left"/>
        <w:outlineLvl w:val="2"/>
        <w:rPr>
          <w:rFonts w:ascii="Times New Roman" w:hAnsi="Times New Roman" w:eastAsia="宋体" w:cs="Times New Roman"/>
          <w:b/>
          <w:snapToGrid w:val="0"/>
          <w:color w:val="auto"/>
          <w:sz w:val="28"/>
          <w:szCs w:val="20"/>
          <w:u w:val="single" w:color="auto"/>
        </w:rPr>
      </w:pPr>
      <w:bookmarkStart w:id="237" w:name="_Toc3728244"/>
      <w:r>
        <w:rPr>
          <w:rFonts w:hint="eastAsia" w:ascii="Times New Roman" w:hAnsi="Times New Roman" w:eastAsia="宋体" w:cs="Times New Roman"/>
          <w:b/>
          <w:snapToGrid w:val="0"/>
          <w:color w:val="auto"/>
          <w:sz w:val="28"/>
          <w:szCs w:val="20"/>
          <w:u w:val="single" w:color="auto"/>
        </w:rPr>
        <w:t>4</w:t>
      </w:r>
      <w:r>
        <w:rPr>
          <w:rFonts w:ascii="Times New Roman" w:hAnsi="Times New Roman" w:eastAsia="宋体" w:cs="Times New Roman"/>
          <w:b/>
          <w:snapToGrid w:val="0"/>
          <w:color w:val="auto"/>
          <w:sz w:val="28"/>
          <w:szCs w:val="20"/>
          <w:u w:val="single" w:color="auto"/>
        </w:rPr>
        <w:t>.4.2预测模式</w:t>
      </w:r>
      <w:bookmarkEnd w:id="237"/>
    </w:p>
    <w:p w14:paraId="575519EE">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选择《环境影响评价技术导则（声环境）》(HJ2.4-20</w:t>
      </w:r>
      <w:r>
        <w:rPr>
          <w:rFonts w:hint="eastAsia" w:ascii="Times New Roman" w:hAnsi="Times New Roman" w:eastAsia="宋体" w:cs="Times New Roman"/>
          <w:snapToGrid w:val="0"/>
          <w:color w:val="auto"/>
          <w:sz w:val="24"/>
          <w:u w:val="single" w:color="auto"/>
          <w:lang w:val="en-US" w:eastAsia="zh-CN"/>
        </w:rPr>
        <w:t>21</w:t>
      </w:r>
      <w:r>
        <w:rPr>
          <w:rFonts w:ascii="Times New Roman" w:hAnsi="Times New Roman" w:eastAsia="宋体" w:cs="Times New Roman"/>
          <w:snapToGrid w:val="0"/>
          <w:color w:val="auto"/>
          <w:sz w:val="24"/>
          <w:u w:val="single" w:color="auto"/>
        </w:rPr>
        <w:t>)中推荐的半自由声场点声源衰减模式，具体模式如下：</w:t>
      </w:r>
    </w:p>
    <w:p w14:paraId="0ED1B2A8">
      <w:pPr>
        <w:autoSpaceDE w:val="0"/>
        <w:autoSpaceDN w:val="0"/>
        <w:spacing w:line="520" w:lineRule="exact"/>
        <w:ind w:firstLine="480" w:firstLineChars="200"/>
        <w:jc w:val="center"/>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L</w:t>
      </w:r>
      <w:r>
        <w:rPr>
          <w:rFonts w:ascii="Times New Roman" w:hAnsi="Times New Roman" w:eastAsia="宋体" w:cs="Times New Roman"/>
          <w:color w:val="auto"/>
          <w:sz w:val="24"/>
          <w:u w:val="single" w:color="auto"/>
          <w:vertAlign w:val="subscript"/>
        </w:rPr>
        <w:t>p</w:t>
      </w:r>
      <w:r>
        <w:rPr>
          <w:rFonts w:ascii="Times New Roman" w:hAnsi="Times New Roman" w:eastAsia="宋体" w:cs="Times New Roman"/>
          <w:color w:val="auto"/>
          <w:sz w:val="24"/>
          <w:u w:val="single" w:color="auto"/>
        </w:rPr>
        <w:t>( r )=L</w:t>
      </w:r>
      <w:r>
        <w:rPr>
          <w:rFonts w:ascii="Times New Roman" w:hAnsi="Times New Roman" w:eastAsia="宋体" w:cs="Times New Roman"/>
          <w:color w:val="auto"/>
          <w:sz w:val="24"/>
          <w:u w:val="single" w:color="auto"/>
          <w:vertAlign w:val="subscript"/>
        </w:rPr>
        <w:t xml:space="preserve"> p </w:t>
      </w:r>
      <w:r>
        <w:rPr>
          <w:rFonts w:ascii="Times New Roman" w:hAnsi="Times New Roman" w:eastAsia="宋体" w:cs="Times New Roman"/>
          <w:color w:val="auto"/>
          <w:sz w:val="24"/>
          <w:u w:val="single" w:color="auto"/>
        </w:rPr>
        <w:t>(r</w:t>
      </w:r>
      <w:r>
        <w:rPr>
          <w:rFonts w:ascii="Times New Roman" w:hAnsi="Times New Roman" w:eastAsia="宋体" w:cs="Times New Roman"/>
          <w:color w:val="auto"/>
          <w:sz w:val="24"/>
          <w:u w:val="single" w:color="auto"/>
          <w:vertAlign w:val="subscript"/>
        </w:rPr>
        <w:t>0</w:t>
      </w:r>
      <w:r>
        <w:rPr>
          <w:rFonts w:ascii="Times New Roman" w:hAnsi="Times New Roman" w:eastAsia="宋体" w:cs="Times New Roman"/>
          <w:color w:val="auto"/>
          <w:sz w:val="24"/>
          <w:u w:val="single" w:color="auto"/>
        </w:rPr>
        <w:t>)-(A</w:t>
      </w:r>
      <w:r>
        <w:rPr>
          <w:rFonts w:ascii="Times New Roman" w:hAnsi="Times New Roman" w:eastAsia="宋体" w:cs="Times New Roman"/>
          <w:color w:val="auto"/>
          <w:sz w:val="24"/>
          <w:u w:val="single" w:color="auto"/>
          <w:vertAlign w:val="subscript"/>
        </w:rPr>
        <w:t>div</w:t>
      </w:r>
      <w:r>
        <w:rPr>
          <w:rFonts w:ascii="Times New Roman" w:hAnsi="Times New Roman" w:eastAsia="宋体" w:cs="Times New Roman"/>
          <w:color w:val="auto"/>
          <w:sz w:val="24"/>
          <w:u w:val="single" w:color="auto"/>
        </w:rPr>
        <w:t>+A</w:t>
      </w:r>
      <w:r>
        <w:rPr>
          <w:rFonts w:ascii="Times New Roman" w:hAnsi="Times New Roman" w:eastAsia="宋体" w:cs="Times New Roman"/>
          <w:color w:val="auto"/>
          <w:sz w:val="24"/>
          <w:u w:val="single" w:color="auto"/>
          <w:vertAlign w:val="subscript"/>
        </w:rPr>
        <w:t xml:space="preserve"> atm</w:t>
      </w:r>
      <w:r>
        <w:rPr>
          <w:rFonts w:ascii="Times New Roman" w:hAnsi="Times New Roman" w:eastAsia="宋体" w:cs="Times New Roman"/>
          <w:color w:val="auto"/>
          <w:sz w:val="24"/>
          <w:u w:val="single" w:color="auto"/>
        </w:rPr>
        <w:t xml:space="preserve"> +A </w:t>
      </w:r>
      <w:r>
        <w:rPr>
          <w:rFonts w:ascii="Times New Roman" w:hAnsi="Times New Roman" w:eastAsia="宋体" w:cs="Times New Roman"/>
          <w:color w:val="auto"/>
          <w:sz w:val="24"/>
          <w:u w:val="single" w:color="auto"/>
          <w:vertAlign w:val="subscript"/>
        </w:rPr>
        <w:t>bar</w:t>
      </w:r>
      <w:r>
        <w:rPr>
          <w:rFonts w:ascii="Times New Roman" w:hAnsi="Times New Roman" w:eastAsia="宋体" w:cs="Times New Roman"/>
          <w:color w:val="auto"/>
          <w:sz w:val="24"/>
          <w:u w:val="single" w:color="auto"/>
        </w:rPr>
        <w:t xml:space="preserve"> +A</w:t>
      </w:r>
      <w:r>
        <w:rPr>
          <w:rFonts w:ascii="Times New Roman" w:hAnsi="Times New Roman" w:eastAsia="宋体" w:cs="Times New Roman"/>
          <w:color w:val="auto"/>
          <w:sz w:val="24"/>
          <w:u w:val="single" w:color="auto"/>
          <w:vertAlign w:val="subscript"/>
        </w:rPr>
        <w:t>gr</w:t>
      </w:r>
      <w:r>
        <w:rPr>
          <w:rFonts w:ascii="Times New Roman" w:hAnsi="Times New Roman" w:eastAsia="宋体" w:cs="Times New Roman"/>
          <w:color w:val="auto"/>
          <w:sz w:val="24"/>
          <w:u w:val="single" w:color="auto"/>
        </w:rPr>
        <w:t>+A</w:t>
      </w:r>
      <w:r>
        <w:rPr>
          <w:rFonts w:ascii="Times New Roman" w:hAnsi="Times New Roman" w:eastAsia="宋体" w:cs="Times New Roman"/>
          <w:color w:val="auto"/>
          <w:sz w:val="24"/>
          <w:u w:val="single" w:color="auto"/>
          <w:vertAlign w:val="subscript"/>
        </w:rPr>
        <w:t>misc</w:t>
      </w:r>
      <w:r>
        <w:rPr>
          <w:rFonts w:ascii="Times New Roman" w:hAnsi="Times New Roman" w:eastAsia="宋体" w:cs="Times New Roman"/>
          <w:color w:val="auto"/>
          <w:sz w:val="24"/>
          <w:u w:val="single" w:color="auto"/>
        </w:rPr>
        <w:t>)</w:t>
      </w:r>
    </w:p>
    <w:p w14:paraId="095940CE">
      <w:pPr>
        <w:autoSpaceDE w:val="0"/>
        <w:autoSpaceDN w:val="0"/>
        <w:spacing w:line="520" w:lineRule="exact"/>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snapToGrid w:val="0"/>
          <w:color w:val="auto"/>
          <w:kern w:val="0"/>
          <w:sz w:val="24"/>
          <w:u w:val="single" w:color="auto"/>
        </w:rPr>
        <w:t>式中：</w:t>
      </w:r>
      <w:r>
        <w:rPr>
          <w:rFonts w:ascii="Times New Roman" w:hAnsi="Times New Roman" w:eastAsia="宋体" w:cs="Times New Roman"/>
          <w:color w:val="auto"/>
          <w:sz w:val="24"/>
          <w:u w:val="single" w:color="auto"/>
        </w:rPr>
        <w:t>L</w:t>
      </w:r>
      <w:r>
        <w:rPr>
          <w:rFonts w:ascii="Times New Roman" w:hAnsi="Times New Roman" w:eastAsia="宋体" w:cs="Times New Roman"/>
          <w:color w:val="auto"/>
          <w:sz w:val="24"/>
          <w:u w:val="single" w:color="auto"/>
          <w:vertAlign w:val="subscript"/>
        </w:rPr>
        <w:t>p</w:t>
      </w:r>
      <w:r>
        <w:rPr>
          <w:rFonts w:ascii="Times New Roman" w:hAnsi="Times New Roman" w:eastAsia="宋体" w:cs="Times New Roman"/>
          <w:color w:val="auto"/>
          <w:sz w:val="24"/>
          <w:u w:val="single" w:color="auto"/>
        </w:rPr>
        <w:t>( r )——距声源</w:t>
      </w:r>
      <w:r>
        <w:rPr>
          <w:rFonts w:ascii="Times New Roman" w:hAnsi="Times New Roman" w:eastAsia="宋体" w:cs="Times New Roman"/>
          <w:color w:val="auto"/>
          <w:sz w:val="24"/>
          <w:u w:val="single" w:color="auto"/>
        </w:rPr>
        <w:drawing>
          <wp:inline distT="0" distB="0" distL="0" distR="0">
            <wp:extent cx="114300" cy="123825"/>
            <wp:effectExtent l="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14300" cy="123825"/>
                    </a:xfrm>
                    <a:prstGeom prst="rect">
                      <a:avLst/>
                    </a:prstGeom>
                    <a:noFill/>
                    <a:ln>
                      <a:noFill/>
                    </a:ln>
                  </pic:spPr>
                </pic:pic>
              </a:graphicData>
            </a:graphic>
          </wp:inline>
        </w:drawing>
      </w:r>
      <w:r>
        <w:rPr>
          <w:rFonts w:ascii="Times New Roman" w:hAnsi="Times New Roman" w:eastAsia="宋体" w:cs="Times New Roman"/>
          <w:color w:val="auto"/>
          <w:sz w:val="24"/>
          <w:u w:val="single" w:color="auto"/>
        </w:rPr>
        <w:t>处的A声级，dB(A)；</w:t>
      </w:r>
    </w:p>
    <w:p w14:paraId="6E6F3089">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color w:val="auto"/>
          <w:sz w:val="24"/>
          <w:u w:val="single" w:color="auto"/>
        </w:rPr>
        <w:t>L</w:t>
      </w:r>
      <w:r>
        <w:rPr>
          <w:rFonts w:ascii="Times New Roman" w:hAnsi="Times New Roman" w:eastAsia="宋体" w:cs="Times New Roman"/>
          <w:color w:val="auto"/>
          <w:sz w:val="24"/>
          <w:u w:val="single" w:color="auto"/>
          <w:vertAlign w:val="subscript"/>
        </w:rPr>
        <w:t xml:space="preserve"> p </w:t>
      </w:r>
      <w:r>
        <w:rPr>
          <w:rFonts w:ascii="Times New Roman" w:hAnsi="Times New Roman" w:eastAsia="宋体" w:cs="Times New Roman"/>
          <w:color w:val="auto"/>
          <w:sz w:val="24"/>
          <w:u w:val="single" w:color="auto"/>
        </w:rPr>
        <w:t>(r</w:t>
      </w:r>
      <w:r>
        <w:rPr>
          <w:rFonts w:ascii="Times New Roman" w:hAnsi="Times New Roman" w:eastAsia="宋体" w:cs="Times New Roman"/>
          <w:color w:val="auto"/>
          <w:sz w:val="24"/>
          <w:u w:val="single" w:color="auto"/>
          <w:vertAlign w:val="subscript"/>
        </w:rPr>
        <w:t>0</w:t>
      </w:r>
      <w:r>
        <w:rPr>
          <w:rFonts w:ascii="Times New Roman" w:hAnsi="Times New Roman" w:eastAsia="宋体" w:cs="Times New Roman"/>
          <w:color w:val="auto"/>
          <w:sz w:val="24"/>
          <w:u w:val="single" w:color="auto"/>
        </w:rPr>
        <w:t>)</w:t>
      </w:r>
      <w:r>
        <w:rPr>
          <w:rFonts w:ascii="Times New Roman" w:hAnsi="Times New Roman" w:eastAsia="宋体" w:cs="Times New Roman"/>
          <w:snapToGrid w:val="0"/>
          <w:color w:val="auto"/>
          <w:kern w:val="0"/>
          <w:sz w:val="24"/>
          <w:u w:val="single" w:color="auto"/>
        </w:rPr>
        <w:t>——参考位置</w:t>
      </w:r>
      <w:r>
        <w:rPr>
          <w:rFonts w:ascii="Times New Roman" w:hAnsi="Times New Roman" w:eastAsia="宋体" w:cs="Times New Roman"/>
          <w:color w:val="auto"/>
          <w:sz w:val="24"/>
          <w:u w:val="single" w:color="auto"/>
        </w:rPr>
        <w:t>r</w:t>
      </w:r>
      <w:r>
        <w:rPr>
          <w:rFonts w:ascii="Times New Roman" w:hAnsi="Times New Roman" w:eastAsia="宋体" w:cs="Times New Roman"/>
          <w:color w:val="auto"/>
          <w:sz w:val="24"/>
          <w:u w:val="single" w:color="auto"/>
          <w:vertAlign w:val="subscript"/>
        </w:rPr>
        <w:t>0</w:t>
      </w:r>
      <w:r>
        <w:rPr>
          <w:rFonts w:ascii="Times New Roman" w:hAnsi="Times New Roman" w:eastAsia="宋体" w:cs="Times New Roman"/>
          <w:snapToGrid w:val="0"/>
          <w:color w:val="auto"/>
          <w:kern w:val="0"/>
          <w:sz w:val="24"/>
          <w:u w:val="single" w:color="auto"/>
        </w:rPr>
        <w:t>处的A声级，dB(A)；</w:t>
      </w:r>
    </w:p>
    <w:p w14:paraId="2F126EBF">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snapToGrid w:val="0"/>
          <w:color w:val="auto"/>
          <w:kern w:val="0"/>
          <w:sz w:val="24"/>
          <w:u w:val="single" w:color="auto"/>
        </w:rPr>
        <w:drawing>
          <wp:inline distT="0" distB="0" distL="0" distR="0">
            <wp:extent cx="257175" cy="228600"/>
            <wp:effectExtent l="0" t="0" r="0" b="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57175" cy="228600"/>
                    </a:xfrm>
                    <a:prstGeom prst="rect">
                      <a:avLst/>
                    </a:prstGeom>
                    <a:noFill/>
                    <a:ln>
                      <a:noFill/>
                    </a:ln>
                  </pic:spPr>
                </pic:pic>
              </a:graphicData>
            </a:graphic>
          </wp:inline>
        </w:drawing>
      </w:r>
      <w:r>
        <w:rPr>
          <w:rFonts w:ascii="Times New Roman" w:hAnsi="Times New Roman" w:eastAsia="宋体" w:cs="Times New Roman"/>
          <w:snapToGrid w:val="0"/>
          <w:color w:val="auto"/>
          <w:kern w:val="0"/>
          <w:sz w:val="24"/>
          <w:u w:val="single" w:color="auto"/>
        </w:rPr>
        <w:t>——声波几何发散引起的A声级衰减量，dB(A)；</w:t>
      </w:r>
    </w:p>
    <w:p w14:paraId="7AE941CF">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snapToGrid w:val="0"/>
          <w:color w:val="auto"/>
          <w:kern w:val="0"/>
          <w:sz w:val="24"/>
          <w:u w:val="single" w:color="auto"/>
        </w:rPr>
        <w:drawing>
          <wp:inline distT="0" distB="0" distL="0" distR="0">
            <wp:extent cx="266700" cy="228600"/>
            <wp:effectExtent l="0" t="0" r="0" b="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66700" cy="228600"/>
                    </a:xfrm>
                    <a:prstGeom prst="rect">
                      <a:avLst/>
                    </a:prstGeom>
                    <a:noFill/>
                    <a:ln>
                      <a:noFill/>
                    </a:ln>
                  </pic:spPr>
                </pic:pic>
              </a:graphicData>
            </a:graphic>
          </wp:inline>
        </w:drawing>
      </w:r>
      <w:r>
        <w:rPr>
          <w:rFonts w:ascii="Times New Roman" w:hAnsi="Times New Roman" w:eastAsia="宋体" w:cs="Times New Roman"/>
          <w:snapToGrid w:val="0"/>
          <w:color w:val="auto"/>
          <w:kern w:val="0"/>
          <w:sz w:val="24"/>
          <w:u w:val="single" w:color="auto"/>
        </w:rPr>
        <w:t>——遮挡物引起的A声级衰减量，dB(A)；</w:t>
      </w:r>
    </w:p>
    <w:p w14:paraId="03CF0FC8">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snapToGrid w:val="0"/>
          <w:color w:val="auto"/>
          <w:kern w:val="0"/>
          <w:sz w:val="24"/>
          <w:u w:val="single" w:color="auto"/>
        </w:rPr>
        <w:drawing>
          <wp:inline distT="0" distB="0" distL="0" distR="0">
            <wp:extent cx="276225" cy="228600"/>
            <wp:effectExtent l="0" t="0" r="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76225" cy="228600"/>
                    </a:xfrm>
                    <a:prstGeom prst="rect">
                      <a:avLst/>
                    </a:prstGeom>
                    <a:noFill/>
                    <a:ln>
                      <a:noFill/>
                    </a:ln>
                  </pic:spPr>
                </pic:pic>
              </a:graphicData>
            </a:graphic>
          </wp:inline>
        </w:drawing>
      </w:r>
      <w:r>
        <w:rPr>
          <w:rFonts w:ascii="Times New Roman" w:hAnsi="Times New Roman" w:eastAsia="宋体" w:cs="Times New Roman"/>
          <w:snapToGrid w:val="0"/>
          <w:color w:val="auto"/>
          <w:kern w:val="0"/>
          <w:sz w:val="24"/>
          <w:u w:val="single" w:color="auto"/>
        </w:rPr>
        <w:t>——空气吸收引起的A声级衰减量，dB(A)；</w:t>
      </w:r>
    </w:p>
    <w:p w14:paraId="5AD6B60F">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snapToGrid w:val="0"/>
          <w:color w:val="auto"/>
          <w:kern w:val="0"/>
          <w:position w:val="-12"/>
          <w:sz w:val="24"/>
          <w:u w:val="single" w:color="auto"/>
        </w:rPr>
        <w:drawing>
          <wp:inline distT="0" distB="0" distL="0" distR="0">
            <wp:extent cx="219075" cy="228600"/>
            <wp:effectExtent l="0" t="0" r="0" b="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19075" cy="228600"/>
                    </a:xfrm>
                    <a:prstGeom prst="rect">
                      <a:avLst/>
                    </a:prstGeom>
                    <a:noFill/>
                    <a:ln>
                      <a:noFill/>
                    </a:ln>
                  </pic:spPr>
                </pic:pic>
              </a:graphicData>
            </a:graphic>
          </wp:inline>
        </w:drawing>
      </w:r>
      <w:r>
        <w:rPr>
          <w:rFonts w:ascii="Times New Roman" w:hAnsi="Times New Roman" w:eastAsia="宋体" w:cs="Times New Roman"/>
          <w:snapToGrid w:val="0"/>
          <w:color w:val="auto"/>
          <w:kern w:val="0"/>
          <w:sz w:val="24"/>
          <w:u w:val="single" w:color="auto"/>
        </w:rPr>
        <w:t>——地面效应引起的A声级衰减量，dB(A)；</w:t>
      </w:r>
    </w:p>
    <w:p w14:paraId="42D40677">
      <w:pPr>
        <w:autoSpaceDE w:val="0"/>
        <w:autoSpaceDN w:val="0"/>
        <w:spacing w:line="520" w:lineRule="exact"/>
        <w:ind w:firstLine="480" w:firstLineChars="200"/>
        <w:rPr>
          <w:rFonts w:ascii="Times New Roman" w:hAnsi="Times New Roman" w:eastAsia="宋体" w:cs="Times New Roman"/>
          <w:snapToGrid w:val="0"/>
          <w:color w:val="auto"/>
          <w:kern w:val="0"/>
          <w:sz w:val="24"/>
          <w:u w:val="single" w:color="auto"/>
        </w:rPr>
      </w:pPr>
      <w:r>
        <w:rPr>
          <w:rFonts w:ascii="Times New Roman" w:hAnsi="Times New Roman" w:eastAsia="宋体" w:cs="Times New Roman"/>
          <w:snapToGrid w:val="0"/>
          <w:color w:val="auto"/>
          <w:kern w:val="0"/>
          <w:position w:val="-12"/>
          <w:sz w:val="24"/>
          <w:u w:val="single" w:color="auto"/>
        </w:rPr>
        <w:drawing>
          <wp:inline distT="0" distB="0" distL="0" distR="0">
            <wp:extent cx="314325" cy="228600"/>
            <wp:effectExtent l="0" t="0" r="0" b="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14325" cy="228600"/>
                    </a:xfrm>
                    <a:prstGeom prst="rect">
                      <a:avLst/>
                    </a:prstGeom>
                    <a:noFill/>
                    <a:ln>
                      <a:noFill/>
                    </a:ln>
                  </pic:spPr>
                </pic:pic>
              </a:graphicData>
            </a:graphic>
          </wp:inline>
        </w:drawing>
      </w:r>
      <w:r>
        <w:rPr>
          <w:rFonts w:ascii="Times New Roman" w:hAnsi="Times New Roman" w:eastAsia="宋体" w:cs="Times New Roman"/>
          <w:snapToGrid w:val="0"/>
          <w:color w:val="auto"/>
          <w:kern w:val="0"/>
          <w:sz w:val="24"/>
          <w:u w:val="single" w:color="auto"/>
        </w:rPr>
        <w:t>—其他多方面效应引起的衰减，dB(A)；</w:t>
      </w:r>
    </w:p>
    <w:p w14:paraId="13035CAA">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根据上述公式，对主要噪声源在计算点进行叠加值计算，预测项目实施后对边界和敏感点声环境的影响。</w:t>
      </w:r>
    </w:p>
    <w:p w14:paraId="07B3E6FB">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模式中参数的选取：</w:t>
      </w:r>
    </w:p>
    <w:p w14:paraId="0B24D610">
      <w:pPr>
        <w:autoSpaceDE w:val="0"/>
        <w:autoSpaceDN w:val="0"/>
        <w:spacing w:line="520" w:lineRule="exact"/>
        <w:ind w:firstLine="480" w:firstLineChars="200"/>
        <w:rPr>
          <w:rFonts w:ascii="Times New Roman" w:hAnsi="Times New Roman" w:eastAsia="宋体" w:cs="Times New Roman"/>
          <w:snapToGrid w:val="0"/>
          <w:color w:val="auto"/>
          <w:sz w:val="24"/>
          <w:u w:val="single" w:color="auto"/>
          <w:vertAlign w:val="subscript"/>
        </w:rPr>
      </w:pPr>
      <w:r>
        <w:rPr>
          <w:rFonts w:ascii="Times New Roman" w:hAnsi="Times New Roman" w:eastAsia="宋体" w:cs="Times New Roman"/>
          <w:snapToGrid w:val="0"/>
          <w:color w:val="auto"/>
          <w:sz w:val="24"/>
          <w:u w:val="single" w:color="auto"/>
        </w:rPr>
        <w:t>①几何发散衰减量</w:t>
      </w:r>
      <w:r>
        <w:rPr>
          <w:rFonts w:ascii="Times New Roman" w:hAnsi="Times New Roman" w:eastAsia="宋体" w:cs="Times New Roman"/>
          <w:i/>
          <w:snapToGrid w:val="0"/>
          <w:color w:val="auto"/>
          <w:sz w:val="24"/>
          <w:u w:val="single" w:color="auto"/>
        </w:rPr>
        <w:t>A</w:t>
      </w:r>
      <w:r>
        <w:rPr>
          <w:rFonts w:ascii="Times New Roman" w:hAnsi="Times New Roman" w:eastAsia="宋体" w:cs="Times New Roman"/>
          <w:i/>
          <w:snapToGrid w:val="0"/>
          <w:color w:val="auto"/>
          <w:sz w:val="24"/>
          <w:u w:val="single" w:color="auto"/>
          <w:vertAlign w:val="subscript"/>
        </w:rPr>
        <w:t>div</w:t>
      </w:r>
    </w:p>
    <w:p w14:paraId="1EB4ACA7">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本项目各设备对评价点而言，属无明显指向性点源，衰减量公式为：</w:t>
      </w:r>
    </w:p>
    <w:p w14:paraId="4F2A42FD">
      <w:pPr>
        <w:autoSpaceDE w:val="0"/>
        <w:autoSpaceDN w:val="0"/>
        <w:spacing w:line="520" w:lineRule="exact"/>
        <w:jc w:val="center"/>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position w:val="-12"/>
          <w:sz w:val="24"/>
          <w:u w:val="single" w:color="auto"/>
        </w:rPr>
        <w:drawing>
          <wp:inline distT="0" distB="0" distL="0" distR="0">
            <wp:extent cx="1171575" cy="228600"/>
            <wp:effectExtent l="0" t="0" r="0" b="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171575" cy="228600"/>
                    </a:xfrm>
                    <a:prstGeom prst="rect">
                      <a:avLst/>
                    </a:prstGeom>
                    <a:noFill/>
                    <a:ln>
                      <a:noFill/>
                    </a:ln>
                  </pic:spPr>
                </pic:pic>
              </a:graphicData>
            </a:graphic>
          </wp:inline>
        </w:drawing>
      </w:r>
    </w:p>
    <w:p w14:paraId="7F318F15">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②屏障引起的衰减量</w:t>
      </w:r>
      <w:r>
        <w:rPr>
          <w:rFonts w:ascii="Times New Roman" w:hAnsi="Times New Roman" w:eastAsia="宋体" w:cs="Times New Roman"/>
          <w:i/>
          <w:snapToGrid w:val="0"/>
          <w:color w:val="auto"/>
          <w:sz w:val="24"/>
          <w:u w:val="single" w:color="auto"/>
        </w:rPr>
        <w:t>A</w:t>
      </w:r>
      <w:r>
        <w:rPr>
          <w:rFonts w:ascii="Times New Roman" w:hAnsi="Times New Roman" w:eastAsia="宋体" w:cs="Times New Roman"/>
          <w:i/>
          <w:snapToGrid w:val="0"/>
          <w:color w:val="auto"/>
          <w:sz w:val="24"/>
          <w:u w:val="single" w:color="auto"/>
          <w:vertAlign w:val="subscript"/>
        </w:rPr>
        <w:t>bar</w:t>
      </w:r>
    </w:p>
    <w:p w14:paraId="19A63313">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位于声源和预测点之间的实体障碍物，如围墙、建筑物、土坡或地堑等起声屏障作用，从而引起声能量较大衰减。项目噪声源采用类比获得。从保守计，不考虑小幅地形遮挡。</w:t>
      </w:r>
    </w:p>
    <w:p w14:paraId="2D1517EE">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③空气吸收衰减量</w:t>
      </w:r>
      <w:r>
        <w:rPr>
          <w:rFonts w:ascii="Times New Roman" w:hAnsi="Times New Roman" w:eastAsia="宋体" w:cs="Times New Roman"/>
          <w:i/>
          <w:snapToGrid w:val="0"/>
          <w:color w:val="auto"/>
          <w:sz w:val="24"/>
          <w:u w:val="single" w:color="auto"/>
        </w:rPr>
        <w:t>A</w:t>
      </w:r>
      <w:r>
        <w:rPr>
          <w:rFonts w:ascii="Times New Roman" w:hAnsi="Times New Roman" w:eastAsia="宋体" w:cs="Times New Roman"/>
          <w:i/>
          <w:snapToGrid w:val="0"/>
          <w:color w:val="auto"/>
          <w:sz w:val="24"/>
          <w:u w:val="single" w:color="auto"/>
          <w:vertAlign w:val="subscript"/>
        </w:rPr>
        <w:t>atm</w:t>
      </w:r>
    </w:p>
    <w:p w14:paraId="51483B08">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空气吸收衰减量与几何发散衰减量相比很小，特别是距离较近时更是如此，结合本项目情况，计算中忽略空气吸收衰减量。</w:t>
      </w:r>
    </w:p>
    <w:p w14:paraId="1E917F0E">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④地面效应引起的衰减量</w:t>
      </w:r>
    </w:p>
    <w:p w14:paraId="7918F87E">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地面类型可分为：</w:t>
      </w:r>
    </w:p>
    <w:p w14:paraId="345989F1">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A、坚实地面，包括铺筑过的路面、水面、冰面。</w:t>
      </w:r>
    </w:p>
    <w:p w14:paraId="000B1FC3">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B、疏松地面，包括被草或其他植物覆盖的地面，以及农田等适合于地面生长的地面。</w:t>
      </w:r>
    </w:p>
    <w:p w14:paraId="11C910CE">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C、混合地面，由坚实地面和疏松地面组成。</w:t>
      </w:r>
    </w:p>
    <w:p w14:paraId="10B82FCD">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本项目考虑混合地面引起的衰减。</w:t>
      </w:r>
    </w:p>
    <w:p w14:paraId="49F73D40">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⑤其他衰减量</w:t>
      </w:r>
      <w:r>
        <w:rPr>
          <w:rFonts w:ascii="Times New Roman" w:hAnsi="Times New Roman" w:eastAsia="宋体" w:cs="Times New Roman"/>
          <w:i/>
          <w:snapToGrid w:val="0"/>
          <w:color w:val="auto"/>
          <w:sz w:val="24"/>
          <w:u w:val="single" w:color="auto"/>
        </w:rPr>
        <w:t>A</w:t>
      </w:r>
      <w:r>
        <w:rPr>
          <w:rFonts w:ascii="Times New Roman" w:hAnsi="Times New Roman" w:eastAsia="宋体" w:cs="Times New Roman"/>
          <w:i/>
          <w:snapToGrid w:val="0"/>
          <w:color w:val="auto"/>
          <w:sz w:val="24"/>
          <w:u w:val="single" w:color="auto"/>
          <w:vertAlign w:val="subscript"/>
        </w:rPr>
        <w:t>gxc</w:t>
      </w:r>
    </w:p>
    <w:p w14:paraId="03015910">
      <w:pPr>
        <w:autoSpaceDE w:val="0"/>
        <w:autoSpaceDN w:val="0"/>
        <w:spacing w:line="520" w:lineRule="exact"/>
        <w:ind w:firstLine="480" w:firstLineChars="200"/>
        <w:rPr>
          <w:rFonts w:ascii="Times New Roman" w:hAnsi="Times New Roman" w:eastAsia="宋体" w:cs="Times New Roman"/>
          <w:snapToGrid w:val="0"/>
          <w:color w:val="auto"/>
          <w:sz w:val="24"/>
          <w:u w:val="single" w:color="auto"/>
        </w:rPr>
      </w:pPr>
      <w:r>
        <w:rPr>
          <w:rFonts w:ascii="Times New Roman" w:hAnsi="Times New Roman" w:eastAsia="宋体" w:cs="Times New Roman"/>
          <w:snapToGrid w:val="0"/>
          <w:color w:val="auto"/>
          <w:sz w:val="24"/>
          <w:u w:val="single" w:color="auto"/>
        </w:rPr>
        <w:t>其他衰减包括通过工业场所的衰减，通过房屋群的衰减等。在声环境影响评价中，一般不考虑自然条件（如风、温度梯度、雾）变化引起的附加修正。</w:t>
      </w:r>
    </w:p>
    <w:p w14:paraId="44DF10F6">
      <w:pPr>
        <w:numPr>
          <w:ilvl w:val="2"/>
          <w:numId w:val="0"/>
        </w:numPr>
        <w:autoSpaceDE w:val="0"/>
        <w:autoSpaceDN w:val="0"/>
        <w:snapToGrid w:val="0"/>
        <w:spacing w:line="360" w:lineRule="auto"/>
        <w:jc w:val="left"/>
        <w:outlineLvl w:val="2"/>
        <w:rPr>
          <w:rFonts w:ascii="Times New Roman" w:hAnsi="Times New Roman" w:eastAsia="宋体" w:cs="Times New Roman"/>
          <w:b/>
          <w:snapToGrid w:val="0"/>
          <w:color w:val="auto"/>
          <w:sz w:val="28"/>
          <w:szCs w:val="20"/>
          <w:u w:val="single" w:color="auto"/>
        </w:rPr>
      </w:pPr>
      <w:bookmarkStart w:id="238" w:name="_Toc3728245"/>
      <w:r>
        <w:rPr>
          <w:rFonts w:hint="eastAsia" w:ascii="Times New Roman" w:hAnsi="Times New Roman" w:eastAsia="宋体" w:cs="Times New Roman"/>
          <w:b/>
          <w:snapToGrid w:val="0"/>
          <w:color w:val="auto"/>
          <w:sz w:val="28"/>
          <w:szCs w:val="20"/>
          <w:u w:val="single" w:color="auto"/>
        </w:rPr>
        <w:t>4</w:t>
      </w:r>
      <w:r>
        <w:rPr>
          <w:rFonts w:ascii="Times New Roman" w:hAnsi="Times New Roman" w:eastAsia="宋体" w:cs="Times New Roman"/>
          <w:b/>
          <w:snapToGrid w:val="0"/>
          <w:color w:val="auto"/>
          <w:sz w:val="28"/>
          <w:szCs w:val="20"/>
          <w:u w:val="single" w:color="auto"/>
        </w:rPr>
        <w:t>.4.3预测结果分析</w:t>
      </w:r>
      <w:bookmarkEnd w:id="238"/>
    </w:p>
    <w:p w14:paraId="3240B29A">
      <w:pPr>
        <w:tabs>
          <w:tab w:val="left" w:pos="7125"/>
        </w:tabs>
        <w:spacing w:before="120" w:beforeLines="50" w:line="360" w:lineRule="auto"/>
        <w:ind w:firstLine="482"/>
        <w:jc w:val="both"/>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在考虑各噪声源经过减振、厂房隔声等降噪后，根据噪声预测模式，将有关参数代入公式计算，预测工程噪声源对各向厂界的影响。根据计算，噪声预测结果见表</w:t>
      </w:r>
      <w:r>
        <w:rPr>
          <w:rFonts w:hint="eastAsia" w:ascii="Times New Roman" w:hAnsi="Times New Roman" w:eastAsia="宋体" w:cs="Times New Roman"/>
          <w:color w:val="auto"/>
          <w:sz w:val="24"/>
          <w:u w:val="single" w:color="auto"/>
        </w:rPr>
        <w:t>4</w:t>
      </w:r>
      <w:r>
        <w:rPr>
          <w:rFonts w:ascii="Times New Roman" w:hAnsi="Times New Roman" w:eastAsia="宋体" w:cs="Times New Roman"/>
          <w:color w:val="auto"/>
          <w:sz w:val="24"/>
          <w:u w:val="single" w:color="auto"/>
        </w:rPr>
        <w:t>.4-</w:t>
      </w:r>
      <w:r>
        <w:rPr>
          <w:rFonts w:hint="eastAsia" w:ascii="Times New Roman" w:hAnsi="Times New Roman" w:eastAsia="宋体" w:cs="Times New Roman"/>
          <w:color w:val="auto"/>
          <w:sz w:val="24"/>
          <w:u w:val="single" w:color="auto"/>
          <w:lang w:val="en-US" w:eastAsia="zh-CN"/>
        </w:rPr>
        <w:t>4</w:t>
      </w:r>
      <w:r>
        <w:rPr>
          <w:rFonts w:ascii="Times New Roman" w:hAnsi="Times New Roman" w:eastAsia="宋体" w:cs="Times New Roman"/>
          <w:color w:val="auto"/>
          <w:sz w:val="24"/>
          <w:u w:val="single" w:color="auto"/>
        </w:rPr>
        <w:t>。</w:t>
      </w:r>
    </w:p>
    <w:p w14:paraId="4F75111F">
      <w:pPr>
        <w:keepNext w:val="0"/>
        <w:keepLines w:val="0"/>
        <w:pageBreakBefore w:val="0"/>
        <w:widowControl w:val="0"/>
        <w:numPr>
          <w:ilvl w:val="4"/>
          <w:numId w:val="0"/>
        </w:numPr>
        <w:tabs>
          <w:tab w:val="left" w:pos="420"/>
          <w:tab w:val="left" w:pos="2661"/>
        </w:tabs>
        <w:kinsoku/>
        <w:wordWrap/>
        <w:overflowPunct/>
        <w:topLinePunct w:val="0"/>
        <w:autoSpaceDE w:val="0"/>
        <w:autoSpaceDN w:val="0"/>
        <w:bidi w:val="0"/>
        <w:adjustRightInd w:val="0"/>
        <w:snapToGrid w:val="0"/>
        <w:ind w:leftChars="0"/>
        <w:jc w:val="center"/>
        <w:textAlignment w:val="top"/>
        <w:outlineLvl w:val="9"/>
        <w:rPr>
          <w:rFonts w:ascii="Times New Roman" w:cs="Times New Roman"/>
          <w:b w:val="0"/>
          <w:color w:val="auto"/>
          <w:u w:val="single" w:color="auto"/>
        </w:rPr>
      </w:pPr>
      <w:r>
        <w:rPr>
          <w:rFonts w:ascii="Times New Roman" w:hAnsi="Times New Roman" w:eastAsia="宋体" w:cs="Times New Roman"/>
          <w:b/>
          <w:bCs/>
          <w:color w:val="auto"/>
          <w:sz w:val="24"/>
          <w:szCs w:val="24"/>
          <w:u w:val="single" w:color="auto"/>
        </w:rPr>
        <w:t>表</w:t>
      </w:r>
      <w:r>
        <w:rPr>
          <w:rFonts w:hint="eastAsia" w:ascii="Times New Roman" w:hAnsi="Times New Roman" w:eastAsia="宋体" w:cs="Times New Roman"/>
          <w:b/>
          <w:bCs/>
          <w:color w:val="auto"/>
          <w:sz w:val="24"/>
          <w:szCs w:val="24"/>
          <w:u w:val="single" w:color="auto"/>
          <w:lang w:val="en-US" w:eastAsia="zh-CN"/>
        </w:rPr>
        <w:t>4.4</w:t>
      </w:r>
      <w:r>
        <w:rPr>
          <w:rFonts w:ascii="Times New Roman" w:hAnsi="Times New Roman" w:eastAsia="宋体" w:cs="Times New Roman"/>
          <w:b/>
          <w:bCs/>
          <w:color w:val="auto"/>
          <w:sz w:val="24"/>
          <w:szCs w:val="24"/>
          <w:u w:val="single" w:color="auto"/>
        </w:rPr>
        <w:t>-</w:t>
      </w:r>
      <w:r>
        <w:rPr>
          <w:rFonts w:hint="eastAsia" w:ascii="Times New Roman" w:hAnsi="Times New Roman" w:eastAsia="宋体" w:cs="Times New Roman"/>
          <w:b/>
          <w:bCs/>
          <w:color w:val="auto"/>
          <w:sz w:val="24"/>
          <w:szCs w:val="24"/>
          <w:u w:val="single" w:color="auto"/>
          <w:lang w:val="en-US" w:eastAsia="zh-CN"/>
        </w:rPr>
        <w:t>4</w:t>
      </w:r>
      <w:r>
        <w:rPr>
          <w:rFonts w:ascii="Times New Roman" w:cs="Times New Roman"/>
          <w:b/>
          <w:bCs w:val="0"/>
          <w:color w:val="auto"/>
          <w:u w:val="single" w:color="auto"/>
        </w:rPr>
        <w:t>噪声影响预测结果</w:t>
      </w:r>
      <w:r>
        <w:rPr>
          <w:rFonts w:hint="eastAsia" w:cs="Times New Roman"/>
          <w:b/>
          <w:color w:val="auto"/>
          <w:u w:val="single" w:color="auto"/>
          <w:lang w:val="en-US" w:eastAsia="zh-CN"/>
        </w:rPr>
        <w:t xml:space="preserve">      </w:t>
      </w:r>
      <w:r>
        <w:rPr>
          <w:rFonts w:ascii="Times New Roman" w:cs="Times New Roman"/>
          <w:color w:val="auto"/>
          <w:sz w:val="21"/>
          <w:szCs w:val="21"/>
          <w:u w:val="single" w:color="auto"/>
        </w:rPr>
        <w:t>单位：dB（A）</w:t>
      </w:r>
    </w:p>
    <w:tbl>
      <w:tblPr>
        <w:tblStyle w:val="3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62"/>
        <w:gridCol w:w="1876"/>
        <w:gridCol w:w="1129"/>
        <w:gridCol w:w="1131"/>
        <w:gridCol w:w="1126"/>
        <w:gridCol w:w="1129"/>
        <w:gridCol w:w="1059"/>
        <w:gridCol w:w="1059"/>
      </w:tblGrid>
      <w:tr w14:paraId="4E21C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562" w:type="dxa"/>
            <w:vMerge w:val="restart"/>
            <w:tcBorders>
              <w:top w:val="single" w:color="auto" w:sz="12" w:space="0"/>
              <w:left w:val="single" w:color="auto" w:sz="12" w:space="0"/>
            </w:tcBorders>
            <w:noWrap w:val="0"/>
            <w:vAlign w:val="center"/>
          </w:tcPr>
          <w:p w14:paraId="7E967132">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序号</w:t>
            </w:r>
          </w:p>
        </w:tc>
        <w:tc>
          <w:tcPr>
            <w:tcW w:w="1876" w:type="dxa"/>
            <w:vMerge w:val="restart"/>
            <w:tcBorders>
              <w:top w:val="single" w:color="auto" w:sz="12" w:space="0"/>
            </w:tcBorders>
            <w:noWrap w:val="0"/>
            <w:vAlign w:val="center"/>
          </w:tcPr>
          <w:p w14:paraId="425DB5CF">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名称</w:t>
            </w:r>
          </w:p>
        </w:tc>
        <w:tc>
          <w:tcPr>
            <w:tcW w:w="2260" w:type="dxa"/>
            <w:gridSpan w:val="2"/>
            <w:tcBorders>
              <w:top w:val="single" w:color="auto" w:sz="12" w:space="0"/>
            </w:tcBorders>
            <w:noWrap w:val="0"/>
            <w:vAlign w:val="center"/>
          </w:tcPr>
          <w:p w14:paraId="5BCDFCD5">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噪声标准值/</w:t>
            </w:r>
            <w:r>
              <w:rPr>
                <w:rFonts w:hint="default" w:ascii="Times New Roman" w:hAnsi="Times New Roman" w:cs="Times New Roman"/>
                <w:b/>
                <w:bCs/>
                <w:color w:val="auto"/>
                <w:sz w:val="21"/>
                <w:szCs w:val="21"/>
                <w:u w:val="single" w:color="auto"/>
              </w:rPr>
              <w:t xml:space="preserve"> dB(A)</w:t>
            </w:r>
          </w:p>
        </w:tc>
        <w:tc>
          <w:tcPr>
            <w:tcW w:w="2255" w:type="dxa"/>
            <w:gridSpan w:val="2"/>
            <w:tcBorders>
              <w:top w:val="single" w:color="auto" w:sz="12" w:space="0"/>
            </w:tcBorders>
            <w:noWrap w:val="0"/>
            <w:vAlign w:val="center"/>
          </w:tcPr>
          <w:p w14:paraId="6D53EFA7">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噪声贡献值/</w:t>
            </w:r>
            <w:r>
              <w:rPr>
                <w:rFonts w:hint="default" w:ascii="Times New Roman" w:hAnsi="Times New Roman" w:cs="Times New Roman"/>
                <w:b/>
                <w:bCs/>
                <w:color w:val="auto"/>
                <w:sz w:val="21"/>
                <w:szCs w:val="21"/>
                <w:u w:val="single" w:color="auto"/>
              </w:rPr>
              <w:t xml:space="preserve"> dB(A)</w:t>
            </w:r>
          </w:p>
        </w:tc>
        <w:tc>
          <w:tcPr>
            <w:tcW w:w="2118" w:type="dxa"/>
            <w:gridSpan w:val="2"/>
            <w:tcBorders>
              <w:top w:val="single" w:color="auto" w:sz="12" w:space="0"/>
              <w:right w:val="single" w:color="auto" w:sz="12" w:space="0"/>
            </w:tcBorders>
            <w:noWrap w:val="0"/>
            <w:vAlign w:val="center"/>
          </w:tcPr>
          <w:p w14:paraId="09C90F95">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达标情况</w:t>
            </w:r>
          </w:p>
        </w:tc>
      </w:tr>
      <w:tr w14:paraId="35620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562" w:type="dxa"/>
            <w:vMerge w:val="continue"/>
            <w:tcBorders>
              <w:left w:val="single" w:color="auto" w:sz="12" w:space="0"/>
            </w:tcBorders>
            <w:noWrap w:val="0"/>
            <w:vAlign w:val="center"/>
          </w:tcPr>
          <w:p w14:paraId="0334506E">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p>
        </w:tc>
        <w:tc>
          <w:tcPr>
            <w:tcW w:w="1876" w:type="dxa"/>
            <w:vMerge w:val="continue"/>
            <w:noWrap w:val="0"/>
            <w:vAlign w:val="center"/>
          </w:tcPr>
          <w:p w14:paraId="384515A1">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p>
        </w:tc>
        <w:tc>
          <w:tcPr>
            <w:tcW w:w="1129" w:type="dxa"/>
            <w:noWrap w:val="0"/>
            <w:vAlign w:val="center"/>
          </w:tcPr>
          <w:p w14:paraId="3941CD27">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昼间</w:t>
            </w:r>
          </w:p>
        </w:tc>
        <w:tc>
          <w:tcPr>
            <w:tcW w:w="1131" w:type="dxa"/>
            <w:noWrap w:val="0"/>
            <w:vAlign w:val="center"/>
          </w:tcPr>
          <w:p w14:paraId="3FB62E5A">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夜间</w:t>
            </w:r>
          </w:p>
        </w:tc>
        <w:tc>
          <w:tcPr>
            <w:tcW w:w="1126" w:type="dxa"/>
            <w:noWrap w:val="0"/>
            <w:vAlign w:val="center"/>
          </w:tcPr>
          <w:p w14:paraId="19A5FF2E">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昼间</w:t>
            </w:r>
          </w:p>
        </w:tc>
        <w:tc>
          <w:tcPr>
            <w:tcW w:w="1129" w:type="dxa"/>
            <w:noWrap w:val="0"/>
            <w:vAlign w:val="center"/>
          </w:tcPr>
          <w:p w14:paraId="12492712">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夜间</w:t>
            </w:r>
          </w:p>
        </w:tc>
        <w:tc>
          <w:tcPr>
            <w:tcW w:w="1059" w:type="dxa"/>
            <w:noWrap w:val="0"/>
            <w:vAlign w:val="center"/>
          </w:tcPr>
          <w:p w14:paraId="1056A83D">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昼间</w:t>
            </w:r>
          </w:p>
        </w:tc>
        <w:tc>
          <w:tcPr>
            <w:tcW w:w="1059" w:type="dxa"/>
            <w:tcBorders>
              <w:right w:val="single" w:color="auto" w:sz="12" w:space="0"/>
            </w:tcBorders>
            <w:noWrap w:val="0"/>
            <w:vAlign w:val="center"/>
          </w:tcPr>
          <w:p w14:paraId="3DC768C4">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b/>
                <w:color w:val="auto"/>
                <w:kern w:val="0"/>
                <w:sz w:val="21"/>
                <w:szCs w:val="21"/>
                <w:u w:val="single" w:color="auto"/>
              </w:rPr>
            </w:pPr>
            <w:r>
              <w:rPr>
                <w:rFonts w:hint="default" w:ascii="Times New Roman" w:hAnsi="Times New Roman" w:cs="Times New Roman"/>
                <w:b/>
                <w:color w:val="auto"/>
                <w:kern w:val="0"/>
                <w:sz w:val="21"/>
                <w:szCs w:val="21"/>
                <w:u w:val="single" w:color="auto"/>
              </w:rPr>
              <w:t>夜间</w:t>
            </w:r>
          </w:p>
        </w:tc>
      </w:tr>
      <w:tr w14:paraId="20C38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2" w:type="dxa"/>
            <w:tcBorders>
              <w:left w:val="single" w:color="auto" w:sz="12" w:space="0"/>
            </w:tcBorders>
            <w:noWrap w:val="0"/>
            <w:vAlign w:val="center"/>
          </w:tcPr>
          <w:p w14:paraId="19F03826">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1</w:t>
            </w:r>
          </w:p>
        </w:tc>
        <w:tc>
          <w:tcPr>
            <w:tcW w:w="1876" w:type="dxa"/>
            <w:noWrap w:val="0"/>
            <w:vAlign w:val="center"/>
          </w:tcPr>
          <w:p w14:paraId="36A31BF1">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sz w:val="21"/>
                <w:szCs w:val="21"/>
                <w:u w:val="single" w:color="auto"/>
              </w:rPr>
              <w:t>厂区东厂界</w:t>
            </w:r>
          </w:p>
        </w:tc>
        <w:tc>
          <w:tcPr>
            <w:tcW w:w="1129" w:type="dxa"/>
            <w:noWrap w:val="0"/>
            <w:vAlign w:val="center"/>
          </w:tcPr>
          <w:p w14:paraId="55F9F68F">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65</w:t>
            </w:r>
          </w:p>
        </w:tc>
        <w:tc>
          <w:tcPr>
            <w:tcW w:w="1131" w:type="dxa"/>
            <w:noWrap w:val="0"/>
            <w:vAlign w:val="center"/>
          </w:tcPr>
          <w:p w14:paraId="0E6AF5ED">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55</w:t>
            </w:r>
          </w:p>
        </w:tc>
        <w:tc>
          <w:tcPr>
            <w:tcW w:w="1126" w:type="dxa"/>
            <w:noWrap w:val="0"/>
            <w:vAlign w:val="center"/>
          </w:tcPr>
          <w:p w14:paraId="0B7E6F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42.5</w:t>
            </w:r>
          </w:p>
        </w:tc>
        <w:tc>
          <w:tcPr>
            <w:tcW w:w="1129" w:type="dxa"/>
            <w:noWrap w:val="0"/>
            <w:vAlign w:val="center"/>
          </w:tcPr>
          <w:p w14:paraId="7208C1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42.5</w:t>
            </w:r>
          </w:p>
        </w:tc>
        <w:tc>
          <w:tcPr>
            <w:tcW w:w="1059" w:type="dxa"/>
            <w:noWrap w:val="0"/>
            <w:vAlign w:val="center"/>
          </w:tcPr>
          <w:p w14:paraId="500837A3">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c>
          <w:tcPr>
            <w:tcW w:w="1059" w:type="dxa"/>
            <w:tcBorders>
              <w:right w:val="single" w:color="auto" w:sz="12" w:space="0"/>
            </w:tcBorders>
            <w:noWrap w:val="0"/>
            <w:vAlign w:val="center"/>
          </w:tcPr>
          <w:p w14:paraId="04094454">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r>
      <w:tr w14:paraId="0B2E9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2" w:type="dxa"/>
            <w:tcBorders>
              <w:left w:val="single" w:color="auto" w:sz="12" w:space="0"/>
            </w:tcBorders>
            <w:noWrap w:val="0"/>
            <w:vAlign w:val="center"/>
          </w:tcPr>
          <w:p w14:paraId="0D3F0570">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2</w:t>
            </w:r>
          </w:p>
        </w:tc>
        <w:tc>
          <w:tcPr>
            <w:tcW w:w="1876" w:type="dxa"/>
            <w:noWrap w:val="0"/>
            <w:vAlign w:val="center"/>
          </w:tcPr>
          <w:p w14:paraId="102D3F3A">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sz w:val="21"/>
                <w:szCs w:val="21"/>
                <w:u w:val="single" w:color="auto"/>
              </w:rPr>
              <w:t>厂区南厂界</w:t>
            </w:r>
          </w:p>
        </w:tc>
        <w:tc>
          <w:tcPr>
            <w:tcW w:w="1129" w:type="dxa"/>
            <w:noWrap w:val="0"/>
            <w:vAlign w:val="center"/>
          </w:tcPr>
          <w:p w14:paraId="4C6340C5">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65</w:t>
            </w:r>
          </w:p>
        </w:tc>
        <w:tc>
          <w:tcPr>
            <w:tcW w:w="1131" w:type="dxa"/>
            <w:noWrap w:val="0"/>
            <w:vAlign w:val="center"/>
          </w:tcPr>
          <w:p w14:paraId="607498B1">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55</w:t>
            </w:r>
          </w:p>
        </w:tc>
        <w:tc>
          <w:tcPr>
            <w:tcW w:w="1126" w:type="dxa"/>
            <w:noWrap w:val="0"/>
            <w:vAlign w:val="center"/>
          </w:tcPr>
          <w:p w14:paraId="015C21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52.1</w:t>
            </w:r>
          </w:p>
        </w:tc>
        <w:tc>
          <w:tcPr>
            <w:tcW w:w="1129" w:type="dxa"/>
            <w:noWrap w:val="0"/>
            <w:vAlign w:val="center"/>
          </w:tcPr>
          <w:p w14:paraId="3D0422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52.1</w:t>
            </w:r>
          </w:p>
        </w:tc>
        <w:tc>
          <w:tcPr>
            <w:tcW w:w="1059" w:type="dxa"/>
            <w:noWrap w:val="0"/>
            <w:vAlign w:val="center"/>
          </w:tcPr>
          <w:p w14:paraId="1AE301E2">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c>
          <w:tcPr>
            <w:tcW w:w="1059" w:type="dxa"/>
            <w:tcBorders>
              <w:right w:val="single" w:color="auto" w:sz="12" w:space="0"/>
            </w:tcBorders>
            <w:noWrap w:val="0"/>
            <w:vAlign w:val="center"/>
          </w:tcPr>
          <w:p w14:paraId="199E6199">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r>
      <w:tr w14:paraId="747B4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2" w:type="dxa"/>
            <w:tcBorders>
              <w:left w:val="single" w:color="auto" w:sz="12" w:space="0"/>
            </w:tcBorders>
            <w:noWrap w:val="0"/>
            <w:vAlign w:val="center"/>
          </w:tcPr>
          <w:p w14:paraId="75D3A6C1">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3</w:t>
            </w:r>
          </w:p>
        </w:tc>
        <w:tc>
          <w:tcPr>
            <w:tcW w:w="1876" w:type="dxa"/>
            <w:noWrap w:val="0"/>
            <w:vAlign w:val="center"/>
          </w:tcPr>
          <w:p w14:paraId="565772B4">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sz w:val="21"/>
                <w:szCs w:val="21"/>
                <w:u w:val="single" w:color="auto"/>
              </w:rPr>
              <w:t>厂区西厂界</w:t>
            </w:r>
          </w:p>
        </w:tc>
        <w:tc>
          <w:tcPr>
            <w:tcW w:w="1129" w:type="dxa"/>
            <w:noWrap w:val="0"/>
            <w:vAlign w:val="center"/>
          </w:tcPr>
          <w:p w14:paraId="6F974E55">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65</w:t>
            </w:r>
          </w:p>
        </w:tc>
        <w:tc>
          <w:tcPr>
            <w:tcW w:w="1131" w:type="dxa"/>
            <w:noWrap w:val="0"/>
            <w:vAlign w:val="center"/>
          </w:tcPr>
          <w:p w14:paraId="2A0B14C3">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55</w:t>
            </w:r>
          </w:p>
        </w:tc>
        <w:tc>
          <w:tcPr>
            <w:tcW w:w="1126" w:type="dxa"/>
            <w:noWrap w:val="0"/>
            <w:vAlign w:val="center"/>
          </w:tcPr>
          <w:p w14:paraId="53F1BE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42</w:t>
            </w:r>
          </w:p>
        </w:tc>
        <w:tc>
          <w:tcPr>
            <w:tcW w:w="1129" w:type="dxa"/>
            <w:noWrap w:val="0"/>
            <w:vAlign w:val="center"/>
          </w:tcPr>
          <w:p w14:paraId="0BF01C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42</w:t>
            </w:r>
          </w:p>
        </w:tc>
        <w:tc>
          <w:tcPr>
            <w:tcW w:w="1059" w:type="dxa"/>
            <w:noWrap w:val="0"/>
            <w:vAlign w:val="center"/>
          </w:tcPr>
          <w:p w14:paraId="4A8896DE">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c>
          <w:tcPr>
            <w:tcW w:w="1059" w:type="dxa"/>
            <w:tcBorders>
              <w:right w:val="single" w:color="auto" w:sz="12" w:space="0"/>
            </w:tcBorders>
            <w:noWrap w:val="0"/>
            <w:vAlign w:val="center"/>
          </w:tcPr>
          <w:p w14:paraId="5B42FB93">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r>
      <w:tr w14:paraId="4E053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2" w:type="dxa"/>
            <w:tcBorders>
              <w:left w:val="single" w:color="auto" w:sz="12" w:space="0"/>
              <w:bottom w:val="single" w:color="auto" w:sz="12" w:space="0"/>
            </w:tcBorders>
            <w:noWrap w:val="0"/>
            <w:vAlign w:val="center"/>
          </w:tcPr>
          <w:p w14:paraId="2600F08A">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4</w:t>
            </w:r>
          </w:p>
        </w:tc>
        <w:tc>
          <w:tcPr>
            <w:tcW w:w="1876" w:type="dxa"/>
            <w:tcBorders>
              <w:bottom w:val="single" w:color="auto" w:sz="12" w:space="0"/>
            </w:tcBorders>
            <w:noWrap w:val="0"/>
            <w:vAlign w:val="center"/>
          </w:tcPr>
          <w:p w14:paraId="14F467D6">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sz w:val="21"/>
                <w:szCs w:val="21"/>
                <w:u w:val="single" w:color="auto"/>
              </w:rPr>
              <w:t>厂区北厂界</w:t>
            </w:r>
          </w:p>
        </w:tc>
        <w:tc>
          <w:tcPr>
            <w:tcW w:w="1129" w:type="dxa"/>
            <w:tcBorders>
              <w:bottom w:val="single" w:color="auto" w:sz="12" w:space="0"/>
            </w:tcBorders>
            <w:noWrap w:val="0"/>
            <w:vAlign w:val="center"/>
          </w:tcPr>
          <w:p w14:paraId="3D42266D">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65</w:t>
            </w:r>
          </w:p>
        </w:tc>
        <w:tc>
          <w:tcPr>
            <w:tcW w:w="1131" w:type="dxa"/>
            <w:tcBorders>
              <w:bottom w:val="single" w:color="auto" w:sz="12" w:space="0"/>
            </w:tcBorders>
            <w:noWrap w:val="0"/>
            <w:vAlign w:val="center"/>
          </w:tcPr>
          <w:p w14:paraId="23FEFC1F">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55</w:t>
            </w:r>
          </w:p>
        </w:tc>
        <w:tc>
          <w:tcPr>
            <w:tcW w:w="1126" w:type="dxa"/>
            <w:tcBorders>
              <w:bottom w:val="single" w:color="auto" w:sz="12" w:space="0"/>
            </w:tcBorders>
            <w:noWrap w:val="0"/>
            <w:vAlign w:val="center"/>
          </w:tcPr>
          <w:p w14:paraId="750E57F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52</w:t>
            </w:r>
          </w:p>
        </w:tc>
        <w:tc>
          <w:tcPr>
            <w:tcW w:w="1129" w:type="dxa"/>
            <w:tcBorders>
              <w:bottom w:val="single" w:color="auto" w:sz="12" w:space="0"/>
            </w:tcBorders>
            <w:noWrap w:val="0"/>
            <w:vAlign w:val="center"/>
          </w:tcPr>
          <w:p w14:paraId="1EA88A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u w:val="single" w:color="auto"/>
              </w:rPr>
            </w:pPr>
            <w:r>
              <w:rPr>
                <w:rFonts w:hint="eastAsia" w:ascii="Times New Roman" w:hAnsi="Times New Roman" w:eastAsia="宋体" w:cs="Times New Roman"/>
                <w:i w:val="0"/>
                <w:iCs w:val="0"/>
                <w:color w:val="auto"/>
                <w:kern w:val="0"/>
                <w:sz w:val="21"/>
                <w:szCs w:val="21"/>
                <w:u w:val="single" w:color="auto"/>
                <w:lang w:val="en-US" w:eastAsia="zh-CN" w:bidi="ar"/>
              </w:rPr>
              <w:t>52</w:t>
            </w:r>
          </w:p>
        </w:tc>
        <w:tc>
          <w:tcPr>
            <w:tcW w:w="1059" w:type="dxa"/>
            <w:tcBorders>
              <w:bottom w:val="single" w:color="auto" w:sz="12" w:space="0"/>
            </w:tcBorders>
            <w:noWrap w:val="0"/>
            <w:vAlign w:val="center"/>
          </w:tcPr>
          <w:p w14:paraId="5D6BBE4F">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c>
          <w:tcPr>
            <w:tcW w:w="1059" w:type="dxa"/>
            <w:tcBorders>
              <w:bottom w:val="single" w:color="auto" w:sz="12" w:space="0"/>
              <w:right w:val="single" w:color="auto" w:sz="12" w:space="0"/>
            </w:tcBorders>
            <w:noWrap w:val="0"/>
            <w:vAlign w:val="center"/>
          </w:tcPr>
          <w:p w14:paraId="06EE4EBC">
            <w:pPr>
              <w:keepNext w:val="0"/>
              <w:keepLines w:val="0"/>
              <w:widowControl/>
              <w:suppressLineNumbers w:val="0"/>
              <w:autoSpaceDE w:val="0"/>
              <w:autoSpaceDN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kern w:val="0"/>
                <w:sz w:val="21"/>
                <w:szCs w:val="21"/>
                <w:u w:val="single" w:color="auto"/>
              </w:rPr>
            </w:pPr>
            <w:r>
              <w:rPr>
                <w:rFonts w:hint="default" w:ascii="Times New Roman" w:hAnsi="Times New Roman" w:cs="Times New Roman"/>
                <w:color w:val="auto"/>
                <w:kern w:val="0"/>
                <w:sz w:val="21"/>
                <w:szCs w:val="21"/>
                <w:u w:val="single" w:color="auto"/>
              </w:rPr>
              <w:t>达标</w:t>
            </w:r>
          </w:p>
        </w:tc>
      </w:tr>
    </w:tbl>
    <w:p w14:paraId="7A70B8FC">
      <w:pPr>
        <w:tabs>
          <w:tab w:val="left" w:pos="7125"/>
        </w:tabs>
        <w:spacing w:before="120" w:beforeLines="50" w:line="360" w:lineRule="auto"/>
        <w:ind w:firstLine="482"/>
        <w:jc w:val="both"/>
        <w:rPr>
          <w:rFonts w:ascii="Times New Roman" w:hAnsi="Times New Roman" w:eastAsia="宋体" w:cs="Times New Roman"/>
          <w:color w:val="auto"/>
          <w:sz w:val="24"/>
          <w:u w:val="singl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color w:val="auto"/>
          <w:sz w:val="24"/>
          <w:u w:val="single" w:color="auto"/>
        </w:rPr>
        <w:t>由上表预测结果表明，项目运营后经采取本评价提出的噪声防治措施并经减震、厂房隔声、距离衰减后各厂界均可满足《工业企业厂界环境噪声排放标准》（GB12348-2008）中的3类标准要求。另外，项目200m范围内无居民等环境敏感目标，本项目运营后，项目噪声对环境敏感点的声环境影响较小。</w:t>
      </w:r>
    </w:p>
    <w:p w14:paraId="5BABBEBF">
      <w:pPr>
        <w:pStyle w:val="3"/>
        <w:bidi w:val="0"/>
        <w:rPr>
          <w:color w:val="auto"/>
          <w:u w:val="none" w:color="auto"/>
        </w:rPr>
      </w:pPr>
      <w:bookmarkStart w:id="239" w:name="_Toc9699"/>
      <w:bookmarkStart w:id="240" w:name="_Toc3728246"/>
      <w:r>
        <w:rPr>
          <w:color w:val="auto"/>
          <w:u w:val="none" w:color="auto"/>
        </w:rPr>
        <w:t>固体废物环境影响分析</w:t>
      </w:r>
      <w:bookmarkEnd w:id="239"/>
      <w:bookmarkEnd w:id="240"/>
    </w:p>
    <w:p w14:paraId="48E88F5F">
      <w:pPr>
        <w:spacing w:line="360" w:lineRule="auto"/>
        <w:ind w:firstLine="480" w:firstLineChars="200"/>
        <w:rPr>
          <w:rFonts w:ascii="Times New Roman" w:hAnsi="Times New Roman" w:eastAsia="宋体" w:cs="Times New Roman"/>
          <w:color w:val="auto"/>
          <w:kern w:val="0"/>
          <w:sz w:val="24"/>
          <w:u w:val="none" w:color="auto"/>
        </w:rPr>
      </w:pPr>
      <w:r>
        <w:rPr>
          <w:rFonts w:ascii="Times New Roman" w:hAnsi="Times New Roman" w:eastAsia="宋体" w:cs="Times New Roman"/>
          <w:color w:val="auto"/>
          <w:kern w:val="0"/>
          <w:sz w:val="24"/>
          <w:u w:val="none" w:color="auto"/>
        </w:rPr>
        <w:t>（1）固体废物产生情况</w:t>
      </w:r>
    </w:p>
    <w:p w14:paraId="78EBD250">
      <w:pPr>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项目运营期产生的固体废物主要为一般固体废物、危险废物和生活垃圾。项目固体废物产生情况及处置措施详见下表。</w:t>
      </w:r>
    </w:p>
    <w:p w14:paraId="70A95FDD">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表4.5-1 固体废物产生情况及处置措施一览表</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478"/>
        <w:gridCol w:w="1509"/>
        <w:gridCol w:w="1110"/>
        <w:gridCol w:w="1218"/>
        <w:gridCol w:w="1218"/>
        <w:gridCol w:w="1218"/>
      </w:tblGrid>
      <w:tr w14:paraId="61059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Align w:val="center"/>
          </w:tcPr>
          <w:p w14:paraId="09646BC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类型</w:t>
            </w:r>
          </w:p>
        </w:tc>
        <w:tc>
          <w:tcPr>
            <w:tcW w:w="1478" w:type="dxa"/>
            <w:vAlign w:val="center"/>
          </w:tcPr>
          <w:p w14:paraId="753B445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产生工序</w:t>
            </w:r>
          </w:p>
        </w:tc>
        <w:tc>
          <w:tcPr>
            <w:tcW w:w="1509" w:type="dxa"/>
            <w:vAlign w:val="center"/>
          </w:tcPr>
          <w:p w14:paraId="4A60020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名称</w:t>
            </w:r>
          </w:p>
        </w:tc>
        <w:tc>
          <w:tcPr>
            <w:tcW w:w="1110" w:type="dxa"/>
            <w:vAlign w:val="center"/>
          </w:tcPr>
          <w:p w14:paraId="545A860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产生量</w:t>
            </w:r>
          </w:p>
          <w:p w14:paraId="09E6C96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（t/a）</w:t>
            </w:r>
          </w:p>
        </w:tc>
        <w:tc>
          <w:tcPr>
            <w:tcW w:w="1218" w:type="dxa"/>
            <w:vAlign w:val="center"/>
          </w:tcPr>
          <w:p w14:paraId="216606D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危险类</w:t>
            </w:r>
          </w:p>
          <w:p w14:paraId="7E348E4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别代码</w:t>
            </w:r>
          </w:p>
        </w:tc>
        <w:tc>
          <w:tcPr>
            <w:tcW w:w="1218" w:type="dxa"/>
            <w:vAlign w:val="center"/>
          </w:tcPr>
          <w:p w14:paraId="6658FFB9">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eastAsia="zh-CN"/>
              </w:rPr>
              <w:t>主要成分</w:t>
            </w:r>
          </w:p>
        </w:tc>
        <w:tc>
          <w:tcPr>
            <w:tcW w:w="1218" w:type="dxa"/>
            <w:vAlign w:val="center"/>
          </w:tcPr>
          <w:p w14:paraId="228A9E7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处置</w:t>
            </w:r>
          </w:p>
          <w:p w14:paraId="579F866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措施</w:t>
            </w:r>
          </w:p>
        </w:tc>
      </w:tr>
      <w:tr w14:paraId="3C36B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restart"/>
            <w:vAlign w:val="center"/>
          </w:tcPr>
          <w:p w14:paraId="451C5C7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一般工业固废</w:t>
            </w:r>
          </w:p>
        </w:tc>
        <w:tc>
          <w:tcPr>
            <w:tcW w:w="1478" w:type="dxa"/>
            <w:vAlign w:val="center"/>
          </w:tcPr>
          <w:p w14:paraId="478F295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w:t>
            </w:r>
          </w:p>
        </w:tc>
        <w:tc>
          <w:tcPr>
            <w:tcW w:w="1509" w:type="dxa"/>
            <w:vAlign w:val="center"/>
          </w:tcPr>
          <w:p w14:paraId="5DE68CC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切割下脚料</w:t>
            </w:r>
          </w:p>
        </w:tc>
        <w:tc>
          <w:tcPr>
            <w:tcW w:w="1110" w:type="dxa"/>
            <w:vAlign w:val="center"/>
          </w:tcPr>
          <w:p w14:paraId="0C7118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1300</w:t>
            </w:r>
          </w:p>
        </w:tc>
        <w:tc>
          <w:tcPr>
            <w:tcW w:w="1218" w:type="dxa"/>
            <w:vAlign w:val="center"/>
          </w:tcPr>
          <w:p w14:paraId="765C7F4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6164928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钢材</w:t>
            </w:r>
          </w:p>
        </w:tc>
        <w:tc>
          <w:tcPr>
            <w:tcW w:w="1218" w:type="dxa"/>
            <w:vMerge w:val="restart"/>
            <w:vAlign w:val="center"/>
          </w:tcPr>
          <w:p w14:paraId="541D8A9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集中收集在</w:t>
            </w:r>
            <w:r>
              <w:rPr>
                <w:rFonts w:hint="eastAsia" w:ascii="Times New Roman" w:hAnsi="Times New Roman" w:eastAsia="宋体" w:cs="Times New Roman"/>
                <w:color w:val="auto"/>
                <w:szCs w:val="21"/>
                <w:u w:val="single" w:color="auto"/>
              </w:rPr>
              <w:t>一般固废暂存间</w:t>
            </w:r>
            <w:r>
              <w:rPr>
                <w:rFonts w:ascii="Times New Roman" w:hAnsi="Times New Roman" w:eastAsia="宋体" w:cs="Times New Roman"/>
                <w:color w:val="auto"/>
                <w:szCs w:val="21"/>
                <w:u w:val="single" w:color="auto"/>
              </w:rPr>
              <w:t>，定期外售</w:t>
            </w:r>
          </w:p>
        </w:tc>
      </w:tr>
      <w:tr w14:paraId="1BA91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continue"/>
            <w:vAlign w:val="center"/>
          </w:tcPr>
          <w:p w14:paraId="77993301">
            <w:pPr>
              <w:jc w:val="center"/>
              <w:rPr>
                <w:rFonts w:ascii="Times New Roman" w:hAnsi="Times New Roman" w:eastAsia="宋体" w:cs="Times New Roman"/>
                <w:color w:val="auto"/>
                <w:szCs w:val="21"/>
                <w:u w:val="single" w:color="auto"/>
              </w:rPr>
            </w:pPr>
          </w:p>
        </w:tc>
        <w:tc>
          <w:tcPr>
            <w:tcW w:w="1478" w:type="dxa"/>
            <w:vAlign w:val="center"/>
          </w:tcPr>
          <w:p w14:paraId="55721E3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粉尘净化器</w:t>
            </w:r>
          </w:p>
          <w:p w14:paraId="3543861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除尘</w:t>
            </w:r>
          </w:p>
        </w:tc>
        <w:tc>
          <w:tcPr>
            <w:tcW w:w="1509" w:type="dxa"/>
            <w:vAlign w:val="center"/>
          </w:tcPr>
          <w:p w14:paraId="24E2E78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净化器除尘灰</w:t>
            </w:r>
          </w:p>
        </w:tc>
        <w:tc>
          <w:tcPr>
            <w:tcW w:w="1110" w:type="dxa"/>
            <w:vAlign w:val="center"/>
          </w:tcPr>
          <w:p w14:paraId="676F35D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70.402</w:t>
            </w:r>
          </w:p>
        </w:tc>
        <w:tc>
          <w:tcPr>
            <w:tcW w:w="1218" w:type="dxa"/>
            <w:vAlign w:val="center"/>
          </w:tcPr>
          <w:p w14:paraId="3B066D3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0A934FC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铁粉</w:t>
            </w:r>
          </w:p>
        </w:tc>
        <w:tc>
          <w:tcPr>
            <w:tcW w:w="1218" w:type="dxa"/>
            <w:vMerge w:val="continue"/>
            <w:vAlign w:val="center"/>
          </w:tcPr>
          <w:p w14:paraId="66026303">
            <w:pPr>
              <w:jc w:val="center"/>
              <w:rPr>
                <w:rFonts w:ascii="Times New Roman" w:hAnsi="Times New Roman" w:eastAsia="宋体" w:cs="Times New Roman"/>
                <w:color w:val="auto"/>
                <w:szCs w:val="21"/>
                <w:u w:val="single" w:color="auto"/>
              </w:rPr>
            </w:pPr>
          </w:p>
        </w:tc>
      </w:tr>
      <w:tr w14:paraId="5102C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continue"/>
            <w:vAlign w:val="center"/>
          </w:tcPr>
          <w:p w14:paraId="52467448">
            <w:pPr>
              <w:jc w:val="center"/>
              <w:rPr>
                <w:rFonts w:ascii="Times New Roman" w:hAnsi="Times New Roman" w:eastAsia="宋体" w:cs="Times New Roman"/>
                <w:color w:val="auto"/>
                <w:szCs w:val="21"/>
                <w:u w:val="single" w:color="auto"/>
              </w:rPr>
            </w:pPr>
          </w:p>
        </w:tc>
        <w:tc>
          <w:tcPr>
            <w:tcW w:w="1478" w:type="dxa"/>
            <w:vAlign w:val="center"/>
          </w:tcPr>
          <w:p w14:paraId="60BBA24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滤筒除尘</w:t>
            </w:r>
          </w:p>
        </w:tc>
        <w:tc>
          <w:tcPr>
            <w:tcW w:w="1509" w:type="dxa"/>
            <w:vAlign w:val="center"/>
          </w:tcPr>
          <w:p w14:paraId="27879B7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滤筒除尘灰</w:t>
            </w:r>
          </w:p>
        </w:tc>
        <w:tc>
          <w:tcPr>
            <w:tcW w:w="1110" w:type="dxa"/>
            <w:vAlign w:val="center"/>
          </w:tcPr>
          <w:p w14:paraId="0E7D1B2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224.064</w:t>
            </w:r>
          </w:p>
        </w:tc>
        <w:tc>
          <w:tcPr>
            <w:tcW w:w="1218" w:type="dxa"/>
            <w:vAlign w:val="center"/>
          </w:tcPr>
          <w:p w14:paraId="1DFDC4B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1FC48A1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铁粉</w:t>
            </w:r>
          </w:p>
        </w:tc>
        <w:tc>
          <w:tcPr>
            <w:tcW w:w="1218" w:type="dxa"/>
            <w:vMerge w:val="continue"/>
            <w:vAlign w:val="center"/>
          </w:tcPr>
          <w:p w14:paraId="001F37C2">
            <w:pPr>
              <w:jc w:val="center"/>
              <w:rPr>
                <w:rFonts w:ascii="Times New Roman" w:hAnsi="Times New Roman" w:eastAsia="宋体" w:cs="Times New Roman"/>
                <w:color w:val="auto"/>
                <w:szCs w:val="21"/>
                <w:u w:val="single" w:color="auto"/>
              </w:rPr>
            </w:pPr>
          </w:p>
        </w:tc>
      </w:tr>
      <w:tr w14:paraId="19749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continue"/>
            <w:vAlign w:val="center"/>
          </w:tcPr>
          <w:p w14:paraId="4A2AA851">
            <w:pPr>
              <w:jc w:val="center"/>
              <w:rPr>
                <w:rFonts w:ascii="Times New Roman" w:hAnsi="Times New Roman" w:eastAsia="宋体" w:cs="Times New Roman"/>
                <w:color w:val="auto"/>
                <w:szCs w:val="21"/>
                <w:u w:val="single" w:color="auto"/>
              </w:rPr>
            </w:pPr>
          </w:p>
        </w:tc>
        <w:tc>
          <w:tcPr>
            <w:tcW w:w="1478" w:type="dxa"/>
            <w:vAlign w:val="center"/>
          </w:tcPr>
          <w:p w14:paraId="7CD7057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焊接</w:t>
            </w:r>
          </w:p>
        </w:tc>
        <w:tc>
          <w:tcPr>
            <w:tcW w:w="1509" w:type="dxa"/>
            <w:vAlign w:val="center"/>
          </w:tcPr>
          <w:p w14:paraId="741D0CA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废焊条焊渣</w:t>
            </w:r>
          </w:p>
        </w:tc>
        <w:tc>
          <w:tcPr>
            <w:tcW w:w="1110" w:type="dxa"/>
            <w:vAlign w:val="center"/>
          </w:tcPr>
          <w:p w14:paraId="2709339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35.35</w:t>
            </w:r>
          </w:p>
        </w:tc>
        <w:tc>
          <w:tcPr>
            <w:tcW w:w="1218" w:type="dxa"/>
            <w:vAlign w:val="center"/>
          </w:tcPr>
          <w:p w14:paraId="5C854A9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46630A9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焊条焊渣</w:t>
            </w:r>
          </w:p>
        </w:tc>
        <w:tc>
          <w:tcPr>
            <w:tcW w:w="1218" w:type="dxa"/>
            <w:vMerge w:val="continue"/>
            <w:vAlign w:val="center"/>
          </w:tcPr>
          <w:p w14:paraId="3DFFF174">
            <w:pPr>
              <w:jc w:val="center"/>
              <w:rPr>
                <w:rFonts w:ascii="Times New Roman" w:hAnsi="Times New Roman" w:eastAsia="宋体" w:cs="Times New Roman"/>
                <w:color w:val="auto"/>
                <w:szCs w:val="21"/>
                <w:u w:val="single" w:color="auto"/>
              </w:rPr>
            </w:pPr>
          </w:p>
        </w:tc>
      </w:tr>
      <w:tr w14:paraId="38471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771" w:type="dxa"/>
            <w:vMerge w:val="continue"/>
            <w:vAlign w:val="center"/>
          </w:tcPr>
          <w:p w14:paraId="66FAE5AC">
            <w:pPr>
              <w:jc w:val="center"/>
              <w:rPr>
                <w:rFonts w:ascii="Times New Roman" w:hAnsi="Times New Roman" w:eastAsia="宋体" w:cs="Times New Roman"/>
                <w:color w:val="auto"/>
                <w:szCs w:val="21"/>
                <w:u w:val="single" w:color="auto"/>
              </w:rPr>
            </w:pPr>
          </w:p>
        </w:tc>
        <w:tc>
          <w:tcPr>
            <w:tcW w:w="1478" w:type="dxa"/>
            <w:vAlign w:val="center"/>
          </w:tcPr>
          <w:p w14:paraId="7D45366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抛丸、喷砂</w:t>
            </w:r>
          </w:p>
        </w:tc>
        <w:tc>
          <w:tcPr>
            <w:tcW w:w="1509" w:type="dxa"/>
            <w:vAlign w:val="center"/>
          </w:tcPr>
          <w:p w14:paraId="38A0EBD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废钢丸</w:t>
            </w:r>
          </w:p>
        </w:tc>
        <w:tc>
          <w:tcPr>
            <w:tcW w:w="1110" w:type="dxa"/>
            <w:vAlign w:val="center"/>
          </w:tcPr>
          <w:p w14:paraId="26FC733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500</w:t>
            </w:r>
          </w:p>
        </w:tc>
        <w:tc>
          <w:tcPr>
            <w:tcW w:w="1218" w:type="dxa"/>
            <w:vAlign w:val="center"/>
          </w:tcPr>
          <w:p w14:paraId="2110200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158BAC5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钢材</w:t>
            </w:r>
          </w:p>
        </w:tc>
        <w:tc>
          <w:tcPr>
            <w:tcW w:w="1218" w:type="dxa"/>
            <w:vMerge w:val="continue"/>
            <w:vAlign w:val="center"/>
          </w:tcPr>
          <w:p w14:paraId="231F734D">
            <w:pPr>
              <w:jc w:val="center"/>
              <w:rPr>
                <w:rFonts w:ascii="Times New Roman" w:hAnsi="Times New Roman" w:eastAsia="宋体" w:cs="Times New Roman"/>
                <w:color w:val="auto"/>
                <w:szCs w:val="21"/>
                <w:u w:val="single" w:color="auto"/>
              </w:rPr>
            </w:pPr>
          </w:p>
        </w:tc>
      </w:tr>
      <w:tr w14:paraId="02C98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771" w:type="dxa"/>
            <w:vMerge w:val="continue"/>
            <w:vAlign w:val="center"/>
          </w:tcPr>
          <w:p w14:paraId="0F2BB9D2">
            <w:pPr>
              <w:jc w:val="center"/>
              <w:rPr>
                <w:rFonts w:ascii="Times New Roman" w:hAnsi="Times New Roman" w:eastAsia="宋体" w:cs="Times New Roman"/>
                <w:color w:val="auto"/>
                <w:szCs w:val="21"/>
                <w:u w:val="single" w:color="auto"/>
              </w:rPr>
            </w:pPr>
          </w:p>
        </w:tc>
        <w:tc>
          <w:tcPr>
            <w:tcW w:w="1478" w:type="dxa"/>
            <w:vAlign w:val="center"/>
          </w:tcPr>
          <w:p w14:paraId="09EBF3A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车间沉降</w:t>
            </w:r>
          </w:p>
        </w:tc>
        <w:tc>
          <w:tcPr>
            <w:tcW w:w="1509" w:type="dxa"/>
            <w:vAlign w:val="center"/>
          </w:tcPr>
          <w:p w14:paraId="158029B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沉降粉尘</w:t>
            </w:r>
          </w:p>
        </w:tc>
        <w:tc>
          <w:tcPr>
            <w:tcW w:w="1110" w:type="dxa"/>
            <w:vAlign w:val="center"/>
          </w:tcPr>
          <w:p w14:paraId="6C4541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176.426</w:t>
            </w:r>
          </w:p>
        </w:tc>
        <w:tc>
          <w:tcPr>
            <w:tcW w:w="1218" w:type="dxa"/>
            <w:vAlign w:val="center"/>
          </w:tcPr>
          <w:p w14:paraId="19598F2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6321DE5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铁粉</w:t>
            </w:r>
          </w:p>
        </w:tc>
        <w:tc>
          <w:tcPr>
            <w:tcW w:w="1218" w:type="dxa"/>
            <w:vMerge w:val="continue"/>
            <w:vAlign w:val="center"/>
          </w:tcPr>
          <w:p w14:paraId="6F0C0861">
            <w:pPr>
              <w:jc w:val="center"/>
              <w:rPr>
                <w:rFonts w:ascii="Times New Roman" w:hAnsi="Times New Roman" w:eastAsia="宋体" w:cs="Times New Roman"/>
                <w:color w:val="auto"/>
                <w:szCs w:val="21"/>
                <w:u w:val="single" w:color="auto"/>
              </w:rPr>
            </w:pPr>
          </w:p>
        </w:tc>
      </w:tr>
      <w:tr w14:paraId="28A83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1" w:type="dxa"/>
            <w:vMerge w:val="continue"/>
            <w:vAlign w:val="center"/>
          </w:tcPr>
          <w:p w14:paraId="1B5138AD">
            <w:pPr>
              <w:jc w:val="center"/>
              <w:rPr>
                <w:rFonts w:ascii="Times New Roman" w:hAnsi="Times New Roman" w:eastAsia="宋体" w:cs="Times New Roman"/>
                <w:color w:val="auto"/>
                <w:szCs w:val="21"/>
                <w:u w:val="single" w:color="auto"/>
              </w:rPr>
            </w:pPr>
          </w:p>
        </w:tc>
        <w:tc>
          <w:tcPr>
            <w:tcW w:w="2987" w:type="dxa"/>
            <w:gridSpan w:val="2"/>
            <w:vAlign w:val="center"/>
          </w:tcPr>
          <w:p w14:paraId="580D04D0">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小计</w:t>
            </w:r>
          </w:p>
        </w:tc>
        <w:tc>
          <w:tcPr>
            <w:tcW w:w="1110" w:type="dxa"/>
            <w:vAlign w:val="center"/>
          </w:tcPr>
          <w:p w14:paraId="5642C081">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2306.242</w:t>
            </w:r>
          </w:p>
        </w:tc>
        <w:tc>
          <w:tcPr>
            <w:tcW w:w="1218" w:type="dxa"/>
            <w:vAlign w:val="center"/>
          </w:tcPr>
          <w:p w14:paraId="5324383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289E71B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77DC9DB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r>
      <w:tr w14:paraId="3C997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restart"/>
            <w:vAlign w:val="center"/>
          </w:tcPr>
          <w:p w14:paraId="47BD1CE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危险废物</w:t>
            </w:r>
          </w:p>
        </w:tc>
        <w:tc>
          <w:tcPr>
            <w:tcW w:w="1478" w:type="dxa"/>
            <w:vAlign w:val="center"/>
          </w:tcPr>
          <w:p w14:paraId="6A3805C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废气处理</w:t>
            </w:r>
          </w:p>
        </w:tc>
        <w:tc>
          <w:tcPr>
            <w:tcW w:w="1509" w:type="dxa"/>
            <w:vAlign w:val="center"/>
          </w:tcPr>
          <w:p w14:paraId="7E25EC5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废过滤棉</w:t>
            </w:r>
          </w:p>
        </w:tc>
        <w:tc>
          <w:tcPr>
            <w:tcW w:w="1110" w:type="dxa"/>
            <w:vAlign w:val="center"/>
          </w:tcPr>
          <w:p w14:paraId="5D20BC74">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58.496</w:t>
            </w:r>
          </w:p>
        </w:tc>
        <w:tc>
          <w:tcPr>
            <w:tcW w:w="1218" w:type="dxa"/>
            <w:vAlign w:val="center"/>
          </w:tcPr>
          <w:p w14:paraId="0999185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67F6E42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1B5E0C6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restart"/>
            <w:vAlign w:val="center"/>
          </w:tcPr>
          <w:p w14:paraId="7B979C6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交有资质单位处置</w:t>
            </w:r>
          </w:p>
        </w:tc>
      </w:tr>
      <w:tr w14:paraId="6BDFA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continue"/>
            <w:vAlign w:val="center"/>
          </w:tcPr>
          <w:p w14:paraId="0C69656E">
            <w:pPr>
              <w:jc w:val="center"/>
              <w:rPr>
                <w:rFonts w:ascii="Times New Roman" w:hAnsi="Times New Roman" w:eastAsia="宋体" w:cs="Times New Roman"/>
                <w:color w:val="auto"/>
                <w:szCs w:val="21"/>
                <w:u w:val="single" w:color="auto"/>
              </w:rPr>
            </w:pPr>
          </w:p>
        </w:tc>
        <w:tc>
          <w:tcPr>
            <w:tcW w:w="1478" w:type="dxa"/>
            <w:vAlign w:val="center"/>
          </w:tcPr>
          <w:p w14:paraId="2BFB4C0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废气处理</w:t>
            </w:r>
          </w:p>
        </w:tc>
        <w:tc>
          <w:tcPr>
            <w:tcW w:w="1509" w:type="dxa"/>
            <w:vAlign w:val="center"/>
          </w:tcPr>
          <w:p w14:paraId="1ABB54F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废活性炭</w:t>
            </w:r>
          </w:p>
        </w:tc>
        <w:tc>
          <w:tcPr>
            <w:tcW w:w="1110" w:type="dxa"/>
            <w:vAlign w:val="center"/>
          </w:tcPr>
          <w:p w14:paraId="19A4B6A2">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lang w:val="en-US" w:eastAsia="zh-CN" w:bidi="ar"/>
              </w:rPr>
              <w:t>2.778</w:t>
            </w:r>
          </w:p>
        </w:tc>
        <w:tc>
          <w:tcPr>
            <w:tcW w:w="1218" w:type="dxa"/>
            <w:vAlign w:val="center"/>
          </w:tcPr>
          <w:p w14:paraId="4B005C7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2C6FE36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005AE43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2137C62E">
            <w:pPr>
              <w:jc w:val="center"/>
              <w:rPr>
                <w:rFonts w:ascii="Times New Roman" w:hAnsi="Times New Roman" w:eastAsia="宋体" w:cs="Times New Roman"/>
                <w:color w:val="auto"/>
                <w:szCs w:val="21"/>
                <w:u w:val="single" w:color="auto"/>
              </w:rPr>
            </w:pPr>
          </w:p>
        </w:tc>
      </w:tr>
      <w:tr w14:paraId="1F268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dxa"/>
            <w:vMerge w:val="continue"/>
            <w:vAlign w:val="center"/>
          </w:tcPr>
          <w:p w14:paraId="5BF31F9F">
            <w:pPr>
              <w:jc w:val="center"/>
              <w:rPr>
                <w:rFonts w:ascii="Times New Roman" w:hAnsi="Times New Roman" w:eastAsia="宋体" w:cs="Times New Roman"/>
                <w:color w:val="auto"/>
                <w:szCs w:val="21"/>
                <w:u w:val="single" w:color="auto"/>
              </w:rPr>
            </w:pPr>
          </w:p>
        </w:tc>
        <w:tc>
          <w:tcPr>
            <w:tcW w:w="1478" w:type="dxa"/>
            <w:vAlign w:val="center"/>
          </w:tcPr>
          <w:p w14:paraId="0FB6843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废气处理</w:t>
            </w:r>
          </w:p>
        </w:tc>
        <w:tc>
          <w:tcPr>
            <w:tcW w:w="1509" w:type="dxa"/>
            <w:vAlign w:val="center"/>
          </w:tcPr>
          <w:p w14:paraId="1CC3E3D3">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废催化剂</w:t>
            </w:r>
          </w:p>
        </w:tc>
        <w:tc>
          <w:tcPr>
            <w:tcW w:w="1110" w:type="dxa"/>
            <w:vAlign w:val="center"/>
          </w:tcPr>
          <w:p w14:paraId="023C527D">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0.1</w:t>
            </w:r>
          </w:p>
        </w:tc>
        <w:tc>
          <w:tcPr>
            <w:tcW w:w="1218" w:type="dxa"/>
            <w:vAlign w:val="center"/>
          </w:tcPr>
          <w:p w14:paraId="2D6DA6F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7206B15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06C0D38C">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6F3C3431">
            <w:pPr>
              <w:jc w:val="center"/>
              <w:rPr>
                <w:rFonts w:ascii="Times New Roman" w:hAnsi="Times New Roman" w:eastAsia="宋体" w:cs="Times New Roman"/>
                <w:color w:val="auto"/>
                <w:szCs w:val="21"/>
                <w:u w:val="single" w:color="auto"/>
              </w:rPr>
            </w:pPr>
          </w:p>
        </w:tc>
      </w:tr>
      <w:tr w14:paraId="454DD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71" w:type="dxa"/>
            <w:vMerge w:val="continue"/>
            <w:vAlign w:val="center"/>
          </w:tcPr>
          <w:p w14:paraId="7EBEB427">
            <w:pPr>
              <w:jc w:val="center"/>
              <w:rPr>
                <w:rFonts w:ascii="Times New Roman" w:hAnsi="Times New Roman" w:eastAsia="宋体" w:cs="Times New Roman"/>
                <w:color w:val="auto"/>
                <w:szCs w:val="21"/>
                <w:u w:val="single" w:color="auto"/>
              </w:rPr>
            </w:pPr>
          </w:p>
        </w:tc>
        <w:tc>
          <w:tcPr>
            <w:tcW w:w="1478" w:type="dxa"/>
            <w:vMerge w:val="restart"/>
            <w:vAlign w:val="center"/>
          </w:tcPr>
          <w:p w14:paraId="35EF587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调漆</w:t>
            </w:r>
          </w:p>
        </w:tc>
        <w:tc>
          <w:tcPr>
            <w:tcW w:w="1509" w:type="dxa"/>
            <w:vAlign w:val="center"/>
          </w:tcPr>
          <w:p w14:paraId="22B8720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废油漆桶</w:t>
            </w:r>
          </w:p>
        </w:tc>
        <w:tc>
          <w:tcPr>
            <w:tcW w:w="1110" w:type="dxa"/>
            <w:vAlign w:val="center"/>
          </w:tcPr>
          <w:p w14:paraId="2A6B43E7">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10.28</w:t>
            </w:r>
          </w:p>
        </w:tc>
        <w:tc>
          <w:tcPr>
            <w:tcW w:w="1218" w:type="dxa"/>
            <w:vAlign w:val="center"/>
          </w:tcPr>
          <w:p w14:paraId="775A4F1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242BE63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17A934F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185FEB6F">
            <w:pPr>
              <w:jc w:val="center"/>
              <w:rPr>
                <w:rFonts w:ascii="Times New Roman" w:hAnsi="Times New Roman" w:eastAsia="宋体" w:cs="Times New Roman"/>
                <w:color w:val="auto"/>
                <w:szCs w:val="21"/>
                <w:u w:val="single" w:color="auto"/>
              </w:rPr>
            </w:pPr>
          </w:p>
        </w:tc>
      </w:tr>
      <w:tr w14:paraId="3132D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71" w:type="dxa"/>
            <w:vMerge w:val="continue"/>
            <w:vAlign w:val="center"/>
          </w:tcPr>
          <w:p w14:paraId="0BA06D13">
            <w:pPr>
              <w:jc w:val="center"/>
              <w:rPr>
                <w:color w:val="auto"/>
                <w:u w:val="single" w:color="auto"/>
              </w:rPr>
            </w:pPr>
          </w:p>
        </w:tc>
        <w:tc>
          <w:tcPr>
            <w:tcW w:w="1478" w:type="dxa"/>
            <w:vMerge w:val="continue"/>
            <w:vAlign w:val="center"/>
          </w:tcPr>
          <w:p w14:paraId="5995FCF3">
            <w:pPr>
              <w:jc w:val="center"/>
              <w:rPr>
                <w:color w:val="auto"/>
                <w:u w:val="single" w:color="auto"/>
              </w:rPr>
            </w:pPr>
          </w:p>
        </w:tc>
        <w:tc>
          <w:tcPr>
            <w:tcW w:w="1509" w:type="dxa"/>
            <w:vAlign w:val="center"/>
          </w:tcPr>
          <w:p w14:paraId="29D0AF7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固化剂</w:t>
            </w:r>
            <w:r>
              <w:rPr>
                <w:rFonts w:ascii="Times New Roman" w:hAnsi="Times New Roman" w:eastAsia="宋体" w:cs="Times New Roman"/>
                <w:color w:val="auto"/>
                <w:szCs w:val="21"/>
                <w:u w:val="single" w:color="auto"/>
              </w:rPr>
              <w:t>桶</w:t>
            </w:r>
          </w:p>
        </w:tc>
        <w:tc>
          <w:tcPr>
            <w:tcW w:w="1110" w:type="dxa"/>
            <w:vAlign w:val="center"/>
          </w:tcPr>
          <w:p w14:paraId="4916F8A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0.82</w:t>
            </w:r>
          </w:p>
        </w:tc>
        <w:tc>
          <w:tcPr>
            <w:tcW w:w="1218" w:type="dxa"/>
            <w:vAlign w:val="center"/>
          </w:tcPr>
          <w:p w14:paraId="2690672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788311C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01456E8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19D1ABA9">
            <w:pPr>
              <w:jc w:val="center"/>
              <w:rPr>
                <w:rFonts w:ascii="Times New Roman" w:hAnsi="Times New Roman" w:eastAsia="宋体" w:cs="Times New Roman"/>
                <w:color w:val="auto"/>
                <w:szCs w:val="21"/>
                <w:u w:val="single" w:color="auto"/>
              </w:rPr>
            </w:pPr>
          </w:p>
        </w:tc>
      </w:tr>
      <w:tr w14:paraId="0AFBF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71" w:type="dxa"/>
            <w:vMerge w:val="continue"/>
            <w:vAlign w:val="center"/>
          </w:tcPr>
          <w:p w14:paraId="414CEF57">
            <w:pPr>
              <w:jc w:val="center"/>
              <w:rPr>
                <w:rFonts w:ascii="Times New Roman" w:hAnsi="Times New Roman" w:eastAsia="宋体" w:cs="Times New Roman"/>
                <w:color w:val="auto"/>
                <w:szCs w:val="21"/>
                <w:u w:val="single" w:color="auto"/>
              </w:rPr>
            </w:pPr>
          </w:p>
        </w:tc>
        <w:tc>
          <w:tcPr>
            <w:tcW w:w="1478" w:type="dxa"/>
            <w:vMerge w:val="continue"/>
            <w:vAlign w:val="center"/>
          </w:tcPr>
          <w:p w14:paraId="5F0DB645">
            <w:pPr>
              <w:jc w:val="center"/>
              <w:rPr>
                <w:rFonts w:ascii="Times New Roman" w:hAnsi="Times New Roman" w:eastAsia="宋体" w:cs="Times New Roman"/>
                <w:color w:val="auto"/>
                <w:szCs w:val="21"/>
                <w:u w:val="single" w:color="auto"/>
              </w:rPr>
            </w:pPr>
          </w:p>
        </w:tc>
        <w:tc>
          <w:tcPr>
            <w:tcW w:w="1509" w:type="dxa"/>
            <w:vAlign w:val="center"/>
          </w:tcPr>
          <w:p w14:paraId="728865C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稀释剂</w:t>
            </w:r>
            <w:r>
              <w:rPr>
                <w:rFonts w:ascii="Times New Roman" w:hAnsi="Times New Roman" w:eastAsia="宋体" w:cs="Times New Roman"/>
                <w:color w:val="auto"/>
                <w:szCs w:val="21"/>
                <w:u w:val="single" w:color="auto"/>
              </w:rPr>
              <w:t>桶</w:t>
            </w:r>
          </w:p>
        </w:tc>
        <w:tc>
          <w:tcPr>
            <w:tcW w:w="1110" w:type="dxa"/>
            <w:vAlign w:val="center"/>
          </w:tcPr>
          <w:p w14:paraId="6F4900F8">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0.824</w:t>
            </w:r>
          </w:p>
        </w:tc>
        <w:tc>
          <w:tcPr>
            <w:tcW w:w="1218" w:type="dxa"/>
            <w:vAlign w:val="center"/>
          </w:tcPr>
          <w:p w14:paraId="446E639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6D46410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10538E0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3292E88A">
            <w:pPr>
              <w:jc w:val="center"/>
              <w:rPr>
                <w:rFonts w:ascii="Times New Roman" w:hAnsi="Times New Roman" w:eastAsia="宋体" w:cs="Times New Roman"/>
                <w:color w:val="auto"/>
                <w:szCs w:val="21"/>
                <w:u w:val="single" w:color="auto"/>
              </w:rPr>
            </w:pPr>
          </w:p>
        </w:tc>
      </w:tr>
      <w:tr w14:paraId="4E78B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771" w:type="dxa"/>
            <w:vMerge w:val="continue"/>
            <w:vAlign w:val="center"/>
          </w:tcPr>
          <w:p w14:paraId="30B45DA0">
            <w:pPr>
              <w:jc w:val="center"/>
              <w:rPr>
                <w:rFonts w:ascii="Times New Roman" w:hAnsi="Times New Roman" w:eastAsia="宋体" w:cs="Times New Roman"/>
                <w:color w:val="auto"/>
                <w:szCs w:val="21"/>
                <w:u w:val="single" w:color="auto"/>
              </w:rPr>
            </w:pPr>
          </w:p>
        </w:tc>
        <w:tc>
          <w:tcPr>
            <w:tcW w:w="1478" w:type="dxa"/>
            <w:vAlign w:val="center"/>
          </w:tcPr>
          <w:p w14:paraId="06FDF51E">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原料包装</w:t>
            </w:r>
          </w:p>
        </w:tc>
        <w:tc>
          <w:tcPr>
            <w:tcW w:w="1509" w:type="dxa"/>
            <w:vAlign w:val="center"/>
          </w:tcPr>
          <w:p w14:paraId="641CC27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w:t>
            </w:r>
            <w:r>
              <w:rPr>
                <w:rFonts w:hint="eastAsia" w:ascii="Times New Roman" w:hAnsi="Times New Roman" w:eastAsia="宋体" w:cs="Times New Roman"/>
                <w:color w:val="auto"/>
                <w:szCs w:val="21"/>
                <w:u w:val="single" w:color="auto"/>
              </w:rPr>
              <w:t>润滑油</w:t>
            </w:r>
            <w:r>
              <w:rPr>
                <w:rFonts w:ascii="Times New Roman" w:hAnsi="Times New Roman" w:eastAsia="宋体" w:cs="Times New Roman"/>
                <w:color w:val="auto"/>
                <w:szCs w:val="21"/>
                <w:u w:val="single" w:color="auto"/>
              </w:rPr>
              <w:t>桶</w:t>
            </w:r>
          </w:p>
        </w:tc>
        <w:tc>
          <w:tcPr>
            <w:tcW w:w="1110" w:type="dxa"/>
            <w:vAlign w:val="center"/>
          </w:tcPr>
          <w:p w14:paraId="241D2F0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0.1</w:t>
            </w:r>
          </w:p>
        </w:tc>
        <w:tc>
          <w:tcPr>
            <w:tcW w:w="1218" w:type="dxa"/>
            <w:vAlign w:val="center"/>
          </w:tcPr>
          <w:p w14:paraId="272F998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1573EB1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7304C9AD">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w:t>
            </w:r>
          </w:p>
        </w:tc>
        <w:tc>
          <w:tcPr>
            <w:tcW w:w="1218" w:type="dxa"/>
            <w:vMerge w:val="continue"/>
            <w:vAlign w:val="center"/>
          </w:tcPr>
          <w:p w14:paraId="325B40FE">
            <w:pPr>
              <w:jc w:val="center"/>
              <w:rPr>
                <w:rFonts w:ascii="Times New Roman" w:hAnsi="Times New Roman" w:eastAsia="宋体" w:cs="Times New Roman"/>
                <w:color w:val="auto"/>
                <w:szCs w:val="21"/>
                <w:u w:val="single" w:color="auto"/>
              </w:rPr>
            </w:pPr>
          </w:p>
        </w:tc>
      </w:tr>
      <w:tr w14:paraId="2A411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771" w:type="dxa"/>
            <w:vMerge w:val="continue"/>
            <w:vAlign w:val="center"/>
          </w:tcPr>
          <w:p w14:paraId="6CEE991E">
            <w:pPr>
              <w:jc w:val="center"/>
              <w:rPr>
                <w:rFonts w:ascii="Times New Roman" w:hAnsi="Times New Roman" w:eastAsia="宋体" w:cs="Times New Roman"/>
                <w:color w:val="auto"/>
                <w:u w:val="single" w:color="auto"/>
              </w:rPr>
            </w:pPr>
          </w:p>
        </w:tc>
        <w:tc>
          <w:tcPr>
            <w:tcW w:w="1478" w:type="dxa"/>
            <w:vAlign w:val="center"/>
          </w:tcPr>
          <w:p w14:paraId="7D9EB8D2">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设备维修</w:t>
            </w:r>
          </w:p>
        </w:tc>
        <w:tc>
          <w:tcPr>
            <w:tcW w:w="1509" w:type="dxa"/>
            <w:vAlign w:val="center"/>
          </w:tcPr>
          <w:p w14:paraId="7F10B02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废润滑油</w:t>
            </w:r>
          </w:p>
        </w:tc>
        <w:tc>
          <w:tcPr>
            <w:tcW w:w="1110" w:type="dxa"/>
            <w:vAlign w:val="center"/>
          </w:tcPr>
          <w:p w14:paraId="1BDEF83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0.04</w:t>
            </w:r>
          </w:p>
        </w:tc>
        <w:tc>
          <w:tcPr>
            <w:tcW w:w="1218" w:type="dxa"/>
            <w:vAlign w:val="center"/>
          </w:tcPr>
          <w:p w14:paraId="1A78EC36">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HW08</w:t>
            </w:r>
          </w:p>
          <w:p w14:paraId="5F60DA4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900-214-08</w:t>
            </w:r>
          </w:p>
        </w:tc>
        <w:tc>
          <w:tcPr>
            <w:tcW w:w="1218" w:type="dxa"/>
            <w:vAlign w:val="center"/>
          </w:tcPr>
          <w:p w14:paraId="780504C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1218" w:type="dxa"/>
            <w:vMerge w:val="continue"/>
            <w:vAlign w:val="center"/>
          </w:tcPr>
          <w:p w14:paraId="46EB5332">
            <w:pPr>
              <w:jc w:val="center"/>
              <w:rPr>
                <w:rFonts w:ascii="Times New Roman" w:hAnsi="Times New Roman" w:eastAsia="宋体" w:cs="Times New Roman"/>
                <w:color w:val="auto"/>
                <w:szCs w:val="21"/>
                <w:u w:val="single" w:color="auto"/>
              </w:rPr>
            </w:pPr>
          </w:p>
        </w:tc>
      </w:tr>
      <w:tr w14:paraId="00A55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771" w:type="dxa"/>
            <w:vMerge w:val="continue"/>
            <w:vAlign w:val="center"/>
          </w:tcPr>
          <w:p w14:paraId="25BE8A8D">
            <w:pPr>
              <w:jc w:val="center"/>
              <w:rPr>
                <w:color w:val="auto"/>
                <w:u w:val="single" w:color="auto"/>
              </w:rPr>
            </w:pPr>
          </w:p>
        </w:tc>
        <w:tc>
          <w:tcPr>
            <w:tcW w:w="1478" w:type="dxa"/>
            <w:vAlign w:val="center"/>
          </w:tcPr>
          <w:p w14:paraId="15F3306B">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喷漆</w:t>
            </w:r>
          </w:p>
        </w:tc>
        <w:tc>
          <w:tcPr>
            <w:tcW w:w="1509" w:type="dxa"/>
            <w:vAlign w:val="center"/>
          </w:tcPr>
          <w:p w14:paraId="1218FD35">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漆渣</w:t>
            </w:r>
          </w:p>
        </w:tc>
        <w:tc>
          <w:tcPr>
            <w:tcW w:w="1110" w:type="dxa"/>
            <w:vAlign w:val="center"/>
          </w:tcPr>
          <w:p w14:paraId="057167E4">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lang w:val="en-US" w:eastAsia="zh-CN" w:bidi="ar"/>
              </w:rPr>
              <w:t>5.484</w:t>
            </w:r>
          </w:p>
        </w:tc>
        <w:tc>
          <w:tcPr>
            <w:tcW w:w="1218" w:type="dxa"/>
            <w:vAlign w:val="center"/>
          </w:tcPr>
          <w:p w14:paraId="3B9EF5D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w:t>
            </w:r>
            <w:r>
              <w:rPr>
                <w:rFonts w:hint="eastAsia" w:ascii="Times New Roman" w:hAnsi="Times New Roman" w:eastAsia="宋体" w:cs="Times New Roman"/>
                <w:color w:val="auto"/>
                <w:szCs w:val="21"/>
                <w:u w:val="single" w:color="auto"/>
              </w:rPr>
              <w:t>12</w:t>
            </w:r>
          </w:p>
          <w:p w14:paraId="166FB1A1">
            <w:pPr>
              <w:jc w:val="center"/>
              <w:rPr>
                <w:color w:val="auto"/>
                <w:u w:val="single" w:color="auto"/>
              </w:rPr>
            </w:pPr>
            <w:r>
              <w:rPr>
                <w:rFonts w:ascii="Times New Roman" w:hAnsi="Times New Roman" w:eastAsia="宋体" w:cs="Times New Roman"/>
                <w:color w:val="auto"/>
                <w:szCs w:val="21"/>
                <w:u w:val="single" w:color="auto"/>
              </w:rPr>
              <w:t>900-</w:t>
            </w:r>
            <w:r>
              <w:rPr>
                <w:rFonts w:hint="eastAsia" w:ascii="Times New Roman" w:hAnsi="Times New Roman" w:eastAsia="宋体" w:cs="Times New Roman"/>
                <w:color w:val="auto"/>
                <w:szCs w:val="21"/>
                <w:u w:val="single" w:color="auto"/>
              </w:rPr>
              <w:t>252</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rPr>
              <w:t>12</w:t>
            </w:r>
          </w:p>
        </w:tc>
        <w:tc>
          <w:tcPr>
            <w:tcW w:w="1218" w:type="dxa"/>
            <w:vAlign w:val="center"/>
          </w:tcPr>
          <w:p w14:paraId="4A1E0AF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1218" w:type="dxa"/>
            <w:vMerge w:val="continue"/>
            <w:vAlign w:val="center"/>
          </w:tcPr>
          <w:p w14:paraId="16DFD59A">
            <w:pPr>
              <w:jc w:val="center"/>
              <w:rPr>
                <w:rFonts w:ascii="Times New Roman" w:hAnsi="Times New Roman" w:eastAsia="宋体" w:cs="Times New Roman"/>
                <w:color w:val="auto"/>
                <w:szCs w:val="21"/>
                <w:u w:val="single" w:color="auto"/>
              </w:rPr>
            </w:pPr>
          </w:p>
        </w:tc>
      </w:tr>
      <w:tr w14:paraId="354C5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771" w:type="dxa"/>
            <w:vMerge w:val="continue"/>
            <w:vAlign w:val="center"/>
          </w:tcPr>
          <w:p w14:paraId="741AFCD3">
            <w:pPr>
              <w:jc w:val="center"/>
              <w:rPr>
                <w:rFonts w:ascii="Times New Roman" w:hAnsi="Times New Roman" w:eastAsia="宋体" w:cs="Times New Roman"/>
                <w:color w:val="auto"/>
                <w:szCs w:val="21"/>
                <w:u w:val="single" w:color="auto"/>
              </w:rPr>
            </w:pPr>
          </w:p>
        </w:tc>
        <w:tc>
          <w:tcPr>
            <w:tcW w:w="1478" w:type="dxa"/>
            <w:vAlign w:val="center"/>
          </w:tcPr>
          <w:p w14:paraId="77C7BCC4">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设备维修</w:t>
            </w:r>
          </w:p>
        </w:tc>
        <w:tc>
          <w:tcPr>
            <w:tcW w:w="1509" w:type="dxa"/>
            <w:vAlign w:val="center"/>
          </w:tcPr>
          <w:p w14:paraId="781FD4AF">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u w:val="single" w:color="auto"/>
              </w:rPr>
              <w:t>废</w:t>
            </w:r>
            <w:r>
              <w:rPr>
                <w:rFonts w:ascii="Times New Roman" w:hAnsi="Times New Roman" w:eastAsia="宋体" w:cs="Times New Roman"/>
                <w:color w:val="auto"/>
                <w:u w:val="single" w:color="auto"/>
              </w:rPr>
              <w:t>含油抹布</w:t>
            </w:r>
          </w:p>
        </w:tc>
        <w:tc>
          <w:tcPr>
            <w:tcW w:w="1110" w:type="dxa"/>
            <w:vAlign w:val="center"/>
          </w:tcPr>
          <w:p w14:paraId="37DF2D3A">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lang w:val="en-US" w:eastAsia="zh-CN" w:bidi="ar"/>
              </w:rPr>
              <w:t>0.5</w:t>
            </w:r>
          </w:p>
        </w:tc>
        <w:tc>
          <w:tcPr>
            <w:tcW w:w="1218" w:type="dxa"/>
            <w:vAlign w:val="center"/>
          </w:tcPr>
          <w:p w14:paraId="498EA04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HW49</w:t>
            </w:r>
          </w:p>
          <w:p w14:paraId="17B0BA49">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900-041-49</w:t>
            </w:r>
          </w:p>
        </w:tc>
        <w:tc>
          <w:tcPr>
            <w:tcW w:w="1218" w:type="dxa"/>
            <w:vAlign w:val="center"/>
          </w:tcPr>
          <w:p w14:paraId="01836D0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T，I</w:t>
            </w:r>
          </w:p>
        </w:tc>
        <w:tc>
          <w:tcPr>
            <w:tcW w:w="1218" w:type="dxa"/>
            <w:vMerge w:val="continue"/>
            <w:vAlign w:val="center"/>
          </w:tcPr>
          <w:p w14:paraId="75653147">
            <w:pPr>
              <w:jc w:val="center"/>
              <w:rPr>
                <w:rFonts w:ascii="Times New Roman" w:hAnsi="Times New Roman" w:eastAsia="宋体" w:cs="Times New Roman"/>
                <w:color w:val="auto"/>
                <w:szCs w:val="21"/>
                <w:u w:val="single" w:color="auto"/>
              </w:rPr>
            </w:pPr>
          </w:p>
        </w:tc>
      </w:tr>
      <w:tr w14:paraId="4404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771" w:type="dxa"/>
            <w:vMerge w:val="continue"/>
            <w:vAlign w:val="center"/>
          </w:tcPr>
          <w:p w14:paraId="1C1180DC">
            <w:pPr>
              <w:jc w:val="center"/>
              <w:rPr>
                <w:rFonts w:ascii="Times New Roman" w:hAnsi="Times New Roman" w:eastAsia="宋体" w:cs="Times New Roman"/>
                <w:color w:val="auto"/>
                <w:szCs w:val="21"/>
                <w:u w:val="single" w:color="auto"/>
              </w:rPr>
            </w:pPr>
          </w:p>
        </w:tc>
        <w:tc>
          <w:tcPr>
            <w:tcW w:w="2987" w:type="dxa"/>
            <w:gridSpan w:val="2"/>
            <w:vAlign w:val="center"/>
          </w:tcPr>
          <w:p w14:paraId="3025A48B">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小计</w:t>
            </w:r>
          </w:p>
        </w:tc>
        <w:tc>
          <w:tcPr>
            <w:tcW w:w="1110" w:type="dxa"/>
            <w:vAlign w:val="center"/>
          </w:tcPr>
          <w:p w14:paraId="1E64BC1F">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79.422</w:t>
            </w:r>
          </w:p>
        </w:tc>
        <w:tc>
          <w:tcPr>
            <w:tcW w:w="1218" w:type="dxa"/>
            <w:vAlign w:val="center"/>
          </w:tcPr>
          <w:p w14:paraId="41B852A7">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61859C4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25933A6E">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r>
      <w:tr w14:paraId="683CD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71" w:type="dxa"/>
            <w:vAlign w:val="center"/>
          </w:tcPr>
          <w:p w14:paraId="24DC2892">
            <w:pPr>
              <w:jc w:val="center"/>
              <w:rPr>
                <w:rFonts w:ascii="Times New Roman" w:hAnsi="Times New Roman" w:eastAsia="宋体" w:cs="Times New Roman"/>
                <w:color w:val="auto"/>
                <w:u w:val="single" w:color="auto"/>
              </w:rPr>
            </w:pPr>
            <w:r>
              <w:rPr>
                <w:rFonts w:ascii="Times New Roman" w:hAnsi="Times New Roman" w:eastAsia="宋体" w:cs="Times New Roman"/>
                <w:color w:val="auto"/>
                <w:u w:val="single" w:color="auto"/>
              </w:rPr>
              <w:t>生活垃圾</w:t>
            </w:r>
          </w:p>
        </w:tc>
        <w:tc>
          <w:tcPr>
            <w:tcW w:w="2987" w:type="dxa"/>
            <w:gridSpan w:val="2"/>
            <w:vAlign w:val="center"/>
          </w:tcPr>
          <w:p w14:paraId="6CC710AC">
            <w:pPr>
              <w:jc w:val="center"/>
              <w:rPr>
                <w:rFonts w:ascii="Times New Roman" w:hAnsi="Times New Roman" w:eastAsia="宋体" w:cs="Times New Roman"/>
                <w:color w:val="auto"/>
                <w:u w:val="single" w:color="auto"/>
              </w:rPr>
            </w:pPr>
            <w:r>
              <w:rPr>
                <w:rFonts w:ascii="Times New Roman" w:hAnsi="Times New Roman" w:eastAsia="宋体" w:cs="Times New Roman"/>
                <w:color w:val="auto"/>
                <w:szCs w:val="21"/>
                <w:u w:val="single" w:color="auto"/>
              </w:rPr>
              <w:t>员工生活垃圾</w:t>
            </w:r>
          </w:p>
        </w:tc>
        <w:tc>
          <w:tcPr>
            <w:tcW w:w="1110" w:type="dxa"/>
            <w:vAlign w:val="center"/>
          </w:tcPr>
          <w:p w14:paraId="3CDB1639">
            <w:pPr>
              <w:jc w:val="center"/>
              <w:rPr>
                <w:rFonts w:ascii="Times New Roman" w:hAnsi="Times New Roman" w:eastAsia="宋体" w:cs="Times New Roman"/>
                <w:color w:val="auto"/>
                <w:u w:val="single" w:color="auto"/>
              </w:rPr>
            </w:pPr>
            <w:r>
              <w:rPr>
                <w:rFonts w:ascii="Times New Roman" w:hAnsi="Times New Roman" w:eastAsia="宋体" w:cs="Times New Roman"/>
                <w:color w:val="auto"/>
                <w:u w:val="single" w:color="auto"/>
              </w:rPr>
              <w:t>49.5</w:t>
            </w:r>
          </w:p>
        </w:tc>
        <w:tc>
          <w:tcPr>
            <w:tcW w:w="1218" w:type="dxa"/>
            <w:vAlign w:val="center"/>
          </w:tcPr>
          <w:p w14:paraId="32E1C545">
            <w:pPr>
              <w:jc w:val="center"/>
              <w:rPr>
                <w:rFonts w:ascii="Times New Roman" w:hAnsi="Times New Roman" w:eastAsia="宋体" w:cs="Times New Roman"/>
                <w:color w:val="auto"/>
                <w:u w:val="single" w:color="auto"/>
              </w:rPr>
            </w:pPr>
            <w:r>
              <w:rPr>
                <w:rFonts w:ascii="Times New Roman" w:hAnsi="Times New Roman" w:eastAsia="宋体" w:cs="Times New Roman"/>
                <w:color w:val="auto"/>
                <w:szCs w:val="21"/>
                <w:u w:val="single" w:color="auto"/>
              </w:rPr>
              <w:t>/</w:t>
            </w:r>
          </w:p>
        </w:tc>
        <w:tc>
          <w:tcPr>
            <w:tcW w:w="1218" w:type="dxa"/>
            <w:vAlign w:val="center"/>
          </w:tcPr>
          <w:p w14:paraId="7B19DA0B">
            <w:pPr>
              <w:jc w:val="center"/>
              <w:rPr>
                <w:rFonts w:ascii="Times New Roman" w:hAnsi="Times New Roman" w:eastAsia="宋体" w:cs="Times New Roman"/>
                <w:color w:val="auto"/>
                <w:u w:val="single" w:color="auto"/>
              </w:rPr>
            </w:pPr>
            <w:r>
              <w:rPr>
                <w:rFonts w:ascii="Times New Roman" w:hAnsi="Times New Roman" w:eastAsia="宋体" w:cs="Times New Roman"/>
                <w:color w:val="auto"/>
                <w:szCs w:val="21"/>
                <w:u w:val="single" w:color="auto"/>
              </w:rPr>
              <w:t>废包装、废纸</w:t>
            </w:r>
          </w:p>
        </w:tc>
        <w:tc>
          <w:tcPr>
            <w:tcW w:w="1218" w:type="dxa"/>
            <w:vAlign w:val="center"/>
          </w:tcPr>
          <w:p w14:paraId="4917DFE8">
            <w:pPr>
              <w:jc w:val="center"/>
              <w:rPr>
                <w:rFonts w:ascii="Times New Roman" w:hAnsi="Times New Roman" w:eastAsia="宋体" w:cs="Times New Roman"/>
                <w:color w:val="auto"/>
                <w:u w:val="single" w:color="auto"/>
              </w:rPr>
            </w:pPr>
            <w:r>
              <w:rPr>
                <w:rFonts w:ascii="Times New Roman" w:hAnsi="Times New Roman" w:eastAsia="宋体" w:cs="Times New Roman"/>
                <w:color w:val="auto"/>
                <w:szCs w:val="21"/>
                <w:u w:val="single" w:color="auto"/>
              </w:rPr>
              <w:t>环卫部门清运处理</w:t>
            </w:r>
          </w:p>
        </w:tc>
      </w:tr>
      <w:tr w14:paraId="2C12A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8" w:type="dxa"/>
            <w:gridSpan w:val="3"/>
            <w:vAlign w:val="center"/>
          </w:tcPr>
          <w:p w14:paraId="286DD29F">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总计</w:t>
            </w:r>
          </w:p>
        </w:tc>
        <w:tc>
          <w:tcPr>
            <w:tcW w:w="1110" w:type="dxa"/>
            <w:vAlign w:val="center"/>
          </w:tcPr>
          <w:p w14:paraId="544A2B03">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2435.164</w:t>
            </w:r>
          </w:p>
        </w:tc>
        <w:tc>
          <w:tcPr>
            <w:tcW w:w="1218" w:type="dxa"/>
            <w:vAlign w:val="center"/>
          </w:tcPr>
          <w:p w14:paraId="6C318235">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4478E3BA">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218" w:type="dxa"/>
            <w:vAlign w:val="center"/>
          </w:tcPr>
          <w:p w14:paraId="1B6738A1">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r>
    </w:tbl>
    <w:p w14:paraId="56317A6F">
      <w:pPr>
        <w:spacing w:line="360" w:lineRule="auto"/>
        <w:ind w:firstLine="480" w:firstLineChars="200"/>
        <w:rPr>
          <w:rFonts w:ascii="Times New Roman" w:hAnsi="Times New Roman" w:eastAsia="宋体" w:cs="Times New Roman"/>
          <w:color w:val="auto"/>
          <w:kern w:val="0"/>
          <w:sz w:val="24"/>
          <w:u w:val="none" w:color="auto"/>
        </w:rPr>
      </w:pPr>
      <w:r>
        <w:rPr>
          <w:rFonts w:ascii="Times New Roman" w:hAnsi="Times New Roman" w:eastAsia="宋体" w:cs="Times New Roman"/>
          <w:color w:val="auto"/>
          <w:kern w:val="0"/>
          <w:sz w:val="24"/>
          <w:u w:val="none" w:color="auto"/>
        </w:rPr>
        <w:t>（2）</w:t>
      </w:r>
      <w:r>
        <w:rPr>
          <w:rFonts w:hint="eastAsia" w:ascii="Times New Roman" w:hAnsi="Times New Roman" w:eastAsia="宋体" w:cs="Times New Roman"/>
          <w:color w:val="auto"/>
          <w:kern w:val="0"/>
          <w:sz w:val="24"/>
          <w:u w:val="none" w:color="auto"/>
        </w:rPr>
        <w:t>固体废物</w:t>
      </w:r>
      <w:r>
        <w:rPr>
          <w:rFonts w:ascii="Times New Roman" w:hAnsi="Times New Roman" w:eastAsia="宋体" w:cs="Times New Roman"/>
          <w:color w:val="auto"/>
          <w:kern w:val="0"/>
          <w:sz w:val="24"/>
          <w:u w:val="none" w:color="auto"/>
        </w:rPr>
        <w:t>对环境影响分析</w:t>
      </w:r>
    </w:p>
    <w:p w14:paraId="47C60A22">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项目</w:t>
      </w:r>
      <w:r>
        <w:rPr>
          <w:rFonts w:hint="eastAsia" w:ascii="Times New Roman" w:hAnsi="Times New Roman" w:eastAsia="宋体" w:cs="Times New Roman"/>
          <w:color w:val="auto"/>
          <w:kern w:val="0"/>
          <w:sz w:val="24"/>
          <w:u w:val="none" w:color="auto"/>
        </w:rPr>
        <w:t>固体废物</w:t>
      </w:r>
      <w:r>
        <w:rPr>
          <w:rFonts w:hint="eastAsia" w:ascii="Times New Roman" w:hAnsi="Times New Roman" w:eastAsia="宋体" w:cs="Times New Roman"/>
          <w:color w:val="auto"/>
          <w:sz w:val="24"/>
          <w:u w:val="none" w:color="auto"/>
        </w:rPr>
        <w:t>分为</w:t>
      </w:r>
      <w:r>
        <w:rPr>
          <w:rFonts w:hint="eastAsia" w:ascii="Times New Roman" w:hAnsi="Times New Roman" w:eastAsia="宋体" w:cs="Times New Roman"/>
          <w:color w:val="auto"/>
          <w:sz w:val="24"/>
          <w:szCs w:val="24"/>
          <w:u w:val="none" w:color="auto"/>
        </w:rPr>
        <w:t>一般固体废物</w:t>
      </w:r>
      <w:r>
        <w:rPr>
          <w:rFonts w:hint="eastAsia" w:ascii="Times New Roman" w:hAnsi="Times New Roman" w:eastAsia="宋体" w:cs="Times New Roman"/>
          <w:color w:val="auto"/>
          <w:sz w:val="24"/>
          <w:u w:val="none" w:color="auto"/>
        </w:rPr>
        <w:t>、生活垃圾和危险废物，</w:t>
      </w:r>
      <w:r>
        <w:rPr>
          <w:rFonts w:hint="eastAsia" w:ascii="Times New Roman" w:hAnsi="Times New Roman" w:eastAsia="宋体" w:cs="Times New Roman"/>
          <w:color w:val="auto"/>
          <w:sz w:val="24"/>
          <w:szCs w:val="24"/>
          <w:u w:val="none" w:color="auto"/>
        </w:rPr>
        <w:t>一般固体废物均</w:t>
      </w:r>
      <w:r>
        <w:rPr>
          <w:rFonts w:hint="eastAsia" w:ascii="Times New Roman" w:hAnsi="Times New Roman" w:eastAsia="宋体" w:cs="Times New Roman"/>
          <w:color w:val="auto"/>
          <w:sz w:val="24"/>
          <w:u w:val="none" w:color="auto"/>
        </w:rPr>
        <w:t>外售综合利用，生活垃圾集中收集后由市政部门统一清运处理，对外环境基本无影响，项目应重点防控危险废物对环境的影响。</w:t>
      </w:r>
    </w:p>
    <w:p w14:paraId="380783A3">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①</w:t>
      </w:r>
      <w:r>
        <w:rPr>
          <w:rFonts w:hint="eastAsia" w:ascii="Times New Roman" w:hAnsi="Times New Roman" w:eastAsia="宋体" w:cs="Times New Roman"/>
          <w:color w:val="auto"/>
          <w:sz w:val="24"/>
          <w:szCs w:val="24"/>
          <w:u w:val="none" w:color="auto"/>
        </w:rPr>
        <w:t>一般固体废物环境影响分析</w:t>
      </w:r>
    </w:p>
    <w:p w14:paraId="6BD37A18">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项目产生</w:t>
      </w:r>
      <w:r>
        <w:rPr>
          <w:rFonts w:ascii="Times New Roman" w:hAnsi="Times New Roman" w:eastAsia="宋体" w:cs="Times New Roman"/>
          <w:color w:val="auto"/>
          <w:sz w:val="24"/>
          <w:szCs w:val="24"/>
          <w:u w:val="none" w:color="auto"/>
        </w:rPr>
        <w:t>切割下脚料、净化器除尘灰、</w:t>
      </w:r>
      <w:r>
        <w:rPr>
          <w:rFonts w:hint="eastAsia" w:ascii="Times New Roman" w:hAnsi="Times New Roman" w:eastAsia="宋体" w:cs="Times New Roman"/>
          <w:color w:val="auto"/>
          <w:sz w:val="24"/>
          <w:szCs w:val="24"/>
          <w:u w:val="none" w:color="auto"/>
        </w:rPr>
        <w:t>滤筒除尘灰、沉降粉尘、</w:t>
      </w:r>
      <w:r>
        <w:rPr>
          <w:rFonts w:ascii="Times New Roman" w:hAnsi="Times New Roman" w:eastAsia="宋体" w:cs="Times New Roman"/>
          <w:color w:val="auto"/>
          <w:sz w:val="24"/>
          <w:szCs w:val="24"/>
          <w:u w:val="none" w:color="auto"/>
        </w:rPr>
        <w:t>废焊条焊渣、废钢丸</w:t>
      </w:r>
      <w:r>
        <w:rPr>
          <w:rFonts w:hint="eastAsia" w:ascii="Times New Roman" w:hAnsi="Times New Roman" w:eastAsia="宋体" w:cs="Times New Roman"/>
          <w:color w:val="auto"/>
          <w:sz w:val="24"/>
          <w:szCs w:val="24"/>
          <w:u w:val="none" w:color="auto"/>
        </w:rPr>
        <w:t>就近收集在</w:t>
      </w:r>
      <w:r>
        <w:rPr>
          <w:rFonts w:hint="eastAsia" w:ascii="Times New Roman" w:hAnsi="Times New Roman" w:eastAsia="宋体" w:cs="Times New Roman"/>
          <w:color w:val="auto"/>
          <w:sz w:val="24"/>
          <w:szCs w:val="24"/>
          <w:u w:val="none" w:color="auto"/>
          <w:lang w:val="en-US" w:eastAsia="zh-CN"/>
        </w:rPr>
        <w:t>装焊</w:t>
      </w:r>
      <w:r>
        <w:rPr>
          <w:rFonts w:hint="eastAsia" w:ascii="Times New Roman" w:hAnsi="Times New Roman" w:eastAsia="宋体" w:cs="Times New Roman"/>
          <w:color w:val="auto"/>
          <w:sz w:val="24"/>
          <w:szCs w:val="24"/>
          <w:u w:val="none" w:color="auto"/>
          <w:lang w:eastAsia="zh-CN"/>
        </w:rPr>
        <w:t>车间</w:t>
      </w:r>
      <w:r>
        <w:rPr>
          <w:rFonts w:hint="eastAsia" w:ascii="Times New Roman" w:hAnsi="Times New Roman" w:eastAsia="宋体" w:cs="Times New Roman"/>
          <w:color w:val="auto"/>
          <w:sz w:val="24"/>
          <w:szCs w:val="24"/>
          <w:u w:val="none" w:color="auto"/>
        </w:rPr>
        <w:t>的一般固废暂存间</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并</w:t>
      </w:r>
      <w:r>
        <w:rPr>
          <w:rFonts w:ascii="Times New Roman" w:hAnsi="Times New Roman" w:eastAsia="宋体" w:cs="Times New Roman"/>
          <w:color w:val="auto"/>
          <w:sz w:val="24"/>
          <w:szCs w:val="24"/>
          <w:u w:val="none" w:color="auto"/>
        </w:rPr>
        <w:t>定期外售</w:t>
      </w:r>
      <w:r>
        <w:rPr>
          <w:rFonts w:hint="eastAsia" w:ascii="Times New Roman" w:hAnsi="Times New Roman" w:eastAsia="宋体" w:cs="Times New Roman"/>
          <w:color w:val="auto"/>
          <w:sz w:val="24"/>
          <w:szCs w:val="24"/>
          <w:u w:val="none" w:color="auto"/>
        </w:rPr>
        <w:t>。项目拟在</w:t>
      </w:r>
      <w:r>
        <w:rPr>
          <w:rFonts w:hint="eastAsia" w:ascii="Times New Roman" w:hAnsi="Times New Roman" w:eastAsia="宋体" w:cs="Times New Roman"/>
          <w:color w:val="auto"/>
          <w:sz w:val="24"/>
          <w:szCs w:val="24"/>
          <w:u w:val="none" w:color="auto"/>
          <w:lang w:val="en-US" w:eastAsia="zh-CN"/>
        </w:rPr>
        <w:t>装焊</w:t>
      </w:r>
      <w:r>
        <w:rPr>
          <w:rFonts w:hint="eastAsia" w:ascii="Times New Roman" w:hAnsi="Times New Roman" w:eastAsia="宋体" w:cs="Times New Roman"/>
          <w:color w:val="auto"/>
          <w:sz w:val="24"/>
          <w:szCs w:val="24"/>
          <w:u w:val="none" w:color="auto"/>
          <w:lang w:eastAsia="zh-CN"/>
        </w:rPr>
        <w:t>车间</w:t>
      </w:r>
      <w:r>
        <w:rPr>
          <w:rFonts w:hint="eastAsia" w:ascii="Times New Roman" w:hAnsi="Times New Roman" w:eastAsia="宋体" w:cs="Times New Roman"/>
          <w:color w:val="auto"/>
          <w:sz w:val="24"/>
          <w:szCs w:val="24"/>
          <w:u w:val="none" w:color="auto"/>
        </w:rPr>
        <w:t>内设置1个占地</w:t>
      </w:r>
      <w:r>
        <w:rPr>
          <w:rFonts w:hint="eastAsia" w:ascii="Times New Roman" w:hAnsi="Times New Roman" w:eastAsia="宋体" w:cs="Times New Roman"/>
          <w:color w:val="auto"/>
          <w:sz w:val="24"/>
          <w:szCs w:val="24"/>
          <w:u w:val="none" w:color="auto"/>
          <w:lang w:val="en-US" w:eastAsia="zh-CN"/>
        </w:rPr>
        <w:t>100</w:t>
      </w:r>
      <w:r>
        <w:rPr>
          <w:rFonts w:hint="eastAsia" w:ascii="Times New Roman" w:hAnsi="Times New Roman" w:eastAsia="宋体" w:cs="Times New Roman"/>
          <w:color w:val="auto"/>
          <w:sz w:val="24"/>
          <w:szCs w:val="24"/>
          <w:u w:val="none" w:color="auto"/>
        </w:rPr>
        <w:t>m</w:t>
      </w:r>
      <w:r>
        <w:rPr>
          <w:rFonts w:hint="eastAsia" w:ascii="Times New Roman" w:hAnsi="Times New Roman" w:eastAsia="宋体" w:cs="Times New Roman"/>
          <w:color w:val="auto"/>
          <w:sz w:val="24"/>
          <w:szCs w:val="24"/>
          <w:u w:val="none" w:color="auto"/>
          <w:vertAlign w:val="superscript"/>
        </w:rPr>
        <w:t>2</w:t>
      </w:r>
      <w:r>
        <w:rPr>
          <w:rFonts w:hint="eastAsia" w:ascii="Times New Roman" w:hAnsi="Times New Roman" w:eastAsia="宋体" w:cs="Times New Roman"/>
          <w:color w:val="auto"/>
          <w:sz w:val="24"/>
          <w:szCs w:val="24"/>
          <w:u w:val="none" w:color="auto"/>
        </w:rPr>
        <w:t>的</w:t>
      </w:r>
      <w:r>
        <w:rPr>
          <w:rFonts w:hint="eastAsia" w:ascii="Times New Roman" w:hAnsi="Times New Roman" w:eastAsia="宋体" w:cs="Times New Roman"/>
          <w:color w:val="auto"/>
          <w:sz w:val="24"/>
          <w:u w:val="none" w:color="auto"/>
        </w:rPr>
        <w:t>一般固体废物暂存间</w:t>
      </w:r>
      <w:r>
        <w:rPr>
          <w:rFonts w:hint="eastAsia" w:ascii="Times New Roman" w:hAnsi="Times New Roman" w:eastAsia="宋体" w:cs="Times New Roman"/>
          <w:color w:val="auto"/>
          <w:sz w:val="24"/>
          <w:szCs w:val="24"/>
          <w:u w:val="none" w:color="auto"/>
        </w:rPr>
        <w:t>。项目一般</w:t>
      </w:r>
      <w:r>
        <w:rPr>
          <w:rFonts w:hint="eastAsia" w:ascii="Times New Roman" w:hAnsi="Times New Roman" w:eastAsia="宋体" w:cs="Times New Roman"/>
          <w:color w:val="auto"/>
          <w:sz w:val="24"/>
          <w:u w:val="none" w:color="auto"/>
        </w:rPr>
        <w:t>固体废物</w:t>
      </w:r>
      <w:r>
        <w:rPr>
          <w:rFonts w:hint="eastAsia" w:ascii="Times New Roman" w:hAnsi="Times New Roman" w:eastAsia="宋体" w:cs="Times New Roman"/>
          <w:color w:val="auto"/>
          <w:sz w:val="24"/>
          <w:szCs w:val="24"/>
          <w:u w:val="none" w:color="auto"/>
        </w:rPr>
        <w:t>均可外售废品回收站，正常情况下固废周转速度极快，不会造成固废在</w:t>
      </w:r>
      <w:r>
        <w:rPr>
          <w:rFonts w:hint="eastAsia" w:ascii="Times New Roman" w:hAnsi="Times New Roman" w:eastAsia="宋体" w:cs="Times New Roman"/>
          <w:color w:val="auto"/>
          <w:sz w:val="24"/>
          <w:u w:val="none" w:color="auto"/>
        </w:rPr>
        <w:t>一般固体废物暂存间的</w:t>
      </w:r>
      <w:r>
        <w:rPr>
          <w:rFonts w:hint="eastAsia" w:ascii="Times New Roman" w:hAnsi="Times New Roman" w:eastAsia="宋体" w:cs="Times New Roman"/>
          <w:color w:val="auto"/>
          <w:sz w:val="24"/>
          <w:szCs w:val="24"/>
          <w:u w:val="none" w:color="auto"/>
        </w:rPr>
        <w:t>积压，故项目拟建一般固废暂存间容量能满足项目暂存需求。一般固废暂存间应满足“三防”（防风、防雨、防渗漏）的要求。</w:t>
      </w:r>
    </w:p>
    <w:p w14:paraId="31056481">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②危险废物</w:t>
      </w:r>
      <w:r>
        <w:rPr>
          <w:rFonts w:ascii="Times New Roman" w:hAnsi="Times New Roman" w:eastAsia="宋体" w:cs="Times New Roman"/>
          <w:color w:val="auto"/>
          <w:kern w:val="0"/>
          <w:sz w:val="24"/>
          <w:u w:val="none" w:color="auto"/>
        </w:rPr>
        <w:t>环境影响分析</w:t>
      </w:r>
    </w:p>
    <w:p w14:paraId="6864C286">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根据《中华人民共和国固体废物环境污染防治法》规定：对于危险废物，企业应按照国家有关规定进行申报登记，执行联单制度；对危险废物的容器和包装桶以及收集、储存、运输、处置危险废物的设施、场所必须设置危险废物识别标志，并且危险废物的储存地应远离生产区，注意通风、防火以免引起火灾，运输过程中必须采取密闭运输等防止污染环境的措施，遵守国家有关危险货物运输管理的规定。严禁在雨天进行危废的运输和转运工作。</w:t>
      </w:r>
    </w:p>
    <w:p w14:paraId="474127A2">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项目生产过程中产生的危险废物的收集、暂存和保管均应满足</w:t>
      </w:r>
      <w:r>
        <w:rPr>
          <w:rFonts w:hint="eastAsia" w:ascii="Times New Roman" w:hAnsi="Times New Roman" w:eastAsia="宋体" w:cs="Times New Roman"/>
          <w:color w:val="auto"/>
          <w:sz w:val="24"/>
          <w:u w:val="none" w:color="auto"/>
          <w:lang w:eastAsia="zh-CN"/>
        </w:rPr>
        <w:t>《危险废物贮存污染控制标准》（GB18597-2023）</w:t>
      </w:r>
      <w:r>
        <w:rPr>
          <w:rFonts w:hint="eastAsia" w:ascii="Times New Roman" w:hAnsi="Times New Roman" w:eastAsia="宋体" w:cs="Times New Roman"/>
          <w:color w:val="auto"/>
          <w:sz w:val="24"/>
          <w:u w:val="none" w:color="auto"/>
        </w:rPr>
        <w:t>及其修改单的相关要求：</w:t>
      </w:r>
    </w:p>
    <w:p w14:paraId="2980424E">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①危险废物的贮存设施必须符合国家标准和有关规定，有防渗漏、防雨淋、防流失措施，危废暂存间设置排风系统，室内通风换气次数</w:t>
      </w:r>
      <w:r>
        <w:rPr>
          <w:rFonts w:hint="eastAsia" w:ascii="Times New Roman" w:hAnsi="Times New Roman" w:eastAsia="宋体" w:cs="Times New Roman"/>
          <w:color w:val="auto"/>
          <w:sz w:val="24"/>
          <w:u w:val="none" w:color="auto"/>
          <w:lang w:val="en-US" w:eastAsia="zh-CN"/>
        </w:rPr>
        <w:t>12</w:t>
      </w:r>
      <w:r>
        <w:rPr>
          <w:rFonts w:hint="eastAsia" w:ascii="Times New Roman" w:hAnsi="Times New Roman" w:eastAsia="宋体" w:cs="Times New Roman"/>
          <w:color w:val="auto"/>
          <w:sz w:val="24"/>
          <w:u w:val="none" w:color="auto"/>
        </w:rPr>
        <w:t>次/h，防止危废间废油漆、固化剂、稀释剂桶中漆料挥发出的少量有机物在危废暂存间汇集浓度过高，危废暂存间的地面需进行防渗处理，地面硬化、无裂隙，地面铺设至少2mm厚的防渗膜，渗透系数≤10</w:t>
      </w:r>
      <w:r>
        <w:rPr>
          <w:rFonts w:hint="eastAsia" w:ascii="Times New Roman" w:hAnsi="Times New Roman" w:eastAsia="宋体" w:cs="Times New Roman"/>
          <w:color w:val="auto"/>
          <w:sz w:val="24"/>
          <w:u w:val="none" w:color="auto"/>
          <w:vertAlign w:val="superscript"/>
        </w:rPr>
        <w:t>-10</w:t>
      </w:r>
      <w:r>
        <w:rPr>
          <w:rFonts w:hint="eastAsia" w:ascii="Times New Roman" w:hAnsi="Times New Roman" w:eastAsia="宋体" w:cs="Times New Roman"/>
          <w:color w:val="auto"/>
          <w:sz w:val="24"/>
          <w:u w:val="none" w:color="auto"/>
        </w:rPr>
        <w:t>cm/s，危废暂存间门口需要设置至少150mm的漫坡。满足</w:t>
      </w:r>
      <w:r>
        <w:rPr>
          <w:rFonts w:hint="eastAsia" w:ascii="Times New Roman" w:hAnsi="Times New Roman" w:eastAsia="宋体" w:cs="Times New Roman"/>
          <w:color w:val="auto"/>
          <w:sz w:val="24"/>
          <w:u w:val="none" w:color="auto"/>
          <w:lang w:eastAsia="zh-CN"/>
        </w:rPr>
        <w:t>《危险废物贮存污染控制标准》（GB18597-2023）</w:t>
      </w:r>
      <w:r>
        <w:rPr>
          <w:rFonts w:hint="eastAsia" w:ascii="Times New Roman" w:hAnsi="Times New Roman" w:eastAsia="宋体" w:cs="Times New Roman"/>
          <w:color w:val="auto"/>
          <w:sz w:val="24"/>
          <w:u w:val="none" w:color="auto"/>
        </w:rPr>
        <w:t>及其修改单中的有关要求。</w:t>
      </w:r>
    </w:p>
    <w:p w14:paraId="6E25E79D">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②储存场地设置危险废物明显标志，危险废物暂存场所应设有符合</w:t>
      </w: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rPr>
        <w:t>危险废物识别标志设置技术规范</w:t>
      </w: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rPr>
        <w:t>（HJ1276一2022）的专用标志。</w:t>
      </w:r>
    </w:p>
    <w:p w14:paraId="4CA18071">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③贮存容器保证完好无损并具有明显标志。 </w:t>
      </w:r>
    </w:p>
    <w:p w14:paraId="54C6454F">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④不相容的危险废物均分开存放。 </w:t>
      </w:r>
    </w:p>
    <w:p w14:paraId="05DFAF31">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⑤危险废物的储存容器均应具有耐腐蚀、耐压、密封和不与所贮存的废物发生反应等特性。</w:t>
      </w:r>
    </w:p>
    <w:p w14:paraId="605D207C">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⑥禁止将危险废物与一般固体废物、生活垃圾及其它废物混合堆放。 </w:t>
      </w:r>
    </w:p>
    <w:p w14:paraId="614A5474">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⑦存放的危险废物需标明名称、成分、来源、日期等基本信息，设置专人管理和登记，分开存放，采用专用车辆和专用容器运输贮存危险废物，禁止将危险废物混入生活 垃圾或其他废物。 </w:t>
      </w:r>
    </w:p>
    <w:p w14:paraId="5F1462E5">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⑧运输过程中设有防泄漏、防散落、防破损的措施； </w:t>
      </w:r>
    </w:p>
    <w:p w14:paraId="1DED5F89">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⑨建立岗位责任制和危险废物管理档案，严格执行危险管理制度，由专人负责危险废物收集和管理工作，废润滑油、废稀释剂分类收集于专用包装桶，每天用专用工具转移到危废暂存间内。项目厂内运输距离较短，厂内转移运输过程不会发生散落、泄漏等污染环境的现象。 </w:t>
      </w:r>
    </w:p>
    <w:p w14:paraId="7C690803">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 xml:space="preserve">⑩严格的执行了危险废物转移联单制度，移交后由有危废资质处置单位负责外运及之后的危废管理。 </w:t>
      </w:r>
    </w:p>
    <w:p w14:paraId="70E4CF5C">
      <w:pPr>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项目拟在</w:t>
      </w:r>
      <w:r>
        <w:rPr>
          <w:rFonts w:hint="eastAsia" w:ascii="Times New Roman" w:hAnsi="Times New Roman" w:eastAsia="宋体" w:cs="Times New Roman"/>
          <w:color w:val="auto"/>
          <w:sz w:val="24"/>
          <w:u w:val="single" w:color="auto"/>
          <w:lang w:val="en-US" w:eastAsia="zh-CN"/>
        </w:rPr>
        <w:t>涂装车间西南侧</w:t>
      </w:r>
      <w:r>
        <w:rPr>
          <w:rFonts w:hint="eastAsia" w:ascii="Times New Roman" w:hAnsi="Times New Roman" w:eastAsia="宋体" w:cs="Times New Roman"/>
          <w:color w:val="auto"/>
          <w:sz w:val="24"/>
          <w:u w:val="single" w:color="auto"/>
        </w:rPr>
        <w:t>设置1个危险暂存间，占地</w:t>
      </w:r>
      <w:r>
        <w:rPr>
          <w:rFonts w:hint="eastAsia" w:ascii="Times New Roman" w:hAnsi="Times New Roman" w:eastAsia="宋体" w:cs="Times New Roman"/>
          <w:color w:val="auto"/>
          <w:sz w:val="24"/>
          <w:u w:val="single" w:color="auto"/>
          <w:lang w:val="en-US" w:eastAsia="zh-CN"/>
        </w:rPr>
        <w:t>2</w:t>
      </w:r>
      <w:r>
        <w:rPr>
          <w:rFonts w:hint="eastAsia" w:ascii="Times New Roman" w:hAnsi="Times New Roman" w:eastAsia="宋体" w:cs="Times New Roman"/>
          <w:color w:val="auto"/>
          <w:sz w:val="24"/>
          <w:u w:val="single" w:color="auto"/>
        </w:rPr>
        <w:t>00m</w:t>
      </w:r>
      <w:r>
        <w:rPr>
          <w:rFonts w:hint="eastAsia" w:ascii="Times New Roman" w:hAnsi="Times New Roman" w:eastAsia="宋体" w:cs="Times New Roman"/>
          <w:color w:val="auto"/>
          <w:sz w:val="24"/>
          <w:u w:val="single" w:color="auto"/>
          <w:vertAlign w:val="superscript"/>
        </w:rPr>
        <w:t>2</w:t>
      </w:r>
      <w:r>
        <w:rPr>
          <w:rFonts w:hint="eastAsia" w:ascii="Times New Roman" w:hAnsi="Times New Roman" w:eastAsia="宋体" w:cs="Times New Roman"/>
          <w:color w:val="auto"/>
          <w:sz w:val="24"/>
          <w:u w:val="single" w:color="auto"/>
        </w:rPr>
        <w:t xml:space="preserve">，用于暂存项目危险废物；废油漆桶、废固化剂桶、废稀释剂桶、废润滑油桶密封后暂存在厂内危废暂存间内；废催化剂、废稀释剂、废润滑油、漆渣由塑料桶盛放，暂存于危废暂存间；废过滤棉、废活性炭、废含油抹布采用双层塑编胶带包装，每袋20-25kg，暂存于厂内危废暂存间内，并定期交有资质单位处理。 </w:t>
      </w:r>
    </w:p>
    <w:p w14:paraId="36544EDF">
      <w:pPr>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综上所述，在加强管理，并在落实好各项污染防治措施和固体废物综合利用等安全处置措施的前提下，项目产生的固体废物对周围环境的影响较小。</w:t>
      </w:r>
    </w:p>
    <w:p w14:paraId="7B94C055">
      <w:pPr>
        <w:pStyle w:val="3"/>
        <w:bidi w:val="0"/>
        <w:rPr>
          <w:color w:val="auto"/>
          <w:u w:val="none" w:color="auto"/>
        </w:rPr>
      </w:pPr>
      <w:bookmarkStart w:id="241" w:name="_Toc12255"/>
      <w:bookmarkStart w:id="242" w:name="_Toc3728247"/>
      <w:r>
        <w:rPr>
          <w:color w:val="auto"/>
          <w:u w:val="none" w:color="auto"/>
        </w:rPr>
        <w:t>地下水环境影响分析</w:t>
      </w:r>
      <w:bookmarkEnd w:id="241"/>
      <w:bookmarkEnd w:id="242"/>
    </w:p>
    <w:p w14:paraId="2D44AEE8">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项目区域水文地质调查内容主要引自《广西中伟新能源科技有限公司北部湾产业基地三元项目（一期一阶段）地下水环境影响评价专题报告》（广西富吉工程技术有限公司，2021年5月）。</w:t>
      </w:r>
    </w:p>
    <w:p w14:paraId="6B46B34C">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w:t>
      </w:r>
      <w:r>
        <w:rPr>
          <w:rFonts w:hint="eastAsia" w:ascii="Times New Roman" w:hAnsi="Times New Roman" w:eastAsia="宋体" w:cs="Times New Roman"/>
          <w:b/>
          <w:color w:val="auto"/>
          <w:sz w:val="28"/>
          <w:u w:val="none" w:color="auto"/>
        </w:rPr>
        <w:t>6</w:t>
      </w:r>
      <w:r>
        <w:rPr>
          <w:rFonts w:ascii="Times New Roman" w:hAnsi="Times New Roman" w:eastAsia="宋体" w:cs="Times New Roman"/>
          <w:b/>
          <w:color w:val="auto"/>
          <w:sz w:val="28"/>
          <w:u w:val="none" w:color="auto"/>
        </w:rPr>
        <w:t>.1</w:t>
      </w:r>
      <w:r>
        <w:rPr>
          <w:rFonts w:hint="eastAsia" w:ascii="Times New Roman" w:hAnsi="Times New Roman" w:eastAsia="宋体" w:cs="Times New Roman"/>
          <w:b/>
          <w:color w:val="auto"/>
          <w:sz w:val="28"/>
          <w:u w:val="none" w:color="auto"/>
        </w:rPr>
        <w:t>地形地貌</w:t>
      </w:r>
    </w:p>
    <w:p w14:paraId="4770FFD6">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钦州港属滨海滩涂地貌，地势为北高南低，大部分区域为低山丘陵谷和浅滩。北部多为丘陵，丘陵山体不大，多为孤丘，坡度较小，平均高程为16～27m；南部为沿海涂滩，为填海区，地势平坦，地形起伏不大，地面高程4.0</w:t>
      </w:r>
      <w:r>
        <w:rPr>
          <w:rFonts w:hint="eastAsia" w:ascii="Times New Roman" w:hAnsi="Times New Roman" w:eastAsia="宋体" w:cs="Times New Roman"/>
          <w:color w:val="auto"/>
          <w:sz w:val="24"/>
          <w:szCs w:val="24"/>
          <w:u w:val="none" w:color="auto"/>
        </w:rPr>
        <w:t>0</w:t>
      </w:r>
      <w:r>
        <w:rPr>
          <w:rFonts w:ascii="Times New Roman" w:hAnsi="Times New Roman" w:eastAsia="宋体" w:cs="Times New Roman"/>
          <w:color w:val="auto"/>
          <w:sz w:val="24"/>
          <w:szCs w:val="24"/>
          <w:u w:val="none" w:color="auto"/>
        </w:rPr>
        <w:t>～6.25m。</w:t>
      </w:r>
    </w:p>
    <w:p w14:paraId="70822655">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项目区位于钦州港经济开发区内</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建设项目所在区域原始地貌上属滨海滩涂地貌，现状场地所在地及周边区域为填海区，场地地势平坦，地形起伏不大。建设场地现状已经进行平整，现状地面高程4.</w:t>
      </w:r>
      <w:r>
        <w:rPr>
          <w:rFonts w:hint="eastAsia" w:ascii="Times New Roman" w:hAnsi="Times New Roman" w:eastAsia="宋体" w:cs="Times New Roman"/>
          <w:color w:val="auto"/>
          <w:sz w:val="24"/>
          <w:szCs w:val="24"/>
          <w:u w:val="none" w:color="auto"/>
        </w:rPr>
        <w:t>00</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4.4</w:t>
      </w:r>
      <w:r>
        <w:rPr>
          <w:rFonts w:ascii="Times New Roman" w:hAnsi="Times New Roman" w:eastAsia="宋体" w:cs="Times New Roman"/>
          <w:color w:val="auto"/>
          <w:sz w:val="24"/>
          <w:szCs w:val="24"/>
          <w:u w:val="none" w:color="auto"/>
        </w:rPr>
        <w:t>5m。</w:t>
      </w:r>
    </w:p>
    <w:p w14:paraId="2D8DC610">
      <w:pPr>
        <w:autoSpaceDE w:val="0"/>
        <w:autoSpaceDN w:val="0"/>
        <w:spacing w:line="360" w:lineRule="auto"/>
        <w:jc w:val="left"/>
        <w:outlineLvl w:val="2"/>
        <w:rPr>
          <w:rFonts w:ascii="Times New Roman" w:hAnsi="Times New Roman" w:eastAsia="宋体" w:cs="Times New Roman"/>
          <w:b/>
          <w:color w:val="auto"/>
          <w:sz w:val="28"/>
          <w:u w:val="none" w:color="auto"/>
        </w:rPr>
      </w:pPr>
      <w:r>
        <w:rPr>
          <w:rFonts w:ascii="Times New Roman" w:hAnsi="Times New Roman" w:eastAsia="宋体" w:cs="Times New Roman"/>
          <w:b/>
          <w:color w:val="auto"/>
          <w:sz w:val="28"/>
          <w:u w:val="none" w:color="auto"/>
        </w:rPr>
        <w:t>4.6.2区域地质条件</w:t>
      </w:r>
    </w:p>
    <w:p w14:paraId="53C842B4">
      <w:pPr>
        <w:autoSpaceDE w:val="0"/>
        <w:autoSpaceDN w:val="0"/>
        <w:spacing w:line="360" w:lineRule="auto"/>
        <w:ind w:firstLine="482" w:firstLineChars="200"/>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1、地质构造</w:t>
      </w:r>
    </w:p>
    <w:p w14:paraId="37A12168">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项目所在区域</w:t>
      </w:r>
      <w:r>
        <w:rPr>
          <w:rFonts w:ascii="Times New Roman" w:hAnsi="Times New Roman" w:eastAsia="宋体" w:cs="Times New Roman"/>
          <w:color w:val="auto"/>
          <w:sz w:val="24"/>
          <w:szCs w:val="24"/>
          <w:u w:val="none" w:color="auto"/>
        </w:rPr>
        <w:t>属于华南褶皱系中的钦州残余地槽，古生代以来，经受了加里东、华力西—印支、燕山、喜马拉雅等多期构造运动，形成了一系列的褶皱、断裂和多个构造盆地。</w:t>
      </w:r>
      <w:r>
        <w:rPr>
          <w:rFonts w:hint="eastAsia" w:ascii="Times New Roman" w:hAnsi="Times New Roman" w:eastAsia="宋体" w:cs="Times New Roman"/>
          <w:color w:val="auto"/>
          <w:sz w:val="24"/>
          <w:szCs w:val="24"/>
          <w:u w:val="none" w:color="auto"/>
        </w:rPr>
        <w:t>项目所在区域</w:t>
      </w:r>
      <w:r>
        <w:rPr>
          <w:rFonts w:ascii="Times New Roman" w:hAnsi="Times New Roman" w:eastAsia="宋体" w:cs="Times New Roman"/>
          <w:color w:val="auto"/>
          <w:sz w:val="24"/>
          <w:szCs w:val="24"/>
          <w:u w:val="none" w:color="auto"/>
        </w:rPr>
        <w:t>无断裂构造穿过。</w:t>
      </w:r>
    </w:p>
    <w:p w14:paraId="1BA26BB7">
      <w:pPr>
        <w:autoSpaceDE w:val="0"/>
        <w:autoSpaceDN w:val="0"/>
        <w:spacing w:line="360" w:lineRule="auto"/>
        <w:ind w:firstLine="482" w:firstLineChars="200"/>
        <w:rPr>
          <w:rFonts w:ascii="Times New Roman" w:hAnsi="Times New Roman" w:eastAsia="宋体" w:cs="Times New Roman"/>
          <w:b/>
          <w:bCs/>
          <w:color w:val="auto"/>
          <w:sz w:val="24"/>
          <w:szCs w:val="24"/>
          <w:u w:val="none" w:color="auto"/>
        </w:rPr>
      </w:pPr>
      <w:r>
        <w:rPr>
          <w:rFonts w:ascii="Times New Roman" w:hAnsi="Times New Roman" w:eastAsia="宋体" w:cs="Times New Roman"/>
          <w:b/>
          <w:bCs/>
          <w:color w:val="auto"/>
          <w:sz w:val="24"/>
          <w:szCs w:val="24"/>
          <w:u w:val="none" w:color="auto"/>
        </w:rPr>
        <w:t>2、区域地层岩性</w:t>
      </w:r>
    </w:p>
    <w:p w14:paraId="50B9B066">
      <w:pPr>
        <w:autoSpaceDE w:val="0"/>
        <w:autoSpaceDN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区域内出露的地层有：志留系、侏罗系及第四系。现由老到新分述如下： 志留系下统连滩群第三组（S1ln</w:t>
      </w:r>
      <w:r>
        <w:rPr>
          <w:rFonts w:ascii="Times New Roman" w:hAnsi="Times New Roman" w:eastAsia="宋体" w:cs="Times New Roman"/>
          <w:color w:val="auto"/>
          <w:sz w:val="24"/>
          <w:szCs w:val="24"/>
          <w:u w:val="none" w:color="auto"/>
          <w:vertAlign w:val="superscript"/>
        </w:rPr>
        <w:t>c</w:t>
      </w:r>
      <w:r>
        <w:rPr>
          <w:rFonts w:ascii="Times New Roman" w:hAnsi="Times New Roman" w:eastAsia="宋体" w:cs="Times New Roman"/>
          <w:color w:val="auto"/>
          <w:sz w:val="24"/>
          <w:szCs w:val="24"/>
          <w:u w:val="none" w:color="auto"/>
        </w:rPr>
        <w:t>）、第四组（S1ln</w:t>
      </w:r>
      <w:r>
        <w:rPr>
          <w:rFonts w:ascii="Times New Roman" w:hAnsi="Times New Roman" w:eastAsia="宋体" w:cs="Times New Roman"/>
          <w:color w:val="auto"/>
          <w:sz w:val="24"/>
          <w:szCs w:val="24"/>
          <w:u w:val="none" w:color="auto"/>
          <w:vertAlign w:val="superscript"/>
        </w:rPr>
        <w:t>d</w:t>
      </w:r>
      <w:r>
        <w:rPr>
          <w:rFonts w:ascii="Times New Roman" w:hAnsi="Times New Roman" w:eastAsia="宋体" w:cs="Times New Roman"/>
          <w:color w:val="auto"/>
          <w:sz w:val="24"/>
          <w:szCs w:val="24"/>
          <w:u w:val="none" w:color="auto"/>
        </w:rPr>
        <w:t>）、第五组（S1ln</w:t>
      </w:r>
      <w:r>
        <w:rPr>
          <w:rFonts w:ascii="Times New Roman" w:hAnsi="Times New Roman" w:eastAsia="宋体" w:cs="Times New Roman"/>
          <w:color w:val="auto"/>
          <w:sz w:val="24"/>
          <w:szCs w:val="24"/>
          <w:u w:val="none" w:color="auto"/>
          <w:vertAlign w:val="superscript"/>
        </w:rPr>
        <w:t>e</w:t>
      </w:r>
      <w:r>
        <w:rPr>
          <w:rFonts w:ascii="Times New Roman" w:hAnsi="Times New Roman" w:eastAsia="宋体" w:cs="Times New Roman"/>
          <w:color w:val="auto"/>
          <w:sz w:val="24"/>
          <w:szCs w:val="24"/>
          <w:u w:val="none" w:color="auto"/>
        </w:rPr>
        <w:t>）：砂岩夹粉 砂岩、泥岩、页岩。侏罗系下统（J1）：泥岩、粉砂岩、砂岩、砾岩；中统（J2）：砂岩夹粉砂岩。第四系(Q)全新统：砂、砂砾、亚粘土、亚砂土、淤泥。</w:t>
      </w:r>
    </w:p>
    <w:p w14:paraId="0104B07D">
      <w:pPr>
        <w:pStyle w:val="48"/>
        <w:adjustRightInd/>
        <w:spacing w:line="360" w:lineRule="auto"/>
        <w:ind w:firstLine="482" w:firstLineChars="200"/>
        <w:jc w:val="both"/>
        <w:rPr>
          <w:rFonts w:hint="default" w:ascii="Times New Roman" w:hAnsi="Times New Roman" w:eastAsia="宋体"/>
          <w:b/>
          <w:bCs/>
          <w:color w:val="auto"/>
          <w:u w:val="none" w:color="auto"/>
        </w:rPr>
      </w:pPr>
      <w:r>
        <w:rPr>
          <w:rFonts w:hint="default" w:ascii="Times New Roman" w:hAnsi="Times New Roman" w:eastAsia="宋体"/>
          <w:b/>
          <w:bCs/>
          <w:color w:val="auto"/>
          <w:u w:val="none" w:color="auto"/>
        </w:rPr>
        <w:t>3、区域水文地质条件</w:t>
      </w:r>
    </w:p>
    <w:p w14:paraId="35AA290B">
      <w:pPr>
        <w:pStyle w:val="48"/>
        <w:adjustRightInd/>
        <w:spacing w:line="360" w:lineRule="auto"/>
        <w:ind w:firstLine="480" w:firstLineChars="200"/>
        <w:jc w:val="both"/>
        <w:rPr>
          <w:rFonts w:hint="default" w:ascii="Times New Roman" w:hAnsi="Times New Roman" w:eastAsia="宋体"/>
          <w:color w:val="auto"/>
          <w:u w:val="none" w:color="auto"/>
        </w:rPr>
      </w:pPr>
      <w:r>
        <w:rPr>
          <w:rFonts w:hint="default" w:ascii="Times New Roman" w:hAnsi="Times New Roman" w:eastAsia="宋体"/>
          <w:color w:val="auto"/>
          <w:u w:val="none" w:color="auto"/>
        </w:rPr>
        <w:t>评价区为一相对完整、较简单的水文地质单元，总体呈由</w:t>
      </w:r>
      <w:r>
        <w:rPr>
          <w:rFonts w:ascii="Times New Roman" w:hAnsi="Times New Roman" w:eastAsia="宋体"/>
          <w:color w:val="auto"/>
          <w:u w:val="none" w:color="auto"/>
        </w:rPr>
        <w:t>东</w:t>
      </w:r>
      <w:r>
        <w:rPr>
          <w:rFonts w:hint="default" w:ascii="Times New Roman" w:hAnsi="Times New Roman" w:eastAsia="宋体"/>
          <w:color w:val="auto"/>
          <w:u w:val="none" w:color="auto"/>
        </w:rPr>
        <w:t>向</w:t>
      </w:r>
      <w:r>
        <w:rPr>
          <w:rFonts w:ascii="Times New Roman" w:hAnsi="Times New Roman" w:eastAsia="宋体"/>
          <w:color w:val="auto"/>
          <w:u w:val="none" w:color="auto"/>
        </w:rPr>
        <w:t>西</w:t>
      </w:r>
      <w:r>
        <w:rPr>
          <w:rFonts w:hint="default" w:ascii="Times New Roman" w:hAnsi="Times New Roman" w:eastAsia="宋体"/>
          <w:color w:val="auto"/>
          <w:u w:val="none" w:color="auto"/>
        </w:rPr>
        <w:t>展布地带，以金鼓江为水文地质单元边界。地下水露头为评价区补给边界，地下水补给、径流、排泄系统独立完整。</w:t>
      </w:r>
    </w:p>
    <w:p w14:paraId="126EE3A5">
      <w:pPr>
        <w:pStyle w:val="48"/>
        <w:adjustRightInd/>
        <w:spacing w:line="360" w:lineRule="auto"/>
        <w:ind w:firstLine="482" w:firstLineChars="200"/>
        <w:jc w:val="both"/>
        <w:rPr>
          <w:rFonts w:hint="default" w:ascii="Times New Roman" w:hAnsi="Times New Roman" w:eastAsia="宋体"/>
          <w:b/>
          <w:bCs/>
          <w:color w:val="auto"/>
          <w:szCs w:val="24"/>
          <w:u w:val="none" w:color="auto"/>
        </w:rPr>
      </w:pPr>
      <w:r>
        <w:rPr>
          <w:rFonts w:hint="default" w:ascii="Times New Roman" w:hAnsi="Times New Roman" w:eastAsia="宋体"/>
          <w:b/>
          <w:bCs/>
          <w:color w:val="auto"/>
          <w:szCs w:val="24"/>
          <w:u w:val="none" w:color="auto"/>
        </w:rPr>
        <w:t>4、区域含水层划分及其富水性</w:t>
      </w:r>
    </w:p>
    <w:p w14:paraId="54B0CE67">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 xml:space="preserve">根据地层岩性及其组合特征、含水特征的差异，测区内含水岩层划分为松散岩类孔隙水、碎屑岩类裂隙孔隙水和构造裂隙水。 </w:t>
      </w:r>
    </w:p>
    <w:p w14:paraId="35398DD4">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松散岩类孔隙水：主要赋存于第四系素填土及淤泥质砂中，结构疏松，具透水和贮水条件，含孔隙水。根据区域水文地质计算资料，单井涌水量小于 100m</w:t>
      </w:r>
      <w:r>
        <w:rPr>
          <w:rFonts w:ascii="Times New Roman"/>
          <w:b w:val="0"/>
          <w:bCs w:val="0"/>
          <w:color w:val="auto"/>
          <w:sz w:val="24"/>
          <w:szCs w:val="24"/>
          <w:u w:val="none" w:color="auto"/>
          <w:vertAlign w:val="superscript"/>
        </w:rPr>
        <w:t>3</w:t>
      </w:r>
      <w:r>
        <w:rPr>
          <w:rFonts w:ascii="Times New Roman"/>
          <w:b w:val="0"/>
          <w:bCs w:val="0"/>
          <w:color w:val="auto"/>
          <w:sz w:val="24"/>
          <w:szCs w:val="24"/>
          <w:u w:val="none" w:color="auto"/>
        </w:rPr>
        <w:t xml:space="preserve">/d，水量贫乏，富水性弱。 </w:t>
      </w:r>
    </w:p>
    <w:p w14:paraId="3B72BCCB">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碎屑岩类裂隙孔隙水：该类型地下水主要赋存于碎屑岩类砂岩、泥岩、泥质粉砂岩裂隙中,区内地质构造较发育。呈块状分布于调查区内，地貌上属低山地貌区，主要接受大气降雨补给。根据区域水文地质统计计算资料，单井涌水量小于100m</w:t>
      </w:r>
      <w:r>
        <w:rPr>
          <w:rFonts w:ascii="Times New Roman"/>
          <w:b w:val="0"/>
          <w:bCs w:val="0"/>
          <w:color w:val="auto"/>
          <w:sz w:val="24"/>
          <w:szCs w:val="24"/>
          <w:u w:val="none" w:color="auto"/>
          <w:vertAlign w:val="superscript"/>
        </w:rPr>
        <w:t>3</w:t>
      </w:r>
      <w:r>
        <w:rPr>
          <w:rFonts w:ascii="Times New Roman"/>
          <w:b w:val="0"/>
          <w:bCs w:val="0"/>
          <w:color w:val="auto"/>
          <w:sz w:val="24"/>
          <w:szCs w:val="24"/>
          <w:u w:val="none" w:color="auto"/>
        </w:rPr>
        <w:t xml:space="preserve">/d，水量贫乏，富水性弱。 </w:t>
      </w:r>
    </w:p>
    <w:p w14:paraId="41B431A1">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构造裂隙水：主要分布于调查区北侧及东侧边缘地带，地貌上多为低山地貌区，含水岩组为志留系连滩群第三组（S1ln</w:t>
      </w:r>
      <w:r>
        <w:rPr>
          <w:rFonts w:ascii="Times New Roman"/>
          <w:b w:val="0"/>
          <w:bCs w:val="0"/>
          <w:color w:val="auto"/>
          <w:sz w:val="24"/>
          <w:szCs w:val="24"/>
          <w:u w:val="none" w:color="auto"/>
          <w:vertAlign w:val="superscript"/>
        </w:rPr>
        <w:t>c</w:t>
      </w:r>
      <w:r>
        <w:rPr>
          <w:rFonts w:ascii="Times New Roman"/>
          <w:b w:val="0"/>
          <w:bCs w:val="0"/>
          <w:color w:val="auto"/>
          <w:sz w:val="24"/>
          <w:szCs w:val="24"/>
          <w:u w:val="none" w:color="auto"/>
        </w:rPr>
        <w:t>）、第四组（S1ln</w:t>
      </w:r>
      <w:r>
        <w:rPr>
          <w:rFonts w:ascii="Times New Roman"/>
          <w:b w:val="0"/>
          <w:bCs w:val="0"/>
          <w:color w:val="auto"/>
          <w:sz w:val="24"/>
          <w:szCs w:val="24"/>
          <w:u w:val="none" w:color="auto"/>
          <w:vertAlign w:val="superscript"/>
        </w:rPr>
        <w:t>d</w:t>
      </w:r>
      <w:r>
        <w:rPr>
          <w:rFonts w:ascii="Times New Roman"/>
          <w:b w:val="0"/>
          <w:bCs w:val="0"/>
          <w:color w:val="auto"/>
          <w:sz w:val="24"/>
          <w:szCs w:val="24"/>
          <w:u w:val="none" w:color="auto"/>
        </w:rPr>
        <w:t>）、第五组（S1ln</w:t>
      </w:r>
      <w:r>
        <w:rPr>
          <w:rFonts w:ascii="Times New Roman"/>
          <w:b w:val="0"/>
          <w:bCs w:val="0"/>
          <w:color w:val="auto"/>
          <w:sz w:val="24"/>
          <w:szCs w:val="24"/>
          <w:u w:val="none" w:color="auto"/>
          <w:vertAlign w:val="superscript"/>
        </w:rPr>
        <w:t>e</w:t>
      </w:r>
      <w:r>
        <w:rPr>
          <w:rFonts w:ascii="Times New Roman"/>
          <w:b w:val="0"/>
          <w:bCs w:val="0"/>
          <w:color w:val="auto"/>
          <w:sz w:val="24"/>
          <w:szCs w:val="24"/>
          <w:u w:val="none" w:color="auto"/>
        </w:rPr>
        <w:t>）泥质粉砂岩，区内地质构造较发育。地下水主要赋存于下伏泥质粉砂岩构造节理裂隙中。区内地下水径流模数＜6L/s.km，水量贫乏，富水性弱。</w:t>
      </w:r>
    </w:p>
    <w:p w14:paraId="4B4099A9">
      <w:pPr>
        <w:pStyle w:val="59"/>
        <w:spacing w:line="360" w:lineRule="auto"/>
        <w:ind w:left="0" w:firstLine="482" w:firstLineChars="200"/>
        <w:rPr>
          <w:rFonts w:ascii="Times New Roman"/>
          <w:color w:val="auto"/>
          <w:sz w:val="24"/>
          <w:szCs w:val="24"/>
          <w:u w:val="none" w:color="auto"/>
        </w:rPr>
      </w:pPr>
      <w:r>
        <w:rPr>
          <w:rFonts w:ascii="Times New Roman"/>
          <w:color w:val="auto"/>
          <w:sz w:val="24"/>
          <w:szCs w:val="24"/>
          <w:u w:val="none" w:color="auto"/>
        </w:rPr>
        <w:t>5、区域地下水的补给、径流、排泄条件</w:t>
      </w:r>
    </w:p>
    <w:p w14:paraId="20701EAA">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松散岩类孔隙水的补给来源主要为大气降雨补给，孔隙水主要沿孔隙作层流运动，以蒸发排泄为主，其次以下降泉或线状排泄排入</w:t>
      </w:r>
      <w:r>
        <w:rPr>
          <w:rFonts w:hint="eastAsia" w:ascii="Times New Roman" w:hAnsi="Times New Roman" w:eastAsia="宋体" w:cs="Times New Roman"/>
          <w:color w:val="auto"/>
          <w:sz w:val="24"/>
          <w:szCs w:val="24"/>
          <w:u w:val="none" w:color="auto"/>
        </w:rPr>
        <w:t>金谷江</w:t>
      </w:r>
      <w:r>
        <w:rPr>
          <w:rFonts w:ascii="Times New Roman" w:hAnsi="Times New Roman" w:eastAsia="宋体" w:cs="Times New Roman"/>
          <w:color w:val="auto"/>
          <w:sz w:val="24"/>
          <w:szCs w:val="24"/>
          <w:u w:val="none" w:color="auto"/>
        </w:rPr>
        <w:t>，人工开采也是较重要的排泄方式，地下水位受季节影响作小幅变动。碎屑岩类裂隙孔隙水、构造裂隙水的补给来源亦主要为大气降雨，</w:t>
      </w:r>
      <w:r>
        <w:rPr>
          <w:rFonts w:hint="eastAsia" w:ascii="Times New Roman" w:hAnsi="Times New Roman" w:eastAsia="宋体" w:cs="Times New Roman"/>
          <w:color w:val="auto"/>
          <w:sz w:val="24"/>
          <w:szCs w:val="24"/>
          <w:u w:val="none" w:color="auto"/>
        </w:rPr>
        <w:t>项目所在区域</w:t>
      </w:r>
      <w:r>
        <w:rPr>
          <w:rFonts w:ascii="Times New Roman" w:hAnsi="Times New Roman" w:eastAsia="宋体" w:cs="Times New Roman"/>
          <w:color w:val="auto"/>
          <w:sz w:val="24"/>
          <w:szCs w:val="24"/>
          <w:u w:val="none" w:color="auto"/>
        </w:rPr>
        <w:t>低山区覆盖层较薄，基岩裂隙发育，但地形坡度较陡，降雨不易留存补给地下水。构造裂隙水通常作隙流运动，就近排入附近的</w:t>
      </w:r>
      <w:r>
        <w:rPr>
          <w:rFonts w:hint="eastAsia" w:ascii="Times New Roman" w:hAnsi="Times New Roman" w:eastAsia="宋体" w:cs="Times New Roman"/>
          <w:color w:val="auto"/>
          <w:sz w:val="24"/>
          <w:szCs w:val="24"/>
          <w:u w:val="none" w:color="auto"/>
        </w:rPr>
        <w:t>金谷江</w:t>
      </w:r>
      <w:r>
        <w:rPr>
          <w:rFonts w:ascii="Times New Roman" w:hAnsi="Times New Roman" w:eastAsia="宋体" w:cs="Times New Roman"/>
          <w:color w:val="auto"/>
          <w:sz w:val="24"/>
          <w:szCs w:val="24"/>
          <w:u w:val="none" w:color="auto"/>
        </w:rPr>
        <w:t>中。</w:t>
      </w:r>
    </w:p>
    <w:p w14:paraId="444DB707">
      <w:pPr>
        <w:pStyle w:val="48"/>
        <w:adjustRightInd/>
        <w:spacing w:line="360" w:lineRule="auto"/>
        <w:ind w:firstLine="480" w:firstLineChars="200"/>
        <w:jc w:val="both"/>
        <w:rPr>
          <w:rFonts w:hint="default" w:ascii="Times New Roman" w:hAnsi="Times New Roman"/>
          <w:b/>
          <w:bCs/>
          <w:color w:val="auto"/>
          <w:szCs w:val="24"/>
          <w:u w:val="none" w:color="auto"/>
        </w:rPr>
      </w:pPr>
      <w:r>
        <w:rPr>
          <w:rFonts w:hint="default" w:ascii="Times New Roman" w:hAnsi="Times New Roman"/>
          <w:b/>
          <w:bCs/>
          <w:color w:val="auto"/>
          <w:szCs w:val="24"/>
          <w:u w:val="none" w:color="auto"/>
        </w:rPr>
        <w:t>6、区域地下水动态特征</w:t>
      </w:r>
    </w:p>
    <w:p w14:paraId="595E48E1">
      <w:pPr>
        <w:pStyle w:val="59"/>
        <w:spacing w:line="360" w:lineRule="auto"/>
        <w:ind w:left="0" w:firstLine="480" w:firstLineChars="200"/>
        <w:rPr>
          <w:rFonts w:ascii="Times New Roman"/>
          <w:b w:val="0"/>
          <w:bCs w:val="0"/>
          <w:color w:val="auto"/>
          <w:sz w:val="24"/>
          <w:szCs w:val="24"/>
          <w:u w:val="none" w:color="auto"/>
        </w:rPr>
      </w:pPr>
      <w:r>
        <w:rPr>
          <w:rFonts w:hint="eastAsia" w:ascii="Times New Roman"/>
          <w:b w:val="0"/>
          <w:bCs w:val="0"/>
          <w:color w:val="auto"/>
          <w:sz w:val="24"/>
          <w:szCs w:val="24"/>
          <w:u w:val="none" w:color="auto"/>
        </w:rPr>
        <w:t>项目厂区</w:t>
      </w:r>
      <w:r>
        <w:rPr>
          <w:rFonts w:ascii="Times New Roman"/>
          <w:b w:val="0"/>
          <w:bCs w:val="0"/>
          <w:color w:val="auto"/>
          <w:sz w:val="24"/>
          <w:szCs w:val="24"/>
          <w:u w:val="none" w:color="auto"/>
        </w:rPr>
        <w:t>水位观测得地下水水位埋深为</w:t>
      </w:r>
      <w:r>
        <w:rPr>
          <w:rFonts w:hint="eastAsia" w:ascii="Times New Roman"/>
          <w:b w:val="0"/>
          <w:bCs w:val="0"/>
          <w:color w:val="auto"/>
          <w:sz w:val="24"/>
          <w:szCs w:val="24"/>
          <w:u w:val="none" w:color="auto"/>
        </w:rPr>
        <w:t>1.57</w:t>
      </w:r>
      <w:r>
        <w:rPr>
          <w:rFonts w:ascii="Times New Roman"/>
          <w:b w:val="0"/>
          <w:bCs w:val="0"/>
          <w:color w:val="auto"/>
          <w:sz w:val="24"/>
          <w:szCs w:val="24"/>
          <w:u w:val="none" w:color="auto"/>
        </w:rPr>
        <w:t>～</w:t>
      </w:r>
      <w:r>
        <w:rPr>
          <w:rFonts w:hint="eastAsia" w:ascii="Times New Roman"/>
          <w:b w:val="0"/>
          <w:bCs w:val="0"/>
          <w:color w:val="auto"/>
          <w:sz w:val="24"/>
          <w:szCs w:val="24"/>
          <w:u w:val="none" w:color="auto"/>
        </w:rPr>
        <w:t>2.25</w:t>
      </w:r>
      <w:r>
        <w:rPr>
          <w:rFonts w:ascii="Times New Roman"/>
          <w:b w:val="0"/>
          <w:bCs w:val="0"/>
          <w:color w:val="auto"/>
          <w:sz w:val="24"/>
          <w:szCs w:val="24"/>
          <w:u w:val="none" w:color="auto"/>
        </w:rPr>
        <w:t>m，水位标高</w:t>
      </w:r>
      <w:r>
        <w:rPr>
          <w:rFonts w:hint="eastAsia" w:ascii="Times New Roman"/>
          <w:b w:val="0"/>
          <w:bCs w:val="0"/>
          <w:color w:val="auto"/>
          <w:sz w:val="24"/>
          <w:szCs w:val="24"/>
          <w:u w:val="none" w:color="auto"/>
        </w:rPr>
        <w:t>2.16</w:t>
      </w:r>
      <w:r>
        <w:rPr>
          <w:rFonts w:ascii="Times New Roman"/>
          <w:b w:val="0"/>
          <w:bCs w:val="0"/>
          <w:color w:val="auto"/>
          <w:sz w:val="24"/>
          <w:szCs w:val="24"/>
          <w:u w:val="none" w:color="auto"/>
        </w:rPr>
        <w:t>～2.</w:t>
      </w:r>
      <w:r>
        <w:rPr>
          <w:rFonts w:hint="eastAsia" w:ascii="Times New Roman"/>
          <w:b w:val="0"/>
          <w:bCs w:val="0"/>
          <w:color w:val="auto"/>
          <w:sz w:val="24"/>
          <w:szCs w:val="24"/>
          <w:u w:val="none" w:color="auto"/>
        </w:rPr>
        <w:t>43</w:t>
      </w:r>
      <w:r>
        <w:rPr>
          <w:rFonts w:ascii="Times New Roman"/>
          <w:b w:val="0"/>
          <w:bCs w:val="0"/>
          <w:color w:val="auto"/>
          <w:sz w:val="24"/>
          <w:szCs w:val="24"/>
          <w:u w:val="none" w:color="auto"/>
        </w:rPr>
        <w:t>m。项目</w:t>
      </w:r>
      <w:r>
        <w:rPr>
          <w:rFonts w:hint="eastAsia" w:ascii="Times New Roman"/>
          <w:b w:val="0"/>
          <w:bCs w:val="0"/>
          <w:color w:val="auto"/>
          <w:sz w:val="24"/>
          <w:szCs w:val="24"/>
          <w:u w:val="none" w:color="auto"/>
        </w:rPr>
        <w:t>区域</w:t>
      </w:r>
      <w:r>
        <w:rPr>
          <w:rFonts w:ascii="Times New Roman"/>
          <w:b w:val="0"/>
          <w:bCs w:val="0"/>
          <w:color w:val="auto"/>
          <w:sz w:val="24"/>
          <w:szCs w:val="24"/>
          <w:u w:val="none" w:color="auto"/>
        </w:rPr>
        <w:t>地下水主要由</w:t>
      </w:r>
      <w:r>
        <w:rPr>
          <w:rFonts w:hint="eastAsia" w:ascii="Times New Roman"/>
          <w:b w:val="0"/>
          <w:bCs w:val="0"/>
          <w:color w:val="auto"/>
          <w:sz w:val="24"/>
          <w:szCs w:val="24"/>
          <w:u w:val="none" w:color="auto"/>
        </w:rPr>
        <w:t>东</w:t>
      </w:r>
      <w:r>
        <w:rPr>
          <w:rFonts w:ascii="Times New Roman"/>
          <w:b w:val="0"/>
          <w:bCs w:val="0"/>
          <w:color w:val="auto"/>
          <w:sz w:val="24"/>
          <w:szCs w:val="24"/>
          <w:u w:val="none" w:color="auto"/>
        </w:rPr>
        <w:t>向</w:t>
      </w:r>
      <w:r>
        <w:rPr>
          <w:rFonts w:hint="eastAsia" w:ascii="Times New Roman"/>
          <w:b w:val="0"/>
          <w:bCs w:val="0"/>
          <w:color w:val="auto"/>
          <w:sz w:val="24"/>
          <w:szCs w:val="24"/>
          <w:u w:val="none" w:color="auto"/>
        </w:rPr>
        <w:t>西</w:t>
      </w:r>
      <w:r>
        <w:rPr>
          <w:rFonts w:ascii="Times New Roman"/>
          <w:b w:val="0"/>
          <w:bCs w:val="0"/>
          <w:color w:val="auto"/>
          <w:sz w:val="24"/>
          <w:szCs w:val="24"/>
          <w:u w:val="none" w:color="auto"/>
        </w:rPr>
        <w:t>径流排泄至</w:t>
      </w:r>
      <w:r>
        <w:rPr>
          <w:rFonts w:hint="eastAsia" w:ascii="Times New Roman"/>
          <w:b w:val="0"/>
          <w:bCs w:val="0"/>
          <w:color w:val="auto"/>
          <w:sz w:val="24"/>
          <w:szCs w:val="24"/>
          <w:u w:val="none" w:color="auto"/>
        </w:rPr>
        <w:t>金谷江</w:t>
      </w:r>
      <w:r>
        <w:rPr>
          <w:rFonts w:ascii="Times New Roman"/>
          <w:b w:val="0"/>
          <w:bCs w:val="0"/>
          <w:color w:val="auto"/>
          <w:sz w:val="24"/>
          <w:szCs w:val="24"/>
          <w:u w:val="none" w:color="auto"/>
        </w:rPr>
        <w:t xml:space="preserve">。调查区天然条件下的地下水动态与大气降雨等气象因素关系密切，具有明显的季节性。每年6~9月处于高水位期，10月以后随着降雨减少而缓慢下降，常在2～3月出现水位低谷，但不同地域、不同地下水类型的动态尚有所差别。 </w:t>
      </w:r>
    </w:p>
    <w:p w14:paraId="5198352D">
      <w:pPr>
        <w:pStyle w:val="59"/>
        <w:spacing w:line="360" w:lineRule="auto"/>
        <w:ind w:left="0" w:firstLine="480" w:firstLineChars="200"/>
        <w:rPr>
          <w:rFonts w:ascii="Times New Roman"/>
          <w:color w:val="auto"/>
          <w:sz w:val="24"/>
          <w:szCs w:val="24"/>
          <w:u w:val="none" w:color="auto"/>
        </w:rPr>
      </w:pPr>
      <w:r>
        <w:rPr>
          <w:rFonts w:hint="eastAsia" w:ascii="Times New Roman"/>
          <w:b w:val="0"/>
          <w:bCs w:val="0"/>
          <w:color w:val="auto"/>
          <w:sz w:val="24"/>
          <w:szCs w:val="24"/>
          <w:u w:val="none" w:color="auto"/>
        </w:rPr>
        <w:t>目区域</w:t>
      </w:r>
      <w:r>
        <w:rPr>
          <w:rFonts w:ascii="Times New Roman"/>
          <w:b w:val="0"/>
          <w:bCs w:val="0"/>
          <w:color w:val="auto"/>
          <w:sz w:val="24"/>
          <w:szCs w:val="24"/>
          <w:u w:val="none" w:color="auto"/>
        </w:rPr>
        <w:t>地下水动态以气象型为主：地下水受降雨补给控制，地下水位降雨则升，无雨则降，且年变幅较大；流量与降雨有较大的关系，大雨后流量剧增，</w:t>
      </w:r>
      <w:r>
        <w:rPr>
          <w:rFonts w:hint="eastAsia" w:ascii="Times New Roman"/>
          <w:b w:val="0"/>
          <w:bCs w:val="0"/>
          <w:color w:val="auto"/>
          <w:sz w:val="24"/>
          <w:szCs w:val="24"/>
          <w:u w:val="none" w:color="auto"/>
          <w:lang w:eastAsia="zh-CN"/>
        </w:rPr>
        <w:t>其他时段</w:t>
      </w:r>
      <w:r>
        <w:rPr>
          <w:rFonts w:ascii="Times New Roman"/>
          <w:b w:val="0"/>
          <w:bCs w:val="0"/>
          <w:color w:val="auto"/>
          <w:sz w:val="24"/>
          <w:szCs w:val="24"/>
          <w:u w:val="none" w:color="auto"/>
        </w:rPr>
        <w:t>流量又逐渐减少。地下水位变化对降雨反应较灵敏，水位上升与降雨量成正相关。</w:t>
      </w:r>
    </w:p>
    <w:p w14:paraId="4A6FD7F7">
      <w:pPr>
        <w:pStyle w:val="59"/>
        <w:spacing w:line="360" w:lineRule="auto"/>
        <w:ind w:left="0" w:firstLine="482" w:firstLineChars="200"/>
        <w:rPr>
          <w:rFonts w:ascii="Times New Roman"/>
          <w:color w:val="auto"/>
          <w:sz w:val="24"/>
          <w:szCs w:val="24"/>
          <w:u w:val="none" w:color="auto"/>
        </w:rPr>
      </w:pPr>
      <w:r>
        <w:rPr>
          <w:rFonts w:ascii="Times New Roman"/>
          <w:color w:val="auto"/>
          <w:sz w:val="24"/>
          <w:szCs w:val="24"/>
          <w:u w:val="none" w:color="auto"/>
        </w:rPr>
        <w:t>7、区域地下水化学类型</w:t>
      </w:r>
    </w:p>
    <w:p w14:paraId="364FCEE9">
      <w:pPr>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区域</w:t>
      </w:r>
      <w:r>
        <w:rPr>
          <w:rFonts w:ascii="Times New Roman" w:hAnsi="Times New Roman" w:eastAsia="宋体" w:cs="Times New Roman"/>
          <w:color w:val="auto"/>
          <w:sz w:val="24"/>
          <w:szCs w:val="24"/>
          <w:u w:val="none" w:color="auto"/>
        </w:rPr>
        <w:t>地下水主要为矿化度极低的中性－弱酸性极软水。区域地下水主要以 HCO</w:t>
      </w:r>
      <w:r>
        <w:rPr>
          <w:rFonts w:ascii="Times New Roman" w:hAnsi="Times New Roman" w:eastAsia="宋体" w:cs="Times New Roman"/>
          <w:color w:val="auto"/>
          <w:sz w:val="24"/>
          <w:szCs w:val="24"/>
          <w:u w:val="none" w:color="auto"/>
          <w:vertAlign w:val="subscript"/>
        </w:rPr>
        <w:t>3</w:t>
      </w:r>
      <w:r>
        <w:rPr>
          <w:rFonts w:ascii="Times New Roman" w:hAnsi="Times New Roman" w:eastAsia="宋体" w:cs="Times New Roman"/>
          <w:color w:val="auto"/>
          <w:sz w:val="24"/>
          <w:szCs w:val="24"/>
          <w:u w:val="none" w:color="auto"/>
        </w:rPr>
        <w:t>·Cl－Na·Ca(或 Ca·Na)型为主，其次为Cl－Na型、HCO</w:t>
      </w:r>
      <w:r>
        <w:rPr>
          <w:rFonts w:ascii="Times New Roman" w:hAnsi="Times New Roman" w:eastAsia="宋体" w:cs="Times New Roman"/>
          <w:color w:val="auto"/>
          <w:sz w:val="24"/>
          <w:szCs w:val="24"/>
          <w:u w:val="none" w:color="auto"/>
          <w:vertAlign w:val="subscript"/>
        </w:rPr>
        <w:t>3</w:t>
      </w:r>
      <w:r>
        <w:rPr>
          <w:rFonts w:ascii="Times New Roman" w:hAnsi="Times New Roman" w:eastAsia="宋体" w:cs="Times New Roman"/>
          <w:color w:val="auto"/>
          <w:sz w:val="24"/>
          <w:szCs w:val="24"/>
          <w:u w:val="none" w:color="auto"/>
        </w:rPr>
        <w:t>－Na·Ca（或Ca）型。水质以弱酸性水为主，硬度一般0.42～7.56德度，矿化度0.016-0.309g/L，矿化度和总硬度都比较低。</w:t>
      </w:r>
    </w:p>
    <w:p w14:paraId="5187E1C0">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w:t>
      </w:r>
      <w:r>
        <w:rPr>
          <w:rFonts w:hint="eastAsia" w:ascii="Times New Roman" w:hAnsi="Times New Roman" w:eastAsia="宋体" w:cs="Times New Roman"/>
          <w:b/>
          <w:color w:val="auto"/>
          <w:sz w:val="28"/>
          <w:u w:val="none" w:color="auto"/>
        </w:rPr>
        <w:t>6.3污染途径</w:t>
      </w:r>
    </w:p>
    <w:p w14:paraId="2E2B4A08">
      <w:pPr>
        <w:spacing w:line="360" w:lineRule="auto"/>
        <w:ind w:firstLine="480" w:firstLineChars="200"/>
        <w:rPr>
          <w:color w:val="auto"/>
          <w:sz w:val="24"/>
          <w:szCs w:val="24"/>
          <w:u w:val="none" w:color="auto"/>
        </w:rPr>
      </w:pPr>
      <w:r>
        <w:rPr>
          <w:rFonts w:ascii="Times New Roman" w:hAnsi="Times New Roman" w:eastAsia="宋体" w:cs="Times New Roman"/>
          <w:color w:val="auto"/>
          <w:sz w:val="24"/>
          <w:szCs w:val="24"/>
          <w:u w:val="none" w:color="auto"/>
        </w:rPr>
        <w:t>依据本项目区水文地质条件和边界条件，本厂区为丘陵地区，项目主要污染源为</w:t>
      </w:r>
      <w:r>
        <w:rPr>
          <w:rFonts w:hint="eastAsia" w:ascii="Times New Roman" w:hAnsi="Times New Roman" w:eastAsia="宋体" w:cs="Times New Roman"/>
          <w:color w:val="auto"/>
          <w:sz w:val="24"/>
          <w:szCs w:val="24"/>
          <w:u w:val="none" w:color="auto"/>
        </w:rPr>
        <w:t>甲苯、</w:t>
      </w:r>
      <w:r>
        <w:rPr>
          <w:rFonts w:ascii="Times New Roman" w:hAnsi="Times New Roman" w:eastAsia="宋体" w:cs="Times New Roman"/>
          <w:color w:val="auto"/>
          <w:sz w:val="24"/>
          <w:szCs w:val="24"/>
          <w:u w:val="none" w:color="auto"/>
        </w:rPr>
        <w:t>二甲苯泄露，发生泄漏后，污染物沿上部土层孔隙和下部基岩裂隙渗透至地下水，主要可能污染方向和范围是本项目厂区及下游地段地下水，从而引起下游地下水水质恶化。渗流污染方向与地下水水流方向一致，区域地下水水流方向基本与地表径流方向一致。</w:t>
      </w:r>
    </w:p>
    <w:p w14:paraId="6450FDE9">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w:t>
      </w:r>
      <w:r>
        <w:rPr>
          <w:rFonts w:hint="eastAsia" w:ascii="Times New Roman" w:hAnsi="Times New Roman" w:eastAsia="宋体" w:cs="Times New Roman"/>
          <w:b/>
          <w:color w:val="auto"/>
          <w:sz w:val="28"/>
          <w:u w:val="none" w:color="auto"/>
        </w:rPr>
        <w:t>6</w:t>
      </w:r>
      <w:r>
        <w:rPr>
          <w:rFonts w:ascii="Times New Roman" w:hAnsi="Times New Roman" w:eastAsia="宋体" w:cs="Times New Roman"/>
          <w:b/>
          <w:color w:val="auto"/>
          <w:sz w:val="28"/>
          <w:u w:val="none" w:color="auto"/>
        </w:rPr>
        <w:t>.</w:t>
      </w:r>
      <w:r>
        <w:rPr>
          <w:rFonts w:hint="eastAsia" w:ascii="Times New Roman" w:hAnsi="Times New Roman" w:eastAsia="宋体" w:cs="Times New Roman"/>
          <w:b/>
          <w:color w:val="auto"/>
          <w:sz w:val="28"/>
          <w:u w:val="none" w:color="auto"/>
        </w:rPr>
        <w:t>4地下水环境影响与预测</w:t>
      </w:r>
    </w:p>
    <w:p w14:paraId="182916B9">
      <w:pPr>
        <w:autoSpaceDE w:val="0"/>
        <w:autoSpaceDN w:val="0"/>
        <w:spacing w:line="360" w:lineRule="auto"/>
        <w:ind w:firstLine="482" w:firstLineChars="200"/>
        <w:jc w:val="left"/>
        <w:rPr>
          <w:rFonts w:ascii="Times New Roman" w:hAnsi="Times New Roman" w:eastAsia="宋体" w:cs="Times New Roman"/>
          <w:b/>
          <w:bCs/>
          <w:color w:val="auto"/>
          <w:sz w:val="24"/>
          <w:u w:val="none" w:color="auto"/>
        </w:rPr>
      </w:pPr>
      <w:r>
        <w:rPr>
          <w:rFonts w:hint="eastAsia" w:ascii="Times New Roman" w:hAnsi="Times New Roman" w:eastAsia="宋体" w:cs="Times New Roman"/>
          <w:b/>
          <w:bCs/>
          <w:color w:val="auto"/>
          <w:sz w:val="24"/>
          <w:u w:val="none" w:color="auto"/>
        </w:rPr>
        <w:t>1、预测内容及情景</w:t>
      </w:r>
    </w:p>
    <w:p w14:paraId="1AEB5339">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（1）</w:t>
      </w:r>
      <w:r>
        <w:rPr>
          <w:rFonts w:ascii="Times New Roman" w:hAnsi="Times New Roman" w:eastAsia="宋体" w:cs="Times New Roman"/>
          <w:color w:val="auto"/>
          <w:sz w:val="24"/>
          <w:u w:val="none" w:color="auto"/>
        </w:rPr>
        <w:t xml:space="preserve">正常工况地下水环境影响分析 </w:t>
      </w:r>
    </w:p>
    <w:p w14:paraId="1BB5D20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项目正常生产过程中无</w:t>
      </w:r>
      <w:r>
        <w:rPr>
          <w:rFonts w:hint="eastAsia" w:ascii="Times New Roman" w:hAnsi="Times New Roman" w:eastAsia="宋体" w:cs="Times New Roman"/>
          <w:color w:val="auto"/>
          <w:sz w:val="24"/>
          <w:u w:val="none" w:color="auto"/>
        </w:rPr>
        <w:t>生产</w:t>
      </w:r>
      <w:r>
        <w:rPr>
          <w:rFonts w:ascii="Times New Roman" w:hAnsi="Times New Roman" w:eastAsia="宋体" w:cs="Times New Roman"/>
          <w:color w:val="auto"/>
          <w:sz w:val="24"/>
          <w:u w:val="none" w:color="auto"/>
        </w:rPr>
        <w:t>废水产生</w:t>
      </w:r>
      <w:r>
        <w:rPr>
          <w:rFonts w:hint="eastAsia" w:ascii="Times New Roman" w:hAnsi="Times New Roman" w:eastAsia="宋体" w:cs="Times New Roman"/>
          <w:color w:val="auto"/>
          <w:sz w:val="24"/>
          <w:u w:val="none" w:color="auto"/>
        </w:rPr>
        <w:t>，生活污水经化粪池处理后排入市政污水管网</w:t>
      </w:r>
      <w:r>
        <w:rPr>
          <w:rFonts w:ascii="Times New Roman" w:hAnsi="Times New Roman" w:eastAsia="宋体" w:cs="Times New Roman"/>
          <w:color w:val="auto"/>
          <w:sz w:val="24"/>
          <w:u w:val="none" w:color="auto"/>
        </w:rPr>
        <w:t>。项目产生的固体废物如废</w:t>
      </w:r>
      <w:r>
        <w:rPr>
          <w:rFonts w:hint="eastAsia" w:ascii="Times New Roman" w:hAnsi="Times New Roman" w:eastAsia="宋体" w:cs="Times New Roman"/>
          <w:color w:val="auto"/>
          <w:sz w:val="24"/>
          <w:u w:val="none" w:color="auto"/>
        </w:rPr>
        <w:t>油漆桶</w:t>
      </w:r>
      <w:r>
        <w:rPr>
          <w:rFonts w:ascii="Times New Roman" w:hAnsi="Times New Roman" w:eastAsia="宋体" w:cs="Times New Roman"/>
          <w:color w:val="auto"/>
          <w:sz w:val="24"/>
          <w:u w:val="none" w:color="auto"/>
        </w:rPr>
        <w:t xml:space="preserve">、废活性炭、废过滤棉等，在自然和无防护措施的条件下，因雨水淋溶和冲刷，下渗进入浅层地下水含水层，也会对周围环境产生影响。 </w:t>
      </w:r>
    </w:p>
    <w:p w14:paraId="6720C65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项目对各构筑物、厂区地面均采取严格的防渗措施，并严格管理，杜绝跑冒滴漏。</w:t>
      </w:r>
      <w:r>
        <w:rPr>
          <w:rFonts w:hint="eastAsia" w:ascii="Times New Roman" w:hAnsi="Times New Roman" w:eastAsia="宋体" w:cs="Times New Roman"/>
          <w:color w:val="auto"/>
          <w:sz w:val="24"/>
          <w:u w:val="none" w:color="auto"/>
        </w:rPr>
        <w:t>危险废物</w:t>
      </w:r>
      <w:r>
        <w:rPr>
          <w:rFonts w:ascii="Times New Roman" w:hAnsi="Times New Roman" w:eastAsia="宋体" w:cs="Times New Roman"/>
          <w:color w:val="auto"/>
          <w:sz w:val="24"/>
          <w:u w:val="none" w:color="auto"/>
        </w:rPr>
        <w:t>在暂存期间，应减少堆存时间，并采取室内储存、地面严格防渗等措施，避免淋溶液下渗污染地下水。因此，项目只要按照设计要求，精心施工，保证质量，</w:t>
      </w:r>
      <w:r>
        <w:rPr>
          <w:rFonts w:hint="eastAsia" w:ascii="Times New Roman" w:hAnsi="Times New Roman" w:eastAsia="宋体" w:cs="Times New Roman"/>
          <w:color w:val="auto"/>
          <w:sz w:val="24"/>
          <w:u w:val="none" w:color="auto"/>
        </w:rPr>
        <w:t>项目厂区</w:t>
      </w:r>
      <w:r>
        <w:rPr>
          <w:rFonts w:ascii="Times New Roman" w:hAnsi="Times New Roman" w:eastAsia="宋体" w:cs="Times New Roman"/>
          <w:color w:val="auto"/>
          <w:sz w:val="24"/>
          <w:u w:val="none" w:color="auto"/>
        </w:rPr>
        <w:t xml:space="preserve">的防渗性能较高。在充分落实报告书中提出的各地下水防治措施、保证施工质量、强化日常管理后，正常运行过程中能够有效减少对地下水的影响。 </w:t>
      </w:r>
    </w:p>
    <w:p w14:paraId="7726D940">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（2）</w:t>
      </w:r>
      <w:r>
        <w:rPr>
          <w:rFonts w:ascii="Times New Roman" w:hAnsi="Times New Roman" w:eastAsia="宋体" w:cs="Times New Roman"/>
          <w:color w:val="auto"/>
          <w:sz w:val="24"/>
          <w:u w:val="none" w:color="auto"/>
        </w:rPr>
        <w:t xml:space="preserve">非正常工况地下水环境影响分析 </w:t>
      </w:r>
    </w:p>
    <w:p w14:paraId="006F0278">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根据《环境影响评价技术导则 地下水环境》（</w:t>
      </w:r>
      <w:r>
        <w:rPr>
          <w:rFonts w:ascii="Times New Roman" w:hAnsi="Times New Roman" w:eastAsia="宋体" w:cs="Times New Roman"/>
          <w:color w:val="auto"/>
          <w:sz w:val="24"/>
          <w:u w:val="none" w:color="auto"/>
        </w:rPr>
        <w:t>HJ 610-2016</w:t>
      </w:r>
      <w:r>
        <w:rPr>
          <w:rFonts w:hint="eastAsia" w:ascii="Times New Roman" w:hAnsi="Times New Roman" w:eastAsia="宋体" w:cs="Times New Roman"/>
          <w:color w:val="auto"/>
          <w:sz w:val="24"/>
          <w:u w:val="none" w:color="auto"/>
        </w:rPr>
        <w:t>），地下水环境影响预测时段应选取可能产生地下水污染的关键时段，至少包括污染发生后</w:t>
      </w:r>
      <w:r>
        <w:rPr>
          <w:rFonts w:ascii="Times New Roman" w:hAnsi="Times New Roman" w:eastAsia="宋体" w:cs="Times New Roman"/>
          <w:color w:val="auto"/>
          <w:sz w:val="24"/>
          <w:u w:val="none" w:color="auto"/>
        </w:rPr>
        <w:t>100d</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1000d</w:t>
      </w:r>
      <w:r>
        <w:rPr>
          <w:rFonts w:hint="eastAsia" w:ascii="Times New Roman" w:hAnsi="Times New Roman" w:eastAsia="宋体" w:cs="Times New Roman"/>
          <w:color w:val="auto"/>
          <w:sz w:val="24"/>
          <w:u w:val="none" w:color="auto"/>
        </w:rPr>
        <w:t>，服务年限或能反映特征因子迁移规律的其他重要的时间节点。建设项目不存在难降解的金属离子等特征因子，甲苯和二甲苯泄露造成地下水污染时，污染物可随着时间逐渐稀释、降解，因此本次预测主要考虑污染发生后</w:t>
      </w:r>
      <w:r>
        <w:rPr>
          <w:rFonts w:ascii="Times New Roman" w:hAnsi="Times New Roman" w:eastAsia="宋体" w:cs="Times New Roman"/>
          <w:color w:val="auto"/>
          <w:sz w:val="24"/>
          <w:u w:val="none" w:color="auto"/>
        </w:rPr>
        <w:t>100d</w:t>
      </w:r>
      <w:r>
        <w:rPr>
          <w:rFonts w:hint="eastAsia" w:ascii="Times New Roman" w:hAnsi="Times New Roman" w:eastAsia="宋体" w:cs="Times New Roman"/>
          <w:color w:val="auto"/>
          <w:sz w:val="24"/>
          <w:u w:val="none" w:color="auto"/>
        </w:rPr>
        <w:t xml:space="preserve">、1000d内污染物的迁移规律。 </w:t>
      </w:r>
    </w:p>
    <w:p w14:paraId="04D422CB">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情景设置：</w:t>
      </w:r>
      <w:r>
        <w:rPr>
          <w:rFonts w:hint="eastAsia" w:ascii="Times New Roman" w:hAnsi="Times New Roman" w:eastAsia="宋体" w:cs="Times New Roman"/>
          <w:color w:val="auto"/>
          <w:sz w:val="24"/>
          <w:u w:val="none" w:color="auto"/>
          <w:lang w:eastAsia="zh-CN"/>
        </w:rPr>
        <w:t>涂装车间</w:t>
      </w:r>
      <w:r>
        <w:rPr>
          <w:rFonts w:hint="eastAsia" w:ascii="Times New Roman" w:hAnsi="Times New Roman" w:eastAsia="宋体" w:cs="Times New Roman"/>
          <w:color w:val="auto"/>
          <w:sz w:val="24"/>
          <w:u w:val="none" w:color="auto"/>
        </w:rPr>
        <w:t>油漆储存区风险事故状态下油漆、稀释剂、固化剂等泄露，油漆、稀释剂、固化剂中的甲苯、二甲苯下渗引起的地下水污染情景进行影响预测。</w:t>
      </w:r>
    </w:p>
    <w:p w14:paraId="3AACEF7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2、预测因子</w:t>
      </w:r>
    </w:p>
    <w:p w14:paraId="28F176D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本次评价在解析项目建设可能产生的污染源的基础上，根据工程分析，确定废水污染源措施的走向及环节，并选择污染风险及危害较大的污染源进行预测分析。通过综合考虑，评价认为甲苯和二甲苯泄露污染地下水风险及危害相对较大，因此，本次选取甲苯和二甲苯泄露所造成的地下水污染情况进行预测，并选取甲苯和二甲苯作为预测评价因子。</w:t>
      </w:r>
    </w:p>
    <w:p w14:paraId="68FDA401">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3、预测模型的确定</w:t>
      </w:r>
    </w:p>
    <w:p w14:paraId="406F96F4">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（1）模型的确定</w:t>
      </w:r>
    </w:p>
    <w:p w14:paraId="663D827E">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kern w:val="0"/>
          <w:sz w:val="24"/>
          <w:szCs w:val="24"/>
          <w:u w:val="none" w:color="auto"/>
        </w:rPr>
        <w:t>依据《环境影响评价技术导则</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地下水环境》（HJ610-2016）对二级评价的要求，结合本期工程场地水文地质条件和潜在污染源特征，地下水环境影响预测</w:t>
      </w:r>
      <w:r>
        <w:rPr>
          <w:rFonts w:hint="eastAsia" w:ascii="Times New Roman" w:hAnsi="Times New Roman" w:eastAsia="宋体" w:cs="Times New Roman"/>
          <w:color w:val="auto"/>
          <w:kern w:val="0"/>
          <w:sz w:val="24"/>
          <w:szCs w:val="24"/>
          <w:u w:val="none" w:color="auto"/>
          <w:lang w:eastAsia="zh-CN"/>
        </w:rPr>
        <w:t>采用</w:t>
      </w:r>
      <w:r>
        <w:rPr>
          <w:rFonts w:ascii="Times New Roman" w:hAnsi="Times New Roman" w:eastAsia="宋体" w:cs="Times New Roman"/>
          <w:color w:val="auto"/>
          <w:kern w:val="0"/>
          <w:sz w:val="24"/>
          <w:szCs w:val="24"/>
          <w:u w:val="none" w:color="auto"/>
        </w:rPr>
        <w:t>一维稳定流一维水动力弥散模型进行预测分析，一端为定浓度边界模型</w:t>
      </w:r>
      <w:r>
        <w:rPr>
          <w:rFonts w:ascii="Times New Roman" w:hAnsi="Times New Roman" w:eastAsia="宋体" w:cs="Times New Roman"/>
          <w:color w:val="auto"/>
          <w:kern w:val="0"/>
          <w:sz w:val="24"/>
          <w:szCs w:val="20"/>
          <w:u w:val="none" w:color="auto"/>
        </w:rPr>
        <w:t>：</w:t>
      </w:r>
    </w:p>
    <w:p w14:paraId="61FCCD83">
      <w:pPr>
        <w:autoSpaceDE w:val="0"/>
        <w:autoSpaceDN w:val="0"/>
        <w:spacing w:line="360" w:lineRule="auto"/>
        <w:ind w:firstLine="420" w:firstLineChars="200"/>
        <w:jc w:val="left"/>
        <w:rPr>
          <w:rFonts w:ascii="Times New Roman" w:hAnsi="Times New Roman" w:eastAsia="宋体" w:cs="Times New Roman"/>
          <w:color w:val="auto"/>
          <w:sz w:val="24"/>
          <w:szCs w:val="24"/>
          <w:u w:val="none" w:color="auto"/>
        </w:rPr>
      </w:pPr>
      <w:r>
        <w:rPr>
          <w:rFonts w:ascii="Times New Roman" w:hAnsi="Times New Roman" w:cs="Times New Roman"/>
          <w:color w:val="auto"/>
          <w:u w:val="none" w:color="auto"/>
        </w:rPr>
        <w:drawing>
          <wp:inline distT="0" distB="0" distL="114300" distR="114300">
            <wp:extent cx="3657600" cy="1089660"/>
            <wp:effectExtent l="0" t="0" r="0" b="571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70"/>
                    <a:stretch>
                      <a:fillRect/>
                    </a:stretch>
                  </pic:blipFill>
                  <pic:spPr>
                    <a:xfrm>
                      <a:off x="0" y="0"/>
                      <a:ext cx="3657600" cy="1089660"/>
                    </a:xfrm>
                    <a:prstGeom prst="rect">
                      <a:avLst/>
                    </a:prstGeom>
                    <a:noFill/>
                    <a:ln>
                      <a:noFill/>
                    </a:ln>
                  </pic:spPr>
                </pic:pic>
              </a:graphicData>
            </a:graphic>
          </wp:inline>
        </w:drawing>
      </w:r>
    </w:p>
    <w:p w14:paraId="5C8CE871">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式中：C（x，t）——t 时刻 x 处的污染物浓度（mg/L）； </w:t>
      </w:r>
    </w:p>
    <w:p w14:paraId="5EFAA422">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m—注入的污染物质量（kg）； </w:t>
      </w:r>
    </w:p>
    <w:p w14:paraId="6196B968">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W——池基底透水的横截面积，m</w:t>
      </w:r>
      <w:r>
        <w:rPr>
          <w:rFonts w:ascii="Times New Roman" w:hAnsi="Times New Roman" w:eastAsia="宋体" w:cs="Times New Roman"/>
          <w:color w:val="auto"/>
          <w:kern w:val="0"/>
          <w:sz w:val="24"/>
          <w:szCs w:val="24"/>
          <w:u w:val="none" w:color="auto"/>
          <w:vertAlign w:val="superscript"/>
        </w:rPr>
        <w:t>2</w:t>
      </w:r>
      <w:r>
        <w:rPr>
          <w:rFonts w:ascii="Times New Roman" w:hAnsi="Times New Roman" w:eastAsia="宋体" w:cs="Times New Roman"/>
          <w:color w:val="auto"/>
          <w:kern w:val="0"/>
          <w:sz w:val="24"/>
          <w:szCs w:val="24"/>
          <w:u w:val="none" w:color="auto"/>
        </w:rPr>
        <w:t xml:space="preserve">； </w:t>
      </w:r>
    </w:p>
    <w:p w14:paraId="767339CE">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U——水流速度（m/d）；</w:t>
      </w:r>
    </w:p>
    <w:p w14:paraId="32CB5371">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ne——有效孔隙度，无量纲； </w:t>
      </w:r>
    </w:p>
    <w:p w14:paraId="1B7D2C74">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D</w:t>
      </w:r>
      <w:r>
        <w:rPr>
          <w:rFonts w:ascii="Times New Roman" w:hAnsi="Times New Roman" w:eastAsia="宋体" w:cs="Times New Roman"/>
          <w:color w:val="auto"/>
          <w:kern w:val="0"/>
          <w:sz w:val="24"/>
          <w:szCs w:val="24"/>
          <w:u w:val="none" w:color="auto"/>
          <w:vertAlign w:val="subscript"/>
        </w:rPr>
        <w:t>L</w:t>
      </w:r>
      <w:r>
        <w:rPr>
          <w:rFonts w:ascii="Times New Roman" w:hAnsi="Times New Roman" w:eastAsia="宋体" w:cs="Times New Roman"/>
          <w:color w:val="auto"/>
          <w:kern w:val="0"/>
          <w:sz w:val="24"/>
          <w:szCs w:val="24"/>
          <w:u w:val="none" w:color="auto"/>
        </w:rPr>
        <w:t>——纵向弥散系数（m</w:t>
      </w:r>
      <w:r>
        <w:rPr>
          <w:rFonts w:ascii="Times New Roman" w:hAnsi="Times New Roman" w:eastAsia="宋体" w:cs="Times New Roman"/>
          <w:color w:val="auto"/>
          <w:kern w:val="0"/>
          <w:sz w:val="24"/>
          <w:szCs w:val="24"/>
          <w:u w:val="none" w:color="auto"/>
          <w:vertAlign w:val="superscript"/>
        </w:rPr>
        <w:t>2</w:t>
      </w:r>
      <w:r>
        <w:rPr>
          <w:rFonts w:ascii="Times New Roman" w:hAnsi="Times New Roman" w:eastAsia="宋体" w:cs="Times New Roman"/>
          <w:color w:val="auto"/>
          <w:kern w:val="0"/>
          <w:sz w:val="24"/>
          <w:szCs w:val="24"/>
          <w:u w:val="none" w:color="auto"/>
        </w:rPr>
        <w:t xml:space="preserve">/d）； </w:t>
      </w:r>
    </w:p>
    <w:p w14:paraId="4D6D3161">
      <w:pPr>
        <w:widowControl/>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kern w:val="0"/>
          <w:sz w:val="24"/>
          <w:szCs w:val="24"/>
          <w:u w:val="none" w:color="auto"/>
        </w:rPr>
        <w:t>π——圆周率，取3.14。</w:t>
      </w:r>
    </w:p>
    <w:p w14:paraId="385A2DA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（2）预测参数</w:t>
      </w:r>
    </w:p>
    <w:p w14:paraId="3F5BBE2F">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本次预测参数根据收集区域资料，为了满足地下水预测需要，根据国内相关文献类似岩组试验数据分析和结论，结合广西内的一些项目实践的经验值，综合提供相关参数如下表所示。</w:t>
      </w:r>
    </w:p>
    <w:p w14:paraId="1E17F982">
      <w:pPr>
        <w:autoSpaceDE w:val="0"/>
        <w:autoSpaceDN w:val="0"/>
        <w:jc w:val="center"/>
        <w:rPr>
          <w:rFonts w:ascii="Times New Roman" w:hAnsi="Times New Roman" w:eastAsia="宋体" w:cs="Times New Roman"/>
          <w:b/>
          <w:bCs/>
          <w:color w:val="auto"/>
          <w:sz w:val="24"/>
          <w:u w:val="none" w:color="auto"/>
        </w:rPr>
      </w:pPr>
      <w:r>
        <w:rPr>
          <w:rFonts w:hint="eastAsia" w:ascii="Times New Roman" w:hAnsi="Times New Roman" w:eastAsia="宋体" w:cs="Times New Roman"/>
          <w:b/>
          <w:bCs/>
          <w:color w:val="auto"/>
          <w:sz w:val="24"/>
          <w:u w:val="none" w:color="auto"/>
        </w:rPr>
        <w:t>表4.6-1 预测参数</w:t>
      </w:r>
    </w:p>
    <w:tbl>
      <w:tblPr>
        <w:tblStyle w:val="38"/>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5"/>
        <w:gridCol w:w="668"/>
        <w:gridCol w:w="1059"/>
        <w:gridCol w:w="827"/>
        <w:gridCol w:w="778"/>
        <w:gridCol w:w="1110"/>
        <w:gridCol w:w="1110"/>
        <w:gridCol w:w="974"/>
        <w:gridCol w:w="668"/>
      </w:tblGrid>
      <w:tr w14:paraId="4C57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5" w:type="dxa"/>
            <w:vMerge w:val="restart"/>
            <w:vAlign w:val="center"/>
          </w:tcPr>
          <w:p w14:paraId="00DDBB21">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岩土层</w:t>
            </w:r>
          </w:p>
        </w:tc>
        <w:tc>
          <w:tcPr>
            <w:tcW w:w="668" w:type="dxa"/>
            <w:vMerge w:val="restart"/>
            <w:vAlign w:val="center"/>
          </w:tcPr>
          <w:p w14:paraId="6E6DC4C3">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岩组</w:t>
            </w:r>
          </w:p>
          <w:p w14:paraId="4C7FF0F8">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代号</w:t>
            </w:r>
          </w:p>
        </w:tc>
        <w:tc>
          <w:tcPr>
            <w:tcW w:w="1059" w:type="dxa"/>
            <w:vAlign w:val="center"/>
          </w:tcPr>
          <w:p w14:paraId="1247ACED">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水平渗</w:t>
            </w:r>
          </w:p>
          <w:p w14:paraId="6D944684">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透系数</w:t>
            </w:r>
            <w:r>
              <w:rPr>
                <w:rFonts w:hint="eastAsia" w:ascii="Times New Roman" w:hAnsi="Times New Roman" w:eastAsia="宋体" w:cs="Times New Roman"/>
                <w:b/>
                <w:bCs/>
                <w:color w:val="auto"/>
                <w:szCs w:val="21"/>
                <w:u w:val="none" w:color="auto"/>
              </w:rPr>
              <w:t>K</w:t>
            </w:r>
          </w:p>
        </w:tc>
        <w:tc>
          <w:tcPr>
            <w:tcW w:w="827" w:type="dxa"/>
            <w:vAlign w:val="center"/>
          </w:tcPr>
          <w:p w14:paraId="58A5BB0F">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流速</w:t>
            </w:r>
            <w:r>
              <w:rPr>
                <w:rFonts w:hint="eastAsia" w:ascii="Times New Roman" w:hAnsi="Times New Roman" w:eastAsia="宋体" w:cs="Times New Roman"/>
                <w:b/>
                <w:bCs/>
                <w:color w:val="auto"/>
                <w:szCs w:val="21"/>
                <w:u w:val="none" w:color="auto"/>
              </w:rPr>
              <w:t>V</w:t>
            </w:r>
          </w:p>
        </w:tc>
        <w:tc>
          <w:tcPr>
            <w:tcW w:w="778" w:type="dxa"/>
            <w:vAlign w:val="center"/>
          </w:tcPr>
          <w:p w14:paraId="4958F4F6">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入渗</w:t>
            </w:r>
          </w:p>
          <w:p w14:paraId="2B13BE24">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系数</w:t>
            </w:r>
            <w:r>
              <w:rPr>
                <w:rFonts w:hint="eastAsia" w:ascii="Times New Roman" w:hAnsi="Times New Roman" w:eastAsia="宋体" w:cs="Times New Roman"/>
                <w:b/>
                <w:bCs/>
                <w:color w:val="auto"/>
                <w:szCs w:val="21"/>
                <w:u w:val="none" w:color="auto"/>
              </w:rPr>
              <w:t>a</w:t>
            </w:r>
          </w:p>
        </w:tc>
        <w:tc>
          <w:tcPr>
            <w:tcW w:w="1110" w:type="dxa"/>
            <w:vAlign w:val="center"/>
          </w:tcPr>
          <w:p w14:paraId="7E919C6C">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纵向弥散</w:t>
            </w:r>
          </w:p>
          <w:p w14:paraId="5EA9A4E0">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系数DL</w:t>
            </w:r>
          </w:p>
        </w:tc>
        <w:tc>
          <w:tcPr>
            <w:tcW w:w="1110" w:type="dxa"/>
            <w:vAlign w:val="center"/>
          </w:tcPr>
          <w:p w14:paraId="5A024B5D">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横向弥散</w:t>
            </w:r>
          </w:p>
          <w:p w14:paraId="288631CC">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系数DT</w:t>
            </w:r>
          </w:p>
        </w:tc>
        <w:tc>
          <w:tcPr>
            <w:tcW w:w="974" w:type="dxa"/>
            <w:vAlign w:val="center"/>
          </w:tcPr>
          <w:p w14:paraId="14DFBAAC">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平均水</w:t>
            </w:r>
          </w:p>
          <w:p w14:paraId="56E2C663">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力坡度I</w:t>
            </w:r>
          </w:p>
        </w:tc>
        <w:tc>
          <w:tcPr>
            <w:tcW w:w="668" w:type="dxa"/>
            <w:vAlign w:val="center"/>
          </w:tcPr>
          <w:p w14:paraId="4B5B8A70">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孔隙</w:t>
            </w:r>
          </w:p>
          <w:p w14:paraId="7225739C">
            <w:pPr>
              <w:autoSpaceDE w:val="0"/>
              <w:autoSpaceDN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率</w:t>
            </w:r>
          </w:p>
        </w:tc>
      </w:tr>
      <w:tr w14:paraId="4B95B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5" w:type="dxa"/>
            <w:vMerge w:val="continue"/>
            <w:vAlign w:val="center"/>
          </w:tcPr>
          <w:p w14:paraId="24F0D48C">
            <w:pPr>
              <w:autoSpaceDE w:val="0"/>
              <w:autoSpaceDN w:val="0"/>
              <w:jc w:val="center"/>
              <w:rPr>
                <w:rFonts w:ascii="Times New Roman" w:hAnsi="Times New Roman" w:eastAsia="宋体" w:cs="Times New Roman"/>
                <w:b/>
                <w:bCs/>
                <w:color w:val="auto"/>
                <w:szCs w:val="21"/>
                <w:u w:val="none" w:color="auto"/>
              </w:rPr>
            </w:pPr>
          </w:p>
        </w:tc>
        <w:tc>
          <w:tcPr>
            <w:tcW w:w="668" w:type="dxa"/>
            <w:vMerge w:val="continue"/>
            <w:vAlign w:val="center"/>
          </w:tcPr>
          <w:p w14:paraId="37007852">
            <w:pPr>
              <w:autoSpaceDE w:val="0"/>
              <w:autoSpaceDN w:val="0"/>
              <w:jc w:val="center"/>
              <w:rPr>
                <w:rFonts w:ascii="Times New Roman" w:hAnsi="Times New Roman" w:eastAsia="宋体" w:cs="Times New Roman"/>
                <w:b/>
                <w:bCs/>
                <w:color w:val="auto"/>
                <w:szCs w:val="21"/>
                <w:u w:val="none" w:color="auto"/>
              </w:rPr>
            </w:pPr>
          </w:p>
        </w:tc>
        <w:tc>
          <w:tcPr>
            <w:tcW w:w="1059" w:type="dxa"/>
            <w:vAlign w:val="center"/>
          </w:tcPr>
          <w:p w14:paraId="5E83AFFE">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m/d</w:t>
            </w:r>
          </w:p>
        </w:tc>
        <w:tc>
          <w:tcPr>
            <w:tcW w:w="827" w:type="dxa"/>
            <w:vAlign w:val="center"/>
          </w:tcPr>
          <w:p w14:paraId="2868CEA5">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m/d</w:t>
            </w:r>
          </w:p>
        </w:tc>
        <w:tc>
          <w:tcPr>
            <w:tcW w:w="778" w:type="dxa"/>
            <w:vAlign w:val="center"/>
          </w:tcPr>
          <w:p w14:paraId="0A03DD40">
            <w:pPr>
              <w:autoSpaceDE w:val="0"/>
              <w:autoSpaceDN w:val="0"/>
              <w:jc w:val="center"/>
              <w:rPr>
                <w:rFonts w:ascii="Times New Roman" w:hAnsi="Times New Roman" w:eastAsia="宋体" w:cs="Times New Roman"/>
                <w:b/>
                <w:bCs/>
                <w:color w:val="auto"/>
                <w:szCs w:val="21"/>
                <w:u w:val="none" w:color="auto"/>
              </w:rPr>
            </w:pPr>
          </w:p>
        </w:tc>
        <w:tc>
          <w:tcPr>
            <w:tcW w:w="1110" w:type="dxa"/>
            <w:vAlign w:val="center"/>
          </w:tcPr>
          <w:p w14:paraId="350E6B68">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m</w:t>
            </w:r>
            <w:r>
              <w:rPr>
                <w:rFonts w:hint="eastAsia" w:ascii="Times New Roman" w:hAnsi="Times New Roman" w:eastAsia="宋体" w:cs="Times New Roman"/>
                <w:b/>
                <w:bCs/>
                <w:color w:val="auto"/>
                <w:szCs w:val="21"/>
                <w:u w:val="none" w:color="auto"/>
                <w:vertAlign w:val="superscript"/>
              </w:rPr>
              <w:t>2</w:t>
            </w:r>
            <w:r>
              <w:rPr>
                <w:rFonts w:hint="eastAsia" w:ascii="Times New Roman" w:hAnsi="Times New Roman" w:eastAsia="宋体" w:cs="Times New Roman"/>
                <w:b/>
                <w:bCs/>
                <w:color w:val="auto"/>
                <w:szCs w:val="21"/>
                <w:u w:val="none" w:color="auto"/>
              </w:rPr>
              <w:t>/d</w:t>
            </w:r>
          </w:p>
        </w:tc>
        <w:tc>
          <w:tcPr>
            <w:tcW w:w="1110" w:type="dxa"/>
            <w:vAlign w:val="center"/>
          </w:tcPr>
          <w:p w14:paraId="2A030B1A">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m</w:t>
            </w:r>
            <w:r>
              <w:rPr>
                <w:rFonts w:hint="eastAsia" w:ascii="Times New Roman" w:hAnsi="Times New Roman" w:eastAsia="宋体" w:cs="Times New Roman"/>
                <w:b/>
                <w:bCs/>
                <w:color w:val="auto"/>
                <w:szCs w:val="21"/>
                <w:u w:val="none" w:color="auto"/>
                <w:vertAlign w:val="superscript"/>
              </w:rPr>
              <w:t>2</w:t>
            </w:r>
            <w:r>
              <w:rPr>
                <w:rFonts w:hint="eastAsia" w:ascii="Times New Roman" w:hAnsi="Times New Roman" w:eastAsia="宋体" w:cs="Times New Roman"/>
                <w:b/>
                <w:bCs/>
                <w:color w:val="auto"/>
                <w:szCs w:val="21"/>
                <w:u w:val="none" w:color="auto"/>
              </w:rPr>
              <w:t>/d</w:t>
            </w:r>
          </w:p>
        </w:tc>
        <w:tc>
          <w:tcPr>
            <w:tcW w:w="974" w:type="dxa"/>
            <w:vAlign w:val="center"/>
          </w:tcPr>
          <w:p w14:paraId="55F73DB8">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w:t>
            </w:r>
          </w:p>
        </w:tc>
        <w:tc>
          <w:tcPr>
            <w:tcW w:w="668" w:type="dxa"/>
            <w:vAlign w:val="center"/>
          </w:tcPr>
          <w:p w14:paraId="41A75235">
            <w:pPr>
              <w:autoSpaceDE w:val="0"/>
              <w:autoSpaceDN w:val="0"/>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w:t>
            </w:r>
          </w:p>
        </w:tc>
      </w:tr>
      <w:tr w14:paraId="79598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5" w:type="dxa"/>
            <w:vAlign w:val="center"/>
          </w:tcPr>
          <w:p w14:paraId="4A36228B">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素填土</w:t>
            </w:r>
          </w:p>
        </w:tc>
        <w:tc>
          <w:tcPr>
            <w:tcW w:w="668" w:type="dxa"/>
            <w:vAlign w:val="center"/>
          </w:tcPr>
          <w:p w14:paraId="6C2299C2">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Q</w:t>
            </w:r>
          </w:p>
        </w:tc>
        <w:tc>
          <w:tcPr>
            <w:tcW w:w="1059" w:type="dxa"/>
            <w:vAlign w:val="center"/>
          </w:tcPr>
          <w:p w14:paraId="40E3422F">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5.48</w:t>
            </w:r>
          </w:p>
        </w:tc>
        <w:tc>
          <w:tcPr>
            <w:tcW w:w="827" w:type="dxa"/>
            <w:vAlign w:val="center"/>
          </w:tcPr>
          <w:p w14:paraId="527E64EA">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0.07</w:t>
            </w:r>
          </w:p>
        </w:tc>
        <w:tc>
          <w:tcPr>
            <w:tcW w:w="778" w:type="dxa"/>
            <w:vAlign w:val="center"/>
          </w:tcPr>
          <w:p w14:paraId="297C85CA">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0.20</w:t>
            </w:r>
          </w:p>
        </w:tc>
        <w:tc>
          <w:tcPr>
            <w:tcW w:w="1110" w:type="dxa"/>
            <w:vAlign w:val="center"/>
          </w:tcPr>
          <w:p w14:paraId="1FC82F5F">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w:t>
            </w:r>
          </w:p>
        </w:tc>
        <w:tc>
          <w:tcPr>
            <w:tcW w:w="1110" w:type="dxa"/>
            <w:vAlign w:val="center"/>
          </w:tcPr>
          <w:p w14:paraId="66A2455D">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0.1</w:t>
            </w:r>
          </w:p>
        </w:tc>
        <w:tc>
          <w:tcPr>
            <w:tcW w:w="974" w:type="dxa"/>
            <w:vAlign w:val="center"/>
          </w:tcPr>
          <w:p w14:paraId="4251ECE3">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0.4</w:t>
            </w:r>
          </w:p>
        </w:tc>
        <w:tc>
          <w:tcPr>
            <w:tcW w:w="668" w:type="dxa"/>
            <w:vAlign w:val="center"/>
          </w:tcPr>
          <w:p w14:paraId="2A66BBD9">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30</w:t>
            </w:r>
          </w:p>
        </w:tc>
      </w:tr>
      <w:tr w14:paraId="4452A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5" w:type="dxa"/>
            <w:vAlign w:val="center"/>
          </w:tcPr>
          <w:p w14:paraId="2E976F30">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淤泥质砂</w:t>
            </w:r>
          </w:p>
        </w:tc>
        <w:tc>
          <w:tcPr>
            <w:tcW w:w="668" w:type="dxa"/>
            <w:vAlign w:val="center"/>
          </w:tcPr>
          <w:p w14:paraId="19AA1CFC">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Q</w:t>
            </w:r>
          </w:p>
        </w:tc>
        <w:tc>
          <w:tcPr>
            <w:tcW w:w="1059" w:type="dxa"/>
            <w:vAlign w:val="center"/>
          </w:tcPr>
          <w:p w14:paraId="44FFC6B7">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1.79</w:t>
            </w:r>
          </w:p>
        </w:tc>
        <w:tc>
          <w:tcPr>
            <w:tcW w:w="827" w:type="dxa"/>
            <w:vAlign w:val="center"/>
          </w:tcPr>
          <w:p w14:paraId="31342390">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0.029</w:t>
            </w:r>
          </w:p>
        </w:tc>
        <w:tc>
          <w:tcPr>
            <w:tcW w:w="778" w:type="dxa"/>
            <w:vAlign w:val="center"/>
          </w:tcPr>
          <w:p w14:paraId="0A7F7FD8">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0.18</w:t>
            </w:r>
          </w:p>
        </w:tc>
        <w:tc>
          <w:tcPr>
            <w:tcW w:w="1110" w:type="dxa"/>
            <w:vAlign w:val="center"/>
          </w:tcPr>
          <w:p w14:paraId="3CB397CD">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w:t>
            </w:r>
          </w:p>
        </w:tc>
        <w:tc>
          <w:tcPr>
            <w:tcW w:w="1110" w:type="dxa"/>
            <w:vAlign w:val="center"/>
          </w:tcPr>
          <w:p w14:paraId="1EC27DA1">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0.2</w:t>
            </w:r>
          </w:p>
        </w:tc>
        <w:tc>
          <w:tcPr>
            <w:tcW w:w="974" w:type="dxa"/>
            <w:vAlign w:val="center"/>
          </w:tcPr>
          <w:p w14:paraId="3CB16C20">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0.4</w:t>
            </w:r>
          </w:p>
        </w:tc>
        <w:tc>
          <w:tcPr>
            <w:tcW w:w="668" w:type="dxa"/>
            <w:vAlign w:val="center"/>
          </w:tcPr>
          <w:p w14:paraId="303055F3">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30</w:t>
            </w:r>
          </w:p>
        </w:tc>
      </w:tr>
      <w:tr w14:paraId="068CB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5" w:type="dxa"/>
            <w:vAlign w:val="center"/>
          </w:tcPr>
          <w:p w14:paraId="310B4DE3">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泥质粉砂岩</w:t>
            </w:r>
          </w:p>
        </w:tc>
        <w:tc>
          <w:tcPr>
            <w:tcW w:w="668" w:type="dxa"/>
            <w:vAlign w:val="center"/>
          </w:tcPr>
          <w:p w14:paraId="4BA03527">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S</w:t>
            </w:r>
            <w:r>
              <w:rPr>
                <w:rFonts w:hint="eastAsia" w:ascii="Times New Roman" w:hAnsi="Times New Roman" w:eastAsia="宋体" w:cs="Times New Roman"/>
                <w:color w:val="auto"/>
                <w:szCs w:val="21"/>
                <w:u w:val="none" w:color="auto"/>
                <w:vertAlign w:val="subscript"/>
              </w:rPr>
              <w:t>1</w:t>
            </w:r>
            <w:r>
              <w:rPr>
                <w:rFonts w:hint="eastAsia" w:ascii="Times New Roman" w:hAnsi="Times New Roman" w:eastAsia="宋体" w:cs="Times New Roman"/>
                <w:color w:val="auto"/>
                <w:szCs w:val="21"/>
                <w:u w:val="none" w:color="auto"/>
              </w:rPr>
              <w:t>ln</w:t>
            </w:r>
            <w:r>
              <w:rPr>
                <w:rFonts w:hint="eastAsia" w:ascii="Times New Roman" w:hAnsi="Times New Roman" w:eastAsia="宋体" w:cs="Times New Roman"/>
                <w:color w:val="auto"/>
                <w:szCs w:val="21"/>
                <w:u w:val="none" w:color="auto"/>
                <w:vertAlign w:val="superscript"/>
              </w:rPr>
              <w:t>c</w:t>
            </w:r>
          </w:p>
        </w:tc>
        <w:tc>
          <w:tcPr>
            <w:tcW w:w="1059" w:type="dxa"/>
            <w:vAlign w:val="center"/>
          </w:tcPr>
          <w:p w14:paraId="4C8C4B52">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0.13</w:t>
            </w:r>
          </w:p>
        </w:tc>
        <w:tc>
          <w:tcPr>
            <w:tcW w:w="827" w:type="dxa"/>
            <w:vAlign w:val="center"/>
          </w:tcPr>
          <w:p w14:paraId="12167516">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0.01</w:t>
            </w:r>
          </w:p>
        </w:tc>
        <w:tc>
          <w:tcPr>
            <w:tcW w:w="778" w:type="dxa"/>
            <w:vAlign w:val="center"/>
          </w:tcPr>
          <w:p w14:paraId="6F999ACE">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0.30</w:t>
            </w:r>
          </w:p>
        </w:tc>
        <w:tc>
          <w:tcPr>
            <w:tcW w:w="1110" w:type="dxa"/>
            <w:vAlign w:val="center"/>
          </w:tcPr>
          <w:p w14:paraId="09761937">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w:t>
            </w:r>
          </w:p>
        </w:tc>
        <w:tc>
          <w:tcPr>
            <w:tcW w:w="1110" w:type="dxa"/>
            <w:vAlign w:val="center"/>
          </w:tcPr>
          <w:p w14:paraId="6EF5D5C3">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0.2</w:t>
            </w:r>
          </w:p>
        </w:tc>
        <w:tc>
          <w:tcPr>
            <w:tcW w:w="974" w:type="dxa"/>
            <w:vAlign w:val="center"/>
          </w:tcPr>
          <w:p w14:paraId="5EF7C18D">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0.8</w:t>
            </w:r>
          </w:p>
        </w:tc>
        <w:tc>
          <w:tcPr>
            <w:tcW w:w="668" w:type="dxa"/>
            <w:vAlign w:val="center"/>
          </w:tcPr>
          <w:p w14:paraId="22B4D9E8">
            <w:pPr>
              <w:autoSpaceDE w:val="0"/>
              <w:autoSpaceDN w:val="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w:t>
            </w:r>
          </w:p>
        </w:tc>
      </w:tr>
    </w:tbl>
    <w:p w14:paraId="561727BD">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结合场地地下水类型，场地内潜水含水层以松散岩类孔隙水为主，因此预测目标含水层为赋存于淤泥质砂中的松散岩类孔隙水，预测参数取上表淤泥质砂水文地质参数。</w:t>
      </w:r>
    </w:p>
    <w:p w14:paraId="2B552978">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4、地下水污染途径及特点</w:t>
      </w:r>
    </w:p>
    <w:p w14:paraId="029FBF7A">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建设项目地下水环境污染途径主要为：</w:t>
      </w:r>
      <w:r>
        <w:rPr>
          <w:rFonts w:hint="eastAsia" w:ascii="Times New Roman" w:hAnsi="Times New Roman" w:eastAsia="宋体" w:cs="Times New Roman"/>
          <w:color w:val="auto"/>
          <w:sz w:val="24"/>
          <w:u w:val="none" w:color="auto"/>
          <w:lang w:eastAsia="zh-CN"/>
        </w:rPr>
        <w:t>涂装车间</w:t>
      </w:r>
      <w:r>
        <w:rPr>
          <w:rFonts w:hint="eastAsia" w:ascii="Times New Roman" w:hAnsi="Times New Roman" w:eastAsia="宋体" w:cs="Times New Roman"/>
          <w:color w:val="auto"/>
          <w:sz w:val="24"/>
          <w:u w:val="none" w:color="auto"/>
        </w:rPr>
        <w:t xml:space="preserve">油漆储存区含甲苯、二甲苯的油漆、稀释剂、固化剂泄露下渗，造成污染物渗透的迁移，即污染物通过地表渗入含水层。 </w:t>
      </w:r>
    </w:p>
    <w:p w14:paraId="7E3FD30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地下水污染的特点是污染过程缓慢、隐蔽、难以恢复治理。而渗透型地下水污染，污染物都是从上到下经过包气带土层进入地下含水层，即污染物到达地下水面以前要经过包气带下渗。</w:t>
      </w:r>
    </w:p>
    <w:p w14:paraId="44CE8AFC">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5、预测结果及评价</w:t>
      </w:r>
    </w:p>
    <w:p w14:paraId="2CA0FDB3">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1</w:t>
      </w:r>
      <w:r>
        <w:rPr>
          <w:rFonts w:hint="eastAsia" w:ascii="Times New Roman" w:hAnsi="Times New Roman" w:eastAsia="宋体" w:cs="Times New Roman"/>
          <w:color w:val="auto"/>
          <w:sz w:val="24"/>
          <w:u w:val="none" w:color="auto"/>
        </w:rPr>
        <w:t xml:space="preserve">）泄漏量计算 </w:t>
      </w:r>
    </w:p>
    <w:p w14:paraId="16A6201F">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kern w:val="0"/>
          <w:sz w:val="24"/>
          <w:szCs w:val="24"/>
          <w:u w:val="none" w:color="auto"/>
        </w:rPr>
        <w:t>假设</w:t>
      </w:r>
      <w:r>
        <w:rPr>
          <w:rFonts w:hint="eastAsia" w:ascii="Times New Roman" w:hAnsi="Times New Roman" w:eastAsia="宋体" w:cs="Times New Roman"/>
          <w:color w:val="auto"/>
          <w:kern w:val="0"/>
          <w:sz w:val="24"/>
          <w:szCs w:val="24"/>
          <w:u w:val="none" w:color="auto"/>
        </w:rPr>
        <w:t>油漆</w:t>
      </w:r>
      <w:r>
        <w:rPr>
          <w:rFonts w:ascii="Times New Roman" w:hAnsi="Times New Roman" w:eastAsia="宋体" w:cs="Times New Roman"/>
          <w:color w:val="auto"/>
          <w:kern w:val="0"/>
          <w:sz w:val="24"/>
          <w:szCs w:val="24"/>
          <w:u w:val="none" w:color="auto"/>
        </w:rPr>
        <w:t>桶由于事故发生破损，导致</w:t>
      </w:r>
      <w:r>
        <w:rPr>
          <w:rFonts w:hint="eastAsia" w:ascii="Times New Roman" w:hAnsi="Times New Roman" w:eastAsia="宋体" w:cs="Times New Roman"/>
          <w:color w:val="auto"/>
          <w:kern w:val="0"/>
          <w:sz w:val="24"/>
          <w:szCs w:val="24"/>
          <w:u w:val="none" w:color="auto"/>
        </w:rPr>
        <w:t>油漆</w:t>
      </w:r>
      <w:r>
        <w:rPr>
          <w:rFonts w:ascii="Times New Roman" w:hAnsi="Times New Roman" w:eastAsia="宋体" w:cs="Times New Roman"/>
          <w:color w:val="auto"/>
          <w:kern w:val="0"/>
          <w:sz w:val="24"/>
          <w:szCs w:val="24"/>
          <w:u w:val="none" w:color="auto"/>
        </w:rPr>
        <w:t>发生泄漏，</w:t>
      </w:r>
      <w:r>
        <w:rPr>
          <w:rFonts w:hint="eastAsia" w:ascii="Times New Roman" w:hAnsi="Times New Roman" w:eastAsia="宋体" w:cs="Times New Roman"/>
          <w:color w:val="auto"/>
          <w:kern w:val="0"/>
          <w:sz w:val="24"/>
          <w:szCs w:val="24"/>
          <w:u w:val="none" w:color="auto"/>
        </w:rPr>
        <w:t>且</w:t>
      </w:r>
      <w:r>
        <w:rPr>
          <w:rFonts w:ascii="Times New Roman" w:hAnsi="Times New Roman" w:eastAsia="宋体" w:cs="Times New Roman"/>
          <w:color w:val="auto"/>
          <w:kern w:val="0"/>
          <w:sz w:val="24"/>
          <w:szCs w:val="24"/>
          <w:u w:val="none" w:color="auto"/>
        </w:rPr>
        <w:t>泄露所发生区域防渗措施</w:t>
      </w:r>
      <w:r>
        <w:rPr>
          <w:rFonts w:hint="eastAsia" w:ascii="Times New Roman" w:hAnsi="Times New Roman" w:eastAsia="宋体" w:cs="Times New Roman"/>
          <w:color w:val="auto"/>
          <w:kern w:val="0"/>
          <w:sz w:val="24"/>
          <w:szCs w:val="24"/>
          <w:u w:val="none" w:color="auto"/>
        </w:rPr>
        <w:t>受损。</w:t>
      </w:r>
      <w:r>
        <w:rPr>
          <w:rFonts w:ascii="Times New Roman" w:hAnsi="Times New Roman" w:eastAsia="宋体" w:cs="Times New Roman"/>
          <w:color w:val="auto"/>
          <w:kern w:val="0"/>
          <w:sz w:val="24"/>
          <w:szCs w:val="24"/>
          <w:u w:val="none" w:color="auto"/>
        </w:rPr>
        <w:t>假设1个</w:t>
      </w:r>
      <w:r>
        <w:rPr>
          <w:rFonts w:hint="eastAsia" w:ascii="Times New Roman" w:hAnsi="Times New Roman" w:eastAsia="宋体" w:cs="Times New Roman"/>
          <w:color w:val="auto"/>
          <w:kern w:val="0"/>
          <w:sz w:val="24"/>
          <w:szCs w:val="24"/>
          <w:u w:val="none" w:color="auto"/>
        </w:rPr>
        <w:t>稀释剂、</w:t>
      </w:r>
      <w:r>
        <w:rPr>
          <w:rFonts w:ascii="Times New Roman" w:hAnsi="Times New Roman" w:eastAsia="宋体" w:cs="Times New Roman"/>
          <w:color w:val="auto"/>
          <w:kern w:val="0"/>
          <w:sz w:val="24"/>
          <w:szCs w:val="24"/>
          <w:u w:val="none" w:color="auto"/>
        </w:rPr>
        <w:t>1个</w:t>
      </w:r>
      <w:r>
        <w:rPr>
          <w:rFonts w:hint="eastAsia" w:ascii="Times New Roman" w:hAnsi="Times New Roman" w:eastAsia="宋体" w:cs="Times New Roman"/>
          <w:color w:val="auto"/>
          <w:kern w:val="0"/>
          <w:sz w:val="24"/>
          <w:szCs w:val="24"/>
          <w:u w:val="none" w:color="auto"/>
        </w:rPr>
        <w:t>环氧富锌底漆固化剂</w:t>
      </w:r>
      <w:r>
        <w:rPr>
          <w:rFonts w:ascii="Times New Roman" w:hAnsi="Times New Roman" w:eastAsia="宋体" w:cs="Times New Roman"/>
          <w:color w:val="auto"/>
          <w:kern w:val="0"/>
          <w:sz w:val="24"/>
          <w:szCs w:val="24"/>
          <w:u w:val="none" w:color="auto"/>
        </w:rPr>
        <w:t>原料桶劈裂后，</w:t>
      </w:r>
      <w:r>
        <w:rPr>
          <w:rFonts w:hint="eastAsia" w:ascii="Times New Roman" w:hAnsi="Times New Roman" w:eastAsia="宋体" w:cs="Times New Roman"/>
          <w:color w:val="auto"/>
          <w:kern w:val="0"/>
          <w:sz w:val="24"/>
          <w:szCs w:val="24"/>
          <w:u w:val="none" w:color="auto"/>
        </w:rPr>
        <w:t>稀释剂和环氧富锌底漆固化剂</w:t>
      </w:r>
      <w:r>
        <w:rPr>
          <w:rFonts w:ascii="Times New Roman" w:hAnsi="Times New Roman" w:eastAsia="宋体" w:cs="Times New Roman"/>
          <w:color w:val="auto"/>
          <w:kern w:val="0"/>
          <w:sz w:val="24"/>
          <w:szCs w:val="24"/>
          <w:u w:val="none" w:color="auto"/>
        </w:rPr>
        <w:t>全部泄漏，污染物全部通过包气带入渗进入地下水含水层，对地下水环境造成的污染影响</w:t>
      </w:r>
      <w:r>
        <w:rPr>
          <w:rFonts w:hint="eastAsia"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sz w:val="24"/>
          <w:u w:val="none" w:color="auto"/>
          <w:lang w:val="en-US" w:eastAsia="zh-CN"/>
        </w:rPr>
        <w:t>稀释剂</w:t>
      </w:r>
      <w:r>
        <w:rPr>
          <w:rFonts w:hint="eastAsia" w:ascii="Times New Roman" w:hAnsi="Times New Roman" w:eastAsia="宋体" w:cs="Times New Roman"/>
          <w:color w:val="auto"/>
          <w:sz w:val="24"/>
          <w:u w:val="none" w:color="auto"/>
        </w:rPr>
        <w:t>约为0.02t、固化剂约为0.02t，折合成甲苯为</w:t>
      </w:r>
      <w:r>
        <w:rPr>
          <w:rFonts w:hint="eastAsia" w:ascii="Times New Roman" w:hAnsi="Times New Roman" w:eastAsia="宋体" w:cs="Times New Roman"/>
          <w:color w:val="auto"/>
          <w:sz w:val="24"/>
          <w:u w:val="none" w:color="auto"/>
          <w:lang w:val="en-US" w:eastAsia="zh-CN"/>
        </w:rPr>
        <w:t>0.4</w:t>
      </w:r>
      <w:r>
        <w:rPr>
          <w:rFonts w:hint="eastAsia" w:ascii="Times New Roman" w:hAnsi="Times New Roman" w:eastAsia="宋体" w:cs="Times New Roman"/>
          <w:color w:val="auto"/>
          <w:sz w:val="24"/>
          <w:u w:val="none" w:color="auto"/>
        </w:rPr>
        <w:t>kg、二甲苯为1</w:t>
      </w:r>
      <w:r>
        <w:rPr>
          <w:rFonts w:hint="eastAsia" w:ascii="Times New Roman" w:hAnsi="Times New Roman" w:eastAsia="宋体" w:cs="Times New Roman"/>
          <w:color w:val="auto"/>
          <w:sz w:val="24"/>
          <w:u w:val="none" w:color="auto"/>
          <w:lang w:val="en-US" w:eastAsia="zh-CN"/>
        </w:rPr>
        <w:t>1</w:t>
      </w:r>
      <w:r>
        <w:rPr>
          <w:rFonts w:ascii="Times New Roman" w:hAnsi="Times New Roman" w:eastAsia="宋体" w:cs="Times New Roman"/>
          <w:color w:val="auto"/>
          <w:sz w:val="24"/>
          <w:u w:val="none" w:color="auto"/>
        </w:rPr>
        <w:t>kg</w:t>
      </w:r>
      <w:r>
        <w:rPr>
          <w:rFonts w:hint="eastAsia" w:ascii="Times New Roman" w:hAnsi="Times New Roman" w:eastAsia="宋体" w:cs="Times New Roman"/>
          <w:color w:val="auto"/>
          <w:sz w:val="24"/>
          <w:u w:val="none" w:color="auto"/>
        </w:rPr>
        <w:t>。因此本次预测考虑甲苯和二甲苯渗漏的情景，将污染源概化为平面瞬时点源污染，通过模拟计算甲苯和二甲苯泄漏</w:t>
      </w:r>
      <w:r>
        <w:rPr>
          <w:rFonts w:ascii="Times New Roman" w:hAnsi="Times New Roman" w:eastAsia="宋体" w:cs="Times New Roman"/>
          <w:color w:val="auto"/>
          <w:sz w:val="24"/>
          <w:u w:val="none" w:color="auto"/>
        </w:rPr>
        <w:t>100d</w:t>
      </w:r>
      <w:r>
        <w:rPr>
          <w:rFonts w:hint="eastAsia" w:ascii="Times New Roman" w:hAnsi="Times New Roman" w:eastAsia="宋体" w:cs="Times New Roman"/>
          <w:color w:val="auto"/>
          <w:sz w:val="24"/>
          <w:u w:val="none" w:color="auto"/>
        </w:rPr>
        <w:t xml:space="preserve">、1000d引起地下水污染情况。 </w:t>
      </w:r>
    </w:p>
    <w:p w14:paraId="6BD29B9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2</w:t>
      </w:r>
      <w:r>
        <w:rPr>
          <w:rFonts w:hint="eastAsia" w:ascii="Times New Roman" w:hAnsi="Times New Roman" w:eastAsia="宋体" w:cs="Times New Roman"/>
          <w:color w:val="auto"/>
          <w:sz w:val="24"/>
          <w:u w:val="none" w:color="auto"/>
        </w:rPr>
        <w:t xml:space="preserve">）预测结果 </w:t>
      </w:r>
    </w:p>
    <w:p w14:paraId="0470CBF6">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采用推荐的水文地质参数，项目地下水泄漏点下游</w:t>
      </w:r>
      <w:r>
        <w:rPr>
          <w:rFonts w:hint="eastAsia" w:ascii="Times New Roman" w:hAnsi="Times New Roman" w:eastAsia="宋体" w:cs="Times New Roman"/>
          <w:color w:val="auto"/>
          <w:sz w:val="24"/>
          <w:u w:val="none" w:color="auto"/>
          <w:lang w:val="en-US" w:eastAsia="zh-CN"/>
        </w:rPr>
        <w:t>4</w:t>
      </w:r>
      <w:r>
        <w:rPr>
          <w:rFonts w:hint="eastAsia" w:ascii="Times New Roman" w:hAnsi="Times New Roman" w:eastAsia="宋体" w:cs="Times New Roman"/>
          <w:color w:val="auto"/>
          <w:sz w:val="24"/>
          <w:u w:val="none" w:color="auto"/>
        </w:rPr>
        <w:t>00m处即为海洋。经预测可得结果汇总如下：</w:t>
      </w:r>
    </w:p>
    <w:p w14:paraId="27D60C90">
      <w:pPr>
        <w:pStyle w:val="48"/>
        <w:rPr>
          <w:rFonts w:hint="default"/>
          <w:color w:val="auto"/>
          <w:sz w:val="21"/>
          <w:u w:val="none" w:color="auto"/>
        </w:rPr>
      </w:pPr>
      <w:r>
        <w:rPr>
          <w:rFonts w:hint="default" w:ascii="Times New Roman" w:hAnsi="Times New Roman" w:eastAsia="宋体"/>
          <w:b/>
          <w:color w:val="auto"/>
          <w:kern w:val="0"/>
          <w:sz w:val="21"/>
          <w:u w:val="none" w:color="auto"/>
        </w:rPr>
        <w:t>表</w:t>
      </w:r>
      <w:r>
        <w:rPr>
          <w:rFonts w:ascii="Times New Roman" w:hAnsi="Times New Roman" w:eastAsia="宋体"/>
          <w:b/>
          <w:color w:val="auto"/>
          <w:kern w:val="0"/>
          <w:sz w:val="21"/>
          <w:u w:val="none" w:color="auto"/>
        </w:rPr>
        <w:t>4</w:t>
      </w:r>
      <w:r>
        <w:rPr>
          <w:rFonts w:hint="default" w:ascii="Times New Roman" w:hAnsi="Times New Roman" w:eastAsia="宋体"/>
          <w:b/>
          <w:color w:val="auto"/>
          <w:kern w:val="0"/>
          <w:sz w:val="21"/>
          <w:u w:val="none" w:color="auto"/>
        </w:rPr>
        <w:t>.6-</w:t>
      </w:r>
      <w:r>
        <w:rPr>
          <w:rFonts w:ascii="Times New Roman" w:hAnsi="Times New Roman" w:eastAsia="宋体"/>
          <w:b/>
          <w:color w:val="auto"/>
          <w:kern w:val="0"/>
          <w:sz w:val="21"/>
          <w:u w:val="none" w:color="auto"/>
        </w:rPr>
        <w:t>2</w:t>
      </w:r>
      <w:r>
        <w:rPr>
          <w:rFonts w:hint="default" w:ascii="Times New Roman" w:hAnsi="Times New Roman" w:eastAsia="宋体"/>
          <w:b/>
          <w:color w:val="auto"/>
          <w:kern w:val="0"/>
          <w:sz w:val="21"/>
          <w:u w:val="none" w:color="auto"/>
        </w:rPr>
        <w:t xml:space="preserve">   </w:t>
      </w:r>
      <w:r>
        <w:rPr>
          <w:rFonts w:ascii="Times New Roman" w:hAnsi="Times New Roman" w:eastAsia="宋体"/>
          <w:b/>
          <w:color w:val="auto"/>
          <w:kern w:val="0"/>
          <w:sz w:val="21"/>
          <w:u w:val="none" w:color="auto"/>
        </w:rPr>
        <w:t>甲苯</w:t>
      </w:r>
      <w:r>
        <w:rPr>
          <w:rFonts w:hint="default" w:ascii="Times New Roman" w:hAnsi="Times New Roman" w:eastAsia="宋体"/>
          <w:b/>
          <w:color w:val="auto"/>
          <w:kern w:val="0"/>
          <w:sz w:val="21"/>
          <w:u w:val="none" w:color="auto"/>
        </w:rPr>
        <w:t>地下水预测计算结果</w:t>
      </w:r>
    </w:p>
    <w:tbl>
      <w:tblPr>
        <w:tblStyle w:val="37"/>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2703"/>
        <w:gridCol w:w="2101"/>
        <w:gridCol w:w="2106"/>
      </w:tblGrid>
      <w:tr w14:paraId="24460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7CF2FDBE">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距离</w:t>
            </w:r>
          </w:p>
        </w:tc>
        <w:tc>
          <w:tcPr>
            <w:tcW w:w="2703" w:type="dxa"/>
            <w:vAlign w:val="center"/>
          </w:tcPr>
          <w:p w14:paraId="7A45971C">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100天</w:t>
            </w:r>
          </w:p>
        </w:tc>
        <w:tc>
          <w:tcPr>
            <w:tcW w:w="2101" w:type="dxa"/>
            <w:vAlign w:val="center"/>
          </w:tcPr>
          <w:p w14:paraId="6273F974">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距离</w:t>
            </w:r>
          </w:p>
        </w:tc>
        <w:tc>
          <w:tcPr>
            <w:tcW w:w="2106" w:type="dxa"/>
            <w:vAlign w:val="center"/>
          </w:tcPr>
          <w:p w14:paraId="73B6488B">
            <w:pPr>
              <w:jc w:val="center"/>
              <w:rPr>
                <w:rFonts w:ascii="Times New Roman" w:hAnsi="Times New Roman" w:eastAsia="宋体" w:cs="Times New Roman"/>
                <w:b/>
                <w:color w:val="auto"/>
                <w:kern w:val="0"/>
                <w:szCs w:val="21"/>
                <w:u w:val="none" w:color="auto"/>
              </w:rPr>
            </w:pPr>
            <w:r>
              <w:rPr>
                <w:rFonts w:hint="eastAsia" w:ascii="Times New Roman" w:hAnsi="Times New Roman" w:eastAsia="宋体" w:cs="Times New Roman"/>
                <w:b/>
                <w:color w:val="auto"/>
                <w:kern w:val="0"/>
                <w:szCs w:val="21"/>
                <w:u w:val="none" w:color="auto"/>
              </w:rPr>
              <w:t>1000</w:t>
            </w:r>
            <w:r>
              <w:rPr>
                <w:rFonts w:ascii="Times New Roman" w:hAnsi="Times New Roman" w:eastAsia="宋体" w:cs="Times New Roman"/>
                <w:b/>
                <w:color w:val="auto"/>
                <w:kern w:val="0"/>
                <w:szCs w:val="21"/>
                <w:u w:val="none" w:color="auto"/>
              </w:rPr>
              <w:t>天</w:t>
            </w:r>
          </w:p>
        </w:tc>
      </w:tr>
      <w:tr w14:paraId="01FF1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609" w:type="dxa"/>
            <w:vAlign w:val="center"/>
          </w:tcPr>
          <w:p w14:paraId="4C435F10">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x（m）</w:t>
            </w:r>
          </w:p>
        </w:tc>
        <w:tc>
          <w:tcPr>
            <w:tcW w:w="2703" w:type="dxa"/>
            <w:vAlign w:val="center"/>
          </w:tcPr>
          <w:p w14:paraId="0D68AD09">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C（mg/L）</w:t>
            </w:r>
          </w:p>
        </w:tc>
        <w:tc>
          <w:tcPr>
            <w:tcW w:w="2101" w:type="dxa"/>
            <w:vAlign w:val="center"/>
          </w:tcPr>
          <w:p w14:paraId="10E363B7">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x（m）</w:t>
            </w:r>
          </w:p>
        </w:tc>
        <w:tc>
          <w:tcPr>
            <w:tcW w:w="2106" w:type="dxa"/>
            <w:vAlign w:val="center"/>
          </w:tcPr>
          <w:p w14:paraId="52AC7F96">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C（mg/L）</w:t>
            </w:r>
          </w:p>
        </w:tc>
      </w:tr>
      <w:tr w14:paraId="60362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609" w:type="dxa"/>
            <w:vAlign w:val="center"/>
          </w:tcPr>
          <w:p w14:paraId="32C5A4BF">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w:t>
            </w:r>
          </w:p>
        </w:tc>
        <w:tc>
          <w:tcPr>
            <w:tcW w:w="2703" w:type="dxa"/>
            <w:vAlign w:val="center"/>
          </w:tcPr>
          <w:p w14:paraId="54D40A3E">
            <w:pPr>
              <w:widowControl/>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27.8</w:t>
            </w:r>
          </w:p>
        </w:tc>
        <w:tc>
          <w:tcPr>
            <w:tcW w:w="2101" w:type="dxa"/>
            <w:vAlign w:val="center"/>
          </w:tcPr>
          <w:p w14:paraId="04838563">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w:t>
            </w:r>
          </w:p>
        </w:tc>
        <w:tc>
          <w:tcPr>
            <w:tcW w:w="2106" w:type="dxa"/>
            <w:vAlign w:val="center"/>
          </w:tcPr>
          <w:p w14:paraId="540FFF82">
            <w:pPr>
              <w:widowControl/>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7.9</w:t>
            </w:r>
          </w:p>
        </w:tc>
      </w:tr>
      <w:tr w14:paraId="252F4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532A0E12">
            <w:pPr>
              <w:widowControl/>
              <w:jc w:val="center"/>
              <w:rPr>
                <w:rFonts w:hint="eastAsia"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rPr>
              <w:t>1</w:t>
            </w:r>
            <w:r>
              <w:rPr>
                <w:rFonts w:hint="eastAsia" w:ascii="Times New Roman" w:hAnsi="Times New Roman" w:eastAsia="宋体" w:cs="Times New Roman"/>
                <w:color w:val="auto"/>
                <w:kern w:val="0"/>
                <w:szCs w:val="21"/>
                <w:u w:val="none" w:color="auto"/>
                <w:lang w:val="en-US" w:eastAsia="zh-CN"/>
              </w:rPr>
              <w:t>0</w:t>
            </w:r>
          </w:p>
        </w:tc>
        <w:tc>
          <w:tcPr>
            <w:tcW w:w="2703" w:type="dxa"/>
            <w:vAlign w:val="center"/>
          </w:tcPr>
          <w:p w14:paraId="1AF98E0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26.2</w:t>
            </w:r>
          </w:p>
        </w:tc>
        <w:tc>
          <w:tcPr>
            <w:tcW w:w="2101" w:type="dxa"/>
            <w:vAlign w:val="center"/>
          </w:tcPr>
          <w:p w14:paraId="662E58C7">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w:t>
            </w:r>
            <w:r>
              <w:rPr>
                <w:rFonts w:hint="eastAsia" w:ascii="Times New Roman" w:hAnsi="Times New Roman" w:eastAsia="宋体" w:cs="Times New Roman"/>
                <w:color w:val="auto"/>
                <w:kern w:val="0"/>
                <w:szCs w:val="21"/>
                <w:u w:val="none" w:color="auto"/>
                <w:lang w:val="en-US" w:eastAsia="zh-CN"/>
              </w:rPr>
              <w:t>0</w:t>
            </w:r>
          </w:p>
        </w:tc>
        <w:tc>
          <w:tcPr>
            <w:tcW w:w="2106" w:type="dxa"/>
            <w:vAlign w:val="center"/>
          </w:tcPr>
          <w:p w14:paraId="039A7DD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8.45</w:t>
            </w:r>
          </w:p>
        </w:tc>
      </w:tr>
      <w:tr w14:paraId="4885B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2BF303F4">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2</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3936B23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18.7</w:t>
            </w:r>
          </w:p>
        </w:tc>
        <w:tc>
          <w:tcPr>
            <w:tcW w:w="2101" w:type="dxa"/>
            <w:vAlign w:val="center"/>
          </w:tcPr>
          <w:p w14:paraId="109C50D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6E7753D5">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8.79</w:t>
            </w:r>
          </w:p>
        </w:tc>
      </w:tr>
      <w:tr w14:paraId="2DF1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655252AE">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3</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07CA91DF">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10.1</w:t>
            </w:r>
          </w:p>
        </w:tc>
        <w:tc>
          <w:tcPr>
            <w:tcW w:w="2101" w:type="dxa"/>
            <w:vAlign w:val="center"/>
          </w:tcPr>
          <w:p w14:paraId="4EB6A8D2">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47FBBB8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8.89</w:t>
            </w:r>
          </w:p>
        </w:tc>
      </w:tr>
      <w:tr w14:paraId="4167F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3FF23042">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4</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0ED26516">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4.11</w:t>
            </w:r>
          </w:p>
        </w:tc>
        <w:tc>
          <w:tcPr>
            <w:tcW w:w="2101" w:type="dxa"/>
            <w:vAlign w:val="center"/>
          </w:tcPr>
          <w:p w14:paraId="0ECA8E6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4</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1832160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8.74</w:t>
            </w:r>
          </w:p>
        </w:tc>
      </w:tr>
      <w:tr w14:paraId="4D288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261E957C">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50</w:t>
            </w:r>
          </w:p>
        </w:tc>
        <w:tc>
          <w:tcPr>
            <w:tcW w:w="2703" w:type="dxa"/>
            <w:vAlign w:val="center"/>
          </w:tcPr>
          <w:p w14:paraId="49802778">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1.27</w:t>
            </w:r>
          </w:p>
        </w:tc>
        <w:tc>
          <w:tcPr>
            <w:tcW w:w="2101" w:type="dxa"/>
            <w:vAlign w:val="center"/>
          </w:tcPr>
          <w:p w14:paraId="17F83049">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50</w:t>
            </w:r>
          </w:p>
        </w:tc>
        <w:tc>
          <w:tcPr>
            <w:tcW w:w="2106" w:type="dxa"/>
            <w:vAlign w:val="center"/>
          </w:tcPr>
          <w:p w14:paraId="0FDE8A32">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8.36</w:t>
            </w:r>
          </w:p>
        </w:tc>
      </w:tr>
      <w:tr w14:paraId="0FA8B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7DC68B41">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60</w:t>
            </w:r>
          </w:p>
        </w:tc>
        <w:tc>
          <w:tcPr>
            <w:tcW w:w="2703" w:type="dxa"/>
            <w:vAlign w:val="center"/>
          </w:tcPr>
          <w:p w14:paraId="7739652B">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0.296</w:t>
            </w:r>
          </w:p>
        </w:tc>
        <w:tc>
          <w:tcPr>
            <w:tcW w:w="2101" w:type="dxa"/>
            <w:vAlign w:val="center"/>
          </w:tcPr>
          <w:p w14:paraId="085058E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60</w:t>
            </w:r>
          </w:p>
        </w:tc>
        <w:tc>
          <w:tcPr>
            <w:tcW w:w="2106" w:type="dxa"/>
            <w:vAlign w:val="center"/>
          </w:tcPr>
          <w:p w14:paraId="3A28A825">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7.77</w:t>
            </w:r>
          </w:p>
        </w:tc>
      </w:tr>
      <w:tr w14:paraId="27ABD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79EEEE4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70</w:t>
            </w:r>
          </w:p>
        </w:tc>
        <w:tc>
          <w:tcPr>
            <w:tcW w:w="2703" w:type="dxa"/>
            <w:vAlign w:val="center"/>
          </w:tcPr>
          <w:p w14:paraId="6A49B2D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0.0522</w:t>
            </w:r>
          </w:p>
        </w:tc>
        <w:tc>
          <w:tcPr>
            <w:tcW w:w="2101" w:type="dxa"/>
            <w:vAlign w:val="center"/>
          </w:tcPr>
          <w:p w14:paraId="733C9770">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70</w:t>
            </w:r>
          </w:p>
        </w:tc>
        <w:tc>
          <w:tcPr>
            <w:tcW w:w="2106" w:type="dxa"/>
            <w:vAlign w:val="center"/>
          </w:tcPr>
          <w:p w14:paraId="793C39A1">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7.03</w:t>
            </w:r>
          </w:p>
        </w:tc>
      </w:tr>
      <w:tr w14:paraId="5042C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2FADC846">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80</w:t>
            </w:r>
          </w:p>
        </w:tc>
        <w:tc>
          <w:tcPr>
            <w:tcW w:w="2703" w:type="dxa"/>
            <w:vAlign w:val="center"/>
          </w:tcPr>
          <w:p w14:paraId="6D347776">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0.00697</w:t>
            </w:r>
          </w:p>
        </w:tc>
        <w:tc>
          <w:tcPr>
            <w:tcW w:w="2101" w:type="dxa"/>
            <w:vAlign w:val="center"/>
          </w:tcPr>
          <w:p w14:paraId="5114CFDF">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80</w:t>
            </w:r>
          </w:p>
        </w:tc>
        <w:tc>
          <w:tcPr>
            <w:tcW w:w="2106" w:type="dxa"/>
            <w:vAlign w:val="center"/>
          </w:tcPr>
          <w:p w14:paraId="38D8BEFD">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6.18</w:t>
            </w:r>
          </w:p>
        </w:tc>
      </w:tr>
      <w:tr w14:paraId="6E866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7AD5DF99">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9</w:t>
            </w:r>
            <w:r>
              <w:rPr>
                <w:rFonts w:hint="eastAsia" w:ascii="Times New Roman" w:hAnsi="Times New Roman" w:eastAsia="宋体" w:cs="Times New Roman"/>
                <w:color w:val="auto"/>
                <w:szCs w:val="21"/>
                <w:u w:val="none" w:color="auto"/>
              </w:rPr>
              <w:t>0</w:t>
            </w:r>
          </w:p>
        </w:tc>
        <w:tc>
          <w:tcPr>
            <w:tcW w:w="2703" w:type="dxa"/>
            <w:vAlign w:val="center"/>
          </w:tcPr>
          <w:p w14:paraId="195CAF4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0.000704</w:t>
            </w:r>
          </w:p>
        </w:tc>
        <w:tc>
          <w:tcPr>
            <w:tcW w:w="2101" w:type="dxa"/>
            <w:vAlign w:val="center"/>
          </w:tcPr>
          <w:p w14:paraId="74D47F0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9</w:t>
            </w:r>
            <w:r>
              <w:rPr>
                <w:rFonts w:hint="eastAsia" w:ascii="Times New Roman" w:hAnsi="Times New Roman" w:eastAsia="宋体" w:cs="Times New Roman"/>
                <w:color w:val="auto"/>
                <w:szCs w:val="21"/>
                <w:u w:val="none" w:color="auto"/>
              </w:rPr>
              <w:t>0</w:t>
            </w:r>
          </w:p>
        </w:tc>
        <w:tc>
          <w:tcPr>
            <w:tcW w:w="2106" w:type="dxa"/>
            <w:vAlign w:val="center"/>
          </w:tcPr>
          <w:p w14:paraId="2FE4503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5.29</w:t>
            </w:r>
          </w:p>
        </w:tc>
      </w:tr>
      <w:tr w14:paraId="6F4BA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24E21A56">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100</w:t>
            </w:r>
          </w:p>
        </w:tc>
        <w:tc>
          <w:tcPr>
            <w:tcW w:w="2703" w:type="dxa"/>
            <w:vAlign w:val="center"/>
          </w:tcPr>
          <w:p w14:paraId="338E6298">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0.0000537</w:t>
            </w:r>
          </w:p>
        </w:tc>
        <w:tc>
          <w:tcPr>
            <w:tcW w:w="2101" w:type="dxa"/>
            <w:vAlign w:val="center"/>
          </w:tcPr>
          <w:p w14:paraId="106905E3">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100</w:t>
            </w:r>
          </w:p>
        </w:tc>
        <w:tc>
          <w:tcPr>
            <w:tcW w:w="2106" w:type="dxa"/>
            <w:vAlign w:val="center"/>
          </w:tcPr>
          <w:p w14:paraId="199DE13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4.40</w:t>
            </w:r>
          </w:p>
        </w:tc>
      </w:tr>
      <w:tr w14:paraId="3F42D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1609" w:type="dxa"/>
            <w:vAlign w:val="center"/>
          </w:tcPr>
          <w:p w14:paraId="1F0BE25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150</w:t>
            </w:r>
          </w:p>
        </w:tc>
        <w:tc>
          <w:tcPr>
            <w:tcW w:w="2703" w:type="dxa"/>
            <w:vAlign w:val="center"/>
          </w:tcPr>
          <w:p w14:paraId="39F6B19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0.00000000000211</w:t>
            </w:r>
          </w:p>
        </w:tc>
        <w:tc>
          <w:tcPr>
            <w:tcW w:w="2101" w:type="dxa"/>
            <w:vAlign w:val="center"/>
          </w:tcPr>
          <w:p w14:paraId="2A5BA2D5">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150</w:t>
            </w:r>
          </w:p>
        </w:tc>
        <w:tc>
          <w:tcPr>
            <w:tcW w:w="2106" w:type="dxa"/>
            <w:vAlign w:val="center"/>
          </w:tcPr>
          <w:p w14:paraId="17E427BA">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1.15</w:t>
            </w:r>
          </w:p>
        </w:tc>
      </w:tr>
      <w:tr w14:paraId="14152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1609" w:type="dxa"/>
            <w:vAlign w:val="center"/>
          </w:tcPr>
          <w:p w14:paraId="4A70C62E">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200</w:t>
            </w:r>
          </w:p>
        </w:tc>
        <w:tc>
          <w:tcPr>
            <w:tcW w:w="2703" w:type="dxa"/>
            <w:vAlign w:val="center"/>
          </w:tcPr>
          <w:p w14:paraId="17188A8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4168ABB7">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200</w:t>
            </w:r>
          </w:p>
        </w:tc>
        <w:tc>
          <w:tcPr>
            <w:tcW w:w="2106" w:type="dxa"/>
            <w:vAlign w:val="center"/>
          </w:tcPr>
          <w:p w14:paraId="69F64D2F">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0.15</w:t>
            </w:r>
          </w:p>
        </w:tc>
      </w:tr>
      <w:tr w14:paraId="2B044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1609" w:type="dxa"/>
            <w:vAlign w:val="center"/>
          </w:tcPr>
          <w:p w14:paraId="20BEFBB8">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250</w:t>
            </w:r>
          </w:p>
        </w:tc>
        <w:tc>
          <w:tcPr>
            <w:tcW w:w="2703" w:type="dxa"/>
            <w:vAlign w:val="center"/>
          </w:tcPr>
          <w:p w14:paraId="3C73A38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089AC966">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250</w:t>
            </w:r>
          </w:p>
        </w:tc>
        <w:tc>
          <w:tcPr>
            <w:tcW w:w="2106" w:type="dxa"/>
            <w:vAlign w:val="center"/>
          </w:tcPr>
          <w:p w14:paraId="14D2F901">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0.00969</w:t>
            </w:r>
          </w:p>
        </w:tc>
      </w:tr>
      <w:tr w14:paraId="5DE8E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1609" w:type="dxa"/>
            <w:vAlign w:val="center"/>
          </w:tcPr>
          <w:p w14:paraId="5212AD6B">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300</w:t>
            </w:r>
          </w:p>
        </w:tc>
        <w:tc>
          <w:tcPr>
            <w:tcW w:w="2703" w:type="dxa"/>
            <w:vAlign w:val="center"/>
          </w:tcPr>
          <w:p w14:paraId="36CA54F1">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60A733A4">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300</w:t>
            </w:r>
          </w:p>
        </w:tc>
        <w:tc>
          <w:tcPr>
            <w:tcW w:w="2106" w:type="dxa"/>
            <w:vAlign w:val="center"/>
          </w:tcPr>
          <w:p w14:paraId="7D785B1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0.000314</w:t>
            </w:r>
          </w:p>
        </w:tc>
      </w:tr>
      <w:tr w14:paraId="4F03C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1609" w:type="dxa"/>
            <w:vAlign w:val="center"/>
          </w:tcPr>
          <w:p w14:paraId="2E0F2804">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350</w:t>
            </w:r>
          </w:p>
        </w:tc>
        <w:tc>
          <w:tcPr>
            <w:tcW w:w="2703" w:type="dxa"/>
            <w:vAlign w:val="center"/>
          </w:tcPr>
          <w:p w14:paraId="72DC2A0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474049E7">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350</w:t>
            </w:r>
          </w:p>
        </w:tc>
        <w:tc>
          <w:tcPr>
            <w:tcW w:w="2106" w:type="dxa"/>
            <w:vAlign w:val="center"/>
          </w:tcPr>
          <w:p w14:paraId="3AC5289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0.000005</w:t>
            </w:r>
          </w:p>
        </w:tc>
      </w:tr>
      <w:tr w14:paraId="66C3E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0618BEF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400</w:t>
            </w:r>
          </w:p>
        </w:tc>
        <w:tc>
          <w:tcPr>
            <w:tcW w:w="2703" w:type="dxa"/>
            <w:vAlign w:val="center"/>
          </w:tcPr>
          <w:p w14:paraId="30D0F9C0">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3EADA28E">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400</w:t>
            </w:r>
          </w:p>
        </w:tc>
        <w:tc>
          <w:tcPr>
            <w:tcW w:w="2106" w:type="dxa"/>
            <w:vAlign w:val="center"/>
          </w:tcPr>
          <w:p w14:paraId="6BE69192">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0.0000000398</w:t>
            </w:r>
          </w:p>
        </w:tc>
      </w:tr>
      <w:tr w14:paraId="5AFC5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312" w:type="dxa"/>
            <w:gridSpan w:val="2"/>
            <w:vAlign w:val="center"/>
          </w:tcPr>
          <w:p w14:paraId="1BC7AA3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超标距离：</w:t>
            </w:r>
            <w:r>
              <w:rPr>
                <w:rFonts w:hint="eastAsia" w:ascii="Times New Roman" w:hAnsi="Times New Roman" w:eastAsia="宋体" w:cs="Times New Roman"/>
                <w:color w:val="auto"/>
                <w:szCs w:val="21"/>
                <w:u w:val="none" w:color="auto"/>
              </w:rPr>
              <w:t>5</w:t>
            </w:r>
            <w:r>
              <w:rPr>
                <w:rFonts w:hint="eastAsia" w:ascii="Times New Roman" w:hAnsi="Times New Roman" w:eastAsia="宋体" w:cs="Times New Roman"/>
                <w:color w:val="auto"/>
                <w:szCs w:val="21"/>
                <w:u w:val="none" w:color="auto"/>
                <w:lang w:val="en-US" w:eastAsia="zh-CN"/>
              </w:rPr>
              <w:t>4</w:t>
            </w:r>
            <w:r>
              <w:rPr>
                <w:rFonts w:ascii="Times New Roman" w:hAnsi="Times New Roman" w:eastAsia="宋体" w:cs="Times New Roman"/>
                <w:color w:val="auto"/>
                <w:szCs w:val="21"/>
                <w:u w:val="none" w:color="auto"/>
              </w:rPr>
              <w:t>m</w:t>
            </w:r>
          </w:p>
        </w:tc>
        <w:tc>
          <w:tcPr>
            <w:tcW w:w="4207" w:type="dxa"/>
            <w:gridSpan w:val="2"/>
            <w:vAlign w:val="center"/>
          </w:tcPr>
          <w:p w14:paraId="0C2F772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超标距离：</w:t>
            </w:r>
            <w:r>
              <w:rPr>
                <w:rFonts w:hint="eastAsia" w:ascii="Times New Roman" w:hAnsi="Times New Roman" w:eastAsia="宋体" w:cs="Times New Roman"/>
                <w:color w:val="auto"/>
                <w:szCs w:val="21"/>
                <w:u w:val="none" w:color="auto"/>
              </w:rPr>
              <w:t>1</w:t>
            </w:r>
            <w:r>
              <w:rPr>
                <w:rFonts w:hint="eastAsia" w:ascii="Times New Roman" w:hAnsi="Times New Roman" w:eastAsia="宋体" w:cs="Times New Roman"/>
                <w:color w:val="auto"/>
                <w:szCs w:val="21"/>
                <w:u w:val="none" w:color="auto"/>
                <w:lang w:val="en-US" w:eastAsia="zh-CN"/>
              </w:rPr>
              <w:t>63</w:t>
            </w:r>
            <w:r>
              <w:rPr>
                <w:rFonts w:ascii="Times New Roman" w:hAnsi="Times New Roman" w:eastAsia="宋体" w:cs="Times New Roman"/>
                <w:color w:val="auto"/>
                <w:szCs w:val="21"/>
                <w:u w:val="none" w:color="auto"/>
              </w:rPr>
              <w:t>m</w:t>
            </w:r>
          </w:p>
        </w:tc>
      </w:tr>
    </w:tbl>
    <w:p w14:paraId="5AEEF0F7">
      <w:pPr>
        <w:pStyle w:val="48"/>
        <w:rPr>
          <w:rFonts w:hint="default" w:ascii="Times New Roman" w:hAnsi="Times New Roman" w:eastAsia="宋体"/>
          <w:color w:val="auto"/>
          <w:u w:val="none" w:color="auto"/>
        </w:rPr>
      </w:pPr>
    </w:p>
    <w:p w14:paraId="27526E89">
      <w:pPr>
        <w:pStyle w:val="48"/>
        <w:rPr>
          <w:rFonts w:hint="default"/>
          <w:color w:val="auto"/>
          <w:sz w:val="21"/>
          <w:u w:val="none" w:color="auto"/>
        </w:rPr>
      </w:pPr>
      <w:r>
        <w:rPr>
          <w:rFonts w:hint="default" w:ascii="Times New Roman" w:hAnsi="Times New Roman" w:eastAsia="宋体"/>
          <w:b/>
          <w:color w:val="auto"/>
          <w:kern w:val="0"/>
          <w:sz w:val="21"/>
          <w:u w:val="none" w:color="auto"/>
        </w:rPr>
        <w:t>表</w:t>
      </w:r>
      <w:r>
        <w:rPr>
          <w:rFonts w:ascii="Times New Roman" w:hAnsi="Times New Roman" w:eastAsia="宋体"/>
          <w:b/>
          <w:color w:val="auto"/>
          <w:kern w:val="0"/>
          <w:sz w:val="21"/>
          <w:u w:val="none" w:color="auto"/>
        </w:rPr>
        <w:t>4</w:t>
      </w:r>
      <w:r>
        <w:rPr>
          <w:rFonts w:hint="default" w:ascii="Times New Roman" w:hAnsi="Times New Roman" w:eastAsia="宋体"/>
          <w:b/>
          <w:color w:val="auto"/>
          <w:kern w:val="0"/>
          <w:sz w:val="21"/>
          <w:u w:val="none" w:color="auto"/>
        </w:rPr>
        <w:t>.6-</w:t>
      </w:r>
      <w:r>
        <w:rPr>
          <w:rFonts w:ascii="Times New Roman" w:hAnsi="Times New Roman" w:eastAsia="宋体"/>
          <w:b/>
          <w:color w:val="auto"/>
          <w:kern w:val="0"/>
          <w:sz w:val="21"/>
          <w:u w:val="none" w:color="auto"/>
        </w:rPr>
        <w:t>3</w:t>
      </w:r>
      <w:r>
        <w:rPr>
          <w:rFonts w:hint="default" w:ascii="Times New Roman" w:hAnsi="Times New Roman" w:eastAsia="宋体"/>
          <w:b/>
          <w:color w:val="auto"/>
          <w:kern w:val="0"/>
          <w:sz w:val="21"/>
          <w:u w:val="none" w:color="auto"/>
        </w:rPr>
        <w:t xml:space="preserve">   </w:t>
      </w:r>
      <w:r>
        <w:rPr>
          <w:rFonts w:ascii="Times New Roman" w:hAnsi="Times New Roman" w:eastAsia="宋体"/>
          <w:b/>
          <w:color w:val="auto"/>
          <w:kern w:val="0"/>
          <w:sz w:val="21"/>
          <w:u w:val="none" w:color="auto"/>
        </w:rPr>
        <w:t>二甲苯</w:t>
      </w:r>
      <w:r>
        <w:rPr>
          <w:rFonts w:hint="default" w:ascii="Times New Roman" w:hAnsi="Times New Roman" w:eastAsia="宋体"/>
          <w:b/>
          <w:color w:val="auto"/>
          <w:kern w:val="0"/>
          <w:sz w:val="21"/>
          <w:u w:val="none" w:color="auto"/>
        </w:rPr>
        <w:t>地下水预测计算结果</w:t>
      </w:r>
    </w:p>
    <w:tbl>
      <w:tblPr>
        <w:tblStyle w:val="37"/>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2703"/>
        <w:gridCol w:w="2101"/>
        <w:gridCol w:w="2106"/>
      </w:tblGrid>
      <w:tr w14:paraId="2B50D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9" w:type="dxa"/>
            <w:vAlign w:val="center"/>
          </w:tcPr>
          <w:p w14:paraId="7E68A9FB">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距离</w:t>
            </w:r>
          </w:p>
        </w:tc>
        <w:tc>
          <w:tcPr>
            <w:tcW w:w="2703" w:type="dxa"/>
            <w:vAlign w:val="center"/>
          </w:tcPr>
          <w:p w14:paraId="0822E143">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100天</w:t>
            </w:r>
          </w:p>
        </w:tc>
        <w:tc>
          <w:tcPr>
            <w:tcW w:w="2101" w:type="dxa"/>
            <w:vAlign w:val="center"/>
          </w:tcPr>
          <w:p w14:paraId="2CDE1AC3">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距离</w:t>
            </w:r>
          </w:p>
        </w:tc>
        <w:tc>
          <w:tcPr>
            <w:tcW w:w="2106" w:type="dxa"/>
            <w:vAlign w:val="center"/>
          </w:tcPr>
          <w:p w14:paraId="73E123EA">
            <w:pPr>
              <w:jc w:val="center"/>
              <w:rPr>
                <w:rFonts w:ascii="Times New Roman" w:hAnsi="Times New Roman" w:eastAsia="宋体" w:cs="Times New Roman"/>
                <w:b/>
                <w:color w:val="auto"/>
                <w:kern w:val="0"/>
                <w:szCs w:val="21"/>
                <w:u w:val="none" w:color="auto"/>
              </w:rPr>
            </w:pPr>
            <w:r>
              <w:rPr>
                <w:rFonts w:hint="eastAsia" w:ascii="Times New Roman" w:hAnsi="Times New Roman" w:eastAsia="宋体" w:cs="Times New Roman"/>
                <w:b/>
                <w:color w:val="auto"/>
                <w:kern w:val="0"/>
                <w:szCs w:val="21"/>
                <w:u w:val="none" w:color="auto"/>
              </w:rPr>
              <w:t>1000</w:t>
            </w:r>
            <w:r>
              <w:rPr>
                <w:rFonts w:ascii="Times New Roman" w:hAnsi="Times New Roman" w:eastAsia="宋体" w:cs="Times New Roman"/>
                <w:b/>
                <w:color w:val="auto"/>
                <w:kern w:val="0"/>
                <w:szCs w:val="21"/>
                <w:u w:val="none" w:color="auto"/>
              </w:rPr>
              <w:t>天</w:t>
            </w:r>
          </w:p>
        </w:tc>
      </w:tr>
      <w:tr w14:paraId="4088C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609" w:type="dxa"/>
            <w:vAlign w:val="center"/>
          </w:tcPr>
          <w:p w14:paraId="58643809">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x（m）</w:t>
            </w:r>
          </w:p>
        </w:tc>
        <w:tc>
          <w:tcPr>
            <w:tcW w:w="2703" w:type="dxa"/>
            <w:vAlign w:val="center"/>
          </w:tcPr>
          <w:p w14:paraId="574A990E">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C（mg/L）</w:t>
            </w:r>
          </w:p>
        </w:tc>
        <w:tc>
          <w:tcPr>
            <w:tcW w:w="2101" w:type="dxa"/>
            <w:vAlign w:val="center"/>
          </w:tcPr>
          <w:p w14:paraId="4D80B84C">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x（m）</w:t>
            </w:r>
          </w:p>
        </w:tc>
        <w:tc>
          <w:tcPr>
            <w:tcW w:w="2106" w:type="dxa"/>
            <w:vAlign w:val="center"/>
          </w:tcPr>
          <w:p w14:paraId="632E32B8">
            <w:pPr>
              <w:jc w:val="center"/>
              <w:rPr>
                <w:rFonts w:ascii="Times New Roman" w:hAnsi="Times New Roman" w:eastAsia="宋体" w:cs="Times New Roman"/>
                <w:b/>
                <w:color w:val="auto"/>
                <w:kern w:val="0"/>
                <w:szCs w:val="21"/>
                <w:u w:val="none" w:color="auto"/>
              </w:rPr>
            </w:pPr>
            <w:r>
              <w:rPr>
                <w:rFonts w:ascii="Times New Roman" w:hAnsi="Times New Roman" w:eastAsia="宋体" w:cs="Times New Roman"/>
                <w:b/>
                <w:color w:val="auto"/>
                <w:kern w:val="0"/>
                <w:szCs w:val="21"/>
                <w:u w:val="none" w:color="auto"/>
              </w:rPr>
              <w:t>C（mg/L）</w:t>
            </w:r>
          </w:p>
        </w:tc>
      </w:tr>
      <w:tr w14:paraId="0E7E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609" w:type="dxa"/>
            <w:vAlign w:val="center"/>
          </w:tcPr>
          <w:p w14:paraId="68AC72F3">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w:t>
            </w:r>
          </w:p>
        </w:tc>
        <w:tc>
          <w:tcPr>
            <w:tcW w:w="2703" w:type="dxa"/>
            <w:vAlign w:val="center"/>
          </w:tcPr>
          <w:p w14:paraId="042515B9">
            <w:pPr>
              <w:widowControl/>
              <w:jc w:val="center"/>
              <w:rPr>
                <w:rFonts w:hint="default"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lang w:val="en-US" w:eastAsia="zh-CN"/>
              </w:rPr>
              <w:t>764</w:t>
            </w:r>
          </w:p>
        </w:tc>
        <w:tc>
          <w:tcPr>
            <w:tcW w:w="2101" w:type="dxa"/>
            <w:vAlign w:val="center"/>
          </w:tcPr>
          <w:p w14:paraId="2974C072">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0</w:t>
            </w:r>
          </w:p>
        </w:tc>
        <w:tc>
          <w:tcPr>
            <w:tcW w:w="2106" w:type="dxa"/>
            <w:vAlign w:val="center"/>
          </w:tcPr>
          <w:p w14:paraId="6F3FA1D8">
            <w:pPr>
              <w:widowControl/>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217</w:t>
            </w:r>
          </w:p>
        </w:tc>
      </w:tr>
      <w:tr w14:paraId="54546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36CABE69">
            <w:pPr>
              <w:widowControl/>
              <w:jc w:val="center"/>
              <w:rPr>
                <w:rFonts w:hint="eastAsia" w:ascii="Times New Roman" w:hAnsi="Times New Roman" w:eastAsia="宋体" w:cs="Times New Roman"/>
                <w:color w:val="auto"/>
                <w:kern w:val="0"/>
                <w:szCs w:val="21"/>
                <w:u w:val="none" w:color="auto"/>
                <w:lang w:val="en-US" w:eastAsia="zh-CN"/>
              </w:rPr>
            </w:pPr>
            <w:r>
              <w:rPr>
                <w:rFonts w:hint="eastAsia" w:ascii="Times New Roman" w:hAnsi="Times New Roman" w:eastAsia="宋体" w:cs="Times New Roman"/>
                <w:color w:val="auto"/>
                <w:kern w:val="0"/>
                <w:szCs w:val="21"/>
                <w:u w:val="none" w:color="auto"/>
              </w:rPr>
              <w:t>1</w:t>
            </w:r>
            <w:r>
              <w:rPr>
                <w:rFonts w:hint="eastAsia" w:ascii="Times New Roman" w:hAnsi="Times New Roman" w:eastAsia="宋体" w:cs="Times New Roman"/>
                <w:color w:val="auto"/>
                <w:kern w:val="0"/>
                <w:szCs w:val="21"/>
                <w:u w:val="none" w:color="auto"/>
                <w:lang w:val="en-US" w:eastAsia="zh-CN"/>
              </w:rPr>
              <w:t>0</w:t>
            </w:r>
          </w:p>
        </w:tc>
        <w:tc>
          <w:tcPr>
            <w:tcW w:w="2703" w:type="dxa"/>
            <w:vAlign w:val="center"/>
          </w:tcPr>
          <w:p w14:paraId="087BE9A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721</w:t>
            </w:r>
          </w:p>
        </w:tc>
        <w:tc>
          <w:tcPr>
            <w:tcW w:w="2101" w:type="dxa"/>
            <w:vAlign w:val="center"/>
          </w:tcPr>
          <w:p w14:paraId="6511A874">
            <w:pPr>
              <w:widowControl/>
              <w:jc w:val="center"/>
              <w:rPr>
                <w:rFonts w:ascii="Times New Roman" w:hAnsi="Times New Roman" w:eastAsia="宋体" w:cs="Times New Roman"/>
                <w:color w:val="auto"/>
                <w:kern w:val="0"/>
                <w:szCs w:val="21"/>
                <w:u w:val="none" w:color="auto"/>
              </w:rPr>
            </w:pPr>
            <w:r>
              <w:rPr>
                <w:rFonts w:hint="eastAsia" w:ascii="Times New Roman" w:hAnsi="Times New Roman" w:eastAsia="宋体" w:cs="Times New Roman"/>
                <w:color w:val="auto"/>
                <w:kern w:val="0"/>
                <w:szCs w:val="21"/>
                <w:u w:val="none" w:color="auto"/>
              </w:rPr>
              <w:t>1</w:t>
            </w:r>
            <w:r>
              <w:rPr>
                <w:rFonts w:hint="eastAsia" w:ascii="Times New Roman" w:hAnsi="Times New Roman" w:eastAsia="宋体" w:cs="Times New Roman"/>
                <w:color w:val="auto"/>
                <w:kern w:val="0"/>
                <w:szCs w:val="21"/>
                <w:u w:val="none" w:color="auto"/>
                <w:lang w:val="en-US" w:eastAsia="zh-CN"/>
              </w:rPr>
              <w:t>0</w:t>
            </w:r>
          </w:p>
        </w:tc>
        <w:tc>
          <w:tcPr>
            <w:tcW w:w="2106" w:type="dxa"/>
            <w:vAlign w:val="center"/>
          </w:tcPr>
          <w:p w14:paraId="0A1356A2">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232</w:t>
            </w:r>
          </w:p>
        </w:tc>
      </w:tr>
      <w:tr w14:paraId="687DC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0BBB9633">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2</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4339A01A">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514</w:t>
            </w:r>
          </w:p>
        </w:tc>
        <w:tc>
          <w:tcPr>
            <w:tcW w:w="2101" w:type="dxa"/>
            <w:vAlign w:val="center"/>
          </w:tcPr>
          <w:p w14:paraId="02A50DC5">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1CBE6D98">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242</w:t>
            </w:r>
          </w:p>
        </w:tc>
      </w:tr>
      <w:tr w14:paraId="7B4AC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4B3E231E">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3</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296E410B">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277</w:t>
            </w:r>
          </w:p>
        </w:tc>
        <w:tc>
          <w:tcPr>
            <w:tcW w:w="2101" w:type="dxa"/>
            <w:vAlign w:val="center"/>
          </w:tcPr>
          <w:p w14:paraId="7FF4AA9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2C20E54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244</w:t>
            </w:r>
          </w:p>
        </w:tc>
      </w:tr>
      <w:tr w14:paraId="3107C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06CC63AC">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4</w:t>
            </w:r>
            <w:r>
              <w:rPr>
                <w:rFonts w:hint="eastAsia" w:ascii="Times New Roman" w:hAnsi="Times New Roman" w:eastAsia="宋体" w:cs="Times New Roman"/>
                <w:color w:val="auto"/>
                <w:szCs w:val="21"/>
                <w:u w:val="none" w:color="auto"/>
                <w:lang w:val="en-US" w:eastAsia="zh-CN"/>
              </w:rPr>
              <w:t>0</w:t>
            </w:r>
          </w:p>
        </w:tc>
        <w:tc>
          <w:tcPr>
            <w:tcW w:w="2703" w:type="dxa"/>
            <w:vAlign w:val="center"/>
          </w:tcPr>
          <w:p w14:paraId="7A691396">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113</w:t>
            </w:r>
          </w:p>
        </w:tc>
        <w:tc>
          <w:tcPr>
            <w:tcW w:w="2101" w:type="dxa"/>
            <w:vAlign w:val="center"/>
          </w:tcPr>
          <w:p w14:paraId="2459E25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4</w:t>
            </w:r>
            <w:r>
              <w:rPr>
                <w:rFonts w:hint="eastAsia" w:ascii="Times New Roman" w:hAnsi="Times New Roman" w:eastAsia="宋体" w:cs="Times New Roman"/>
                <w:color w:val="auto"/>
                <w:szCs w:val="21"/>
                <w:u w:val="none" w:color="auto"/>
                <w:lang w:val="en-US" w:eastAsia="zh-CN"/>
              </w:rPr>
              <w:t>0</w:t>
            </w:r>
          </w:p>
        </w:tc>
        <w:tc>
          <w:tcPr>
            <w:tcW w:w="2106" w:type="dxa"/>
            <w:vAlign w:val="center"/>
          </w:tcPr>
          <w:p w14:paraId="5F453D3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240</w:t>
            </w:r>
          </w:p>
        </w:tc>
      </w:tr>
      <w:tr w14:paraId="21A8C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67D96EDF">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50</w:t>
            </w:r>
          </w:p>
        </w:tc>
        <w:tc>
          <w:tcPr>
            <w:tcW w:w="2703" w:type="dxa"/>
            <w:vAlign w:val="center"/>
          </w:tcPr>
          <w:p w14:paraId="4EB8630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34.9</w:t>
            </w:r>
          </w:p>
        </w:tc>
        <w:tc>
          <w:tcPr>
            <w:tcW w:w="2101" w:type="dxa"/>
            <w:vAlign w:val="center"/>
          </w:tcPr>
          <w:p w14:paraId="0C6EBF7A">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50</w:t>
            </w:r>
          </w:p>
        </w:tc>
        <w:tc>
          <w:tcPr>
            <w:tcW w:w="2106" w:type="dxa"/>
            <w:vAlign w:val="center"/>
          </w:tcPr>
          <w:p w14:paraId="1D6DF85A">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230</w:t>
            </w:r>
          </w:p>
        </w:tc>
      </w:tr>
      <w:tr w14:paraId="38F45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65FBBF0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60</w:t>
            </w:r>
          </w:p>
        </w:tc>
        <w:tc>
          <w:tcPr>
            <w:tcW w:w="2703" w:type="dxa"/>
            <w:vAlign w:val="center"/>
          </w:tcPr>
          <w:p w14:paraId="251E0EEF">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8.14</w:t>
            </w:r>
          </w:p>
        </w:tc>
        <w:tc>
          <w:tcPr>
            <w:tcW w:w="2101" w:type="dxa"/>
            <w:vAlign w:val="center"/>
          </w:tcPr>
          <w:p w14:paraId="7C04F9D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60</w:t>
            </w:r>
          </w:p>
        </w:tc>
        <w:tc>
          <w:tcPr>
            <w:tcW w:w="2106" w:type="dxa"/>
            <w:vAlign w:val="center"/>
          </w:tcPr>
          <w:p w14:paraId="04BB5A6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214</w:t>
            </w:r>
          </w:p>
        </w:tc>
      </w:tr>
      <w:tr w14:paraId="61E63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6F0B5CB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70</w:t>
            </w:r>
          </w:p>
        </w:tc>
        <w:tc>
          <w:tcPr>
            <w:tcW w:w="2703" w:type="dxa"/>
            <w:vAlign w:val="center"/>
          </w:tcPr>
          <w:p w14:paraId="055CA658">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1.44</w:t>
            </w:r>
          </w:p>
        </w:tc>
        <w:tc>
          <w:tcPr>
            <w:tcW w:w="2101" w:type="dxa"/>
            <w:vAlign w:val="center"/>
          </w:tcPr>
          <w:p w14:paraId="0422A816">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70</w:t>
            </w:r>
          </w:p>
        </w:tc>
        <w:tc>
          <w:tcPr>
            <w:tcW w:w="2106" w:type="dxa"/>
            <w:vAlign w:val="center"/>
          </w:tcPr>
          <w:p w14:paraId="0F8B10E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193</w:t>
            </w:r>
          </w:p>
        </w:tc>
      </w:tr>
      <w:tr w14:paraId="10580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9" w:type="dxa"/>
            <w:vAlign w:val="center"/>
          </w:tcPr>
          <w:p w14:paraId="219FDFFB">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80</w:t>
            </w:r>
          </w:p>
        </w:tc>
        <w:tc>
          <w:tcPr>
            <w:tcW w:w="2703" w:type="dxa"/>
            <w:vAlign w:val="center"/>
          </w:tcPr>
          <w:p w14:paraId="5D900DF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0.192</w:t>
            </w:r>
          </w:p>
        </w:tc>
        <w:tc>
          <w:tcPr>
            <w:tcW w:w="2101" w:type="dxa"/>
            <w:vAlign w:val="center"/>
          </w:tcPr>
          <w:p w14:paraId="78EEEF3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80</w:t>
            </w:r>
          </w:p>
        </w:tc>
        <w:tc>
          <w:tcPr>
            <w:tcW w:w="2106" w:type="dxa"/>
            <w:vAlign w:val="center"/>
          </w:tcPr>
          <w:p w14:paraId="5FD2BBF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170</w:t>
            </w:r>
          </w:p>
        </w:tc>
      </w:tr>
      <w:tr w14:paraId="42DA2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358EFA6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9</w:t>
            </w:r>
            <w:r>
              <w:rPr>
                <w:rFonts w:hint="eastAsia" w:ascii="Times New Roman" w:hAnsi="Times New Roman" w:eastAsia="宋体" w:cs="Times New Roman"/>
                <w:color w:val="auto"/>
                <w:szCs w:val="21"/>
                <w:u w:val="none" w:color="auto"/>
              </w:rPr>
              <w:t>0</w:t>
            </w:r>
          </w:p>
        </w:tc>
        <w:tc>
          <w:tcPr>
            <w:tcW w:w="2703" w:type="dxa"/>
            <w:vAlign w:val="center"/>
          </w:tcPr>
          <w:p w14:paraId="7B747DD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0.0193</w:t>
            </w:r>
          </w:p>
        </w:tc>
        <w:tc>
          <w:tcPr>
            <w:tcW w:w="2101" w:type="dxa"/>
            <w:vAlign w:val="center"/>
          </w:tcPr>
          <w:p w14:paraId="4DB47752">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9</w:t>
            </w:r>
            <w:r>
              <w:rPr>
                <w:rFonts w:hint="eastAsia" w:ascii="Times New Roman" w:hAnsi="Times New Roman" w:eastAsia="宋体" w:cs="Times New Roman"/>
                <w:color w:val="auto"/>
                <w:szCs w:val="21"/>
                <w:u w:val="none" w:color="auto"/>
              </w:rPr>
              <w:t>0</w:t>
            </w:r>
          </w:p>
        </w:tc>
        <w:tc>
          <w:tcPr>
            <w:tcW w:w="2106" w:type="dxa"/>
            <w:vAlign w:val="center"/>
          </w:tcPr>
          <w:p w14:paraId="5CE36115">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145</w:t>
            </w:r>
          </w:p>
        </w:tc>
      </w:tr>
      <w:tr w14:paraId="6D504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156BE8A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100</w:t>
            </w:r>
          </w:p>
        </w:tc>
        <w:tc>
          <w:tcPr>
            <w:tcW w:w="2703" w:type="dxa"/>
            <w:vAlign w:val="center"/>
          </w:tcPr>
          <w:p w14:paraId="431BD87C">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0.00148</w:t>
            </w:r>
          </w:p>
        </w:tc>
        <w:tc>
          <w:tcPr>
            <w:tcW w:w="2101" w:type="dxa"/>
            <w:vAlign w:val="center"/>
          </w:tcPr>
          <w:p w14:paraId="28F74BAE">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100</w:t>
            </w:r>
          </w:p>
        </w:tc>
        <w:tc>
          <w:tcPr>
            <w:tcW w:w="2106" w:type="dxa"/>
            <w:vAlign w:val="center"/>
          </w:tcPr>
          <w:p w14:paraId="5EB406A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121</w:t>
            </w:r>
          </w:p>
        </w:tc>
      </w:tr>
      <w:tr w14:paraId="36C92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609" w:type="dxa"/>
            <w:vAlign w:val="center"/>
          </w:tcPr>
          <w:p w14:paraId="680F96D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150</w:t>
            </w:r>
          </w:p>
        </w:tc>
        <w:tc>
          <w:tcPr>
            <w:tcW w:w="2703" w:type="dxa"/>
            <w:vAlign w:val="center"/>
          </w:tcPr>
          <w:p w14:paraId="54695930">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0.000000000058</w:t>
            </w:r>
          </w:p>
        </w:tc>
        <w:tc>
          <w:tcPr>
            <w:tcW w:w="2101" w:type="dxa"/>
            <w:vAlign w:val="center"/>
          </w:tcPr>
          <w:p w14:paraId="3A42D0E2">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150</w:t>
            </w:r>
          </w:p>
        </w:tc>
        <w:tc>
          <w:tcPr>
            <w:tcW w:w="2106" w:type="dxa"/>
            <w:vAlign w:val="center"/>
          </w:tcPr>
          <w:p w14:paraId="3FEA7D62">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31.6</w:t>
            </w:r>
          </w:p>
        </w:tc>
      </w:tr>
      <w:tr w14:paraId="7B953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609" w:type="dxa"/>
            <w:vAlign w:val="center"/>
          </w:tcPr>
          <w:p w14:paraId="77AF458E">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200</w:t>
            </w:r>
          </w:p>
        </w:tc>
        <w:tc>
          <w:tcPr>
            <w:tcW w:w="2703" w:type="dxa"/>
            <w:vAlign w:val="center"/>
          </w:tcPr>
          <w:p w14:paraId="3D01464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4672CD1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200</w:t>
            </w:r>
          </w:p>
        </w:tc>
        <w:tc>
          <w:tcPr>
            <w:tcW w:w="2106" w:type="dxa"/>
            <w:vAlign w:val="center"/>
          </w:tcPr>
          <w:p w14:paraId="3E74F50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4.12</w:t>
            </w:r>
          </w:p>
        </w:tc>
      </w:tr>
      <w:tr w14:paraId="7369A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609" w:type="dxa"/>
            <w:vAlign w:val="center"/>
          </w:tcPr>
          <w:p w14:paraId="5F8FCF10">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250</w:t>
            </w:r>
          </w:p>
        </w:tc>
        <w:tc>
          <w:tcPr>
            <w:tcW w:w="2703" w:type="dxa"/>
            <w:vAlign w:val="center"/>
          </w:tcPr>
          <w:p w14:paraId="52F05AC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59368BB5">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250</w:t>
            </w:r>
          </w:p>
        </w:tc>
        <w:tc>
          <w:tcPr>
            <w:tcW w:w="2106" w:type="dxa"/>
            <w:vAlign w:val="center"/>
          </w:tcPr>
          <w:p w14:paraId="757C2A1A">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0.267</w:t>
            </w:r>
          </w:p>
        </w:tc>
      </w:tr>
      <w:tr w14:paraId="316B7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1609" w:type="dxa"/>
            <w:vAlign w:val="center"/>
          </w:tcPr>
          <w:p w14:paraId="34AAF968">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300</w:t>
            </w:r>
          </w:p>
        </w:tc>
        <w:tc>
          <w:tcPr>
            <w:tcW w:w="2703" w:type="dxa"/>
            <w:vAlign w:val="center"/>
          </w:tcPr>
          <w:p w14:paraId="5DE4134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1F3CE8C3">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300</w:t>
            </w:r>
          </w:p>
        </w:tc>
        <w:tc>
          <w:tcPr>
            <w:tcW w:w="2106" w:type="dxa"/>
            <w:vAlign w:val="center"/>
          </w:tcPr>
          <w:p w14:paraId="4573A1B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0.00858</w:t>
            </w:r>
          </w:p>
        </w:tc>
      </w:tr>
      <w:tr w14:paraId="1F1EB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1609" w:type="dxa"/>
            <w:vAlign w:val="center"/>
          </w:tcPr>
          <w:p w14:paraId="247B9740">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350</w:t>
            </w:r>
          </w:p>
        </w:tc>
        <w:tc>
          <w:tcPr>
            <w:tcW w:w="2703" w:type="dxa"/>
            <w:vAlign w:val="center"/>
          </w:tcPr>
          <w:p w14:paraId="63988DB7">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244ACDEF">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350</w:t>
            </w:r>
          </w:p>
        </w:tc>
        <w:tc>
          <w:tcPr>
            <w:tcW w:w="2106" w:type="dxa"/>
            <w:vAlign w:val="center"/>
          </w:tcPr>
          <w:p w14:paraId="7DCAA46D">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0.000137</w:t>
            </w:r>
          </w:p>
        </w:tc>
      </w:tr>
      <w:tr w14:paraId="313CE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9" w:type="dxa"/>
            <w:vAlign w:val="center"/>
          </w:tcPr>
          <w:p w14:paraId="27956809">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400</w:t>
            </w:r>
          </w:p>
        </w:tc>
        <w:tc>
          <w:tcPr>
            <w:tcW w:w="2703" w:type="dxa"/>
            <w:vAlign w:val="center"/>
          </w:tcPr>
          <w:p w14:paraId="7654896B">
            <w:pPr>
              <w:jc w:val="center"/>
              <w:rPr>
                <w:rFonts w:hint="eastAsia"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w:t>
            </w:r>
          </w:p>
        </w:tc>
        <w:tc>
          <w:tcPr>
            <w:tcW w:w="2101" w:type="dxa"/>
            <w:vAlign w:val="center"/>
          </w:tcPr>
          <w:p w14:paraId="4366529B">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400</w:t>
            </w:r>
          </w:p>
        </w:tc>
        <w:tc>
          <w:tcPr>
            <w:tcW w:w="2106" w:type="dxa"/>
            <w:vAlign w:val="center"/>
          </w:tcPr>
          <w:p w14:paraId="47E838AE">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0.0000011</w:t>
            </w:r>
          </w:p>
        </w:tc>
      </w:tr>
      <w:tr w14:paraId="667B4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312" w:type="dxa"/>
            <w:gridSpan w:val="2"/>
            <w:vAlign w:val="center"/>
          </w:tcPr>
          <w:p w14:paraId="48B5598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超标距离：</w:t>
            </w:r>
            <w:r>
              <w:rPr>
                <w:rFonts w:hint="eastAsia" w:ascii="Times New Roman" w:hAnsi="Times New Roman" w:eastAsia="宋体" w:cs="Times New Roman"/>
                <w:color w:val="auto"/>
                <w:szCs w:val="21"/>
                <w:u w:val="none" w:color="auto"/>
                <w:lang w:val="en-US" w:eastAsia="zh-CN"/>
              </w:rPr>
              <w:t>75</w:t>
            </w:r>
            <w:r>
              <w:rPr>
                <w:rFonts w:ascii="Times New Roman" w:hAnsi="Times New Roman" w:eastAsia="宋体" w:cs="Times New Roman"/>
                <w:color w:val="auto"/>
                <w:szCs w:val="21"/>
                <w:u w:val="none" w:color="auto"/>
              </w:rPr>
              <w:t>m</w:t>
            </w:r>
          </w:p>
        </w:tc>
        <w:tc>
          <w:tcPr>
            <w:tcW w:w="4207" w:type="dxa"/>
            <w:gridSpan w:val="2"/>
            <w:vAlign w:val="center"/>
          </w:tcPr>
          <w:p w14:paraId="02DD5A9C">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超标距离：</w:t>
            </w:r>
            <w:r>
              <w:rPr>
                <w:rFonts w:hint="eastAsia" w:ascii="Times New Roman" w:hAnsi="Times New Roman" w:eastAsia="宋体" w:cs="Times New Roman"/>
                <w:color w:val="auto"/>
                <w:szCs w:val="21"/>
                <w:u w:val="none" w:color="auto"/>
                <w:lang w:val="en-US" w:eastAsia="zh-CN"/>
              </w:rPr>
              <w:t>239</w:t>
            </w:r>
            <w:r>
              <w:rPr>
                <w:rFonts w:ascii="Times New Roman" w:hAnsi="Times New Roman" w:eastAsia="宋体" w:cs="Times New Roman"/>
                <w:color w:val="auto"/>
                <w:szCs w:val="21"/>
                <w:u w:val="none" w:color="auto"/>
              </w:rPr>
              <w:t>m</w:t>
            </w:r>
          </w:p>
        </w:tc>
      </w:tr>
    </w:tbl>
    <w:p w14:paraId="31A9CD63">
      <w:pPr>
        <w:keepNext w:val="0"/>
        <w:keepLines w:val="0"/>
        <w:pageBreakBefore w:val="0"/>
        <w:widowControl w:val="0"/>
        <w:kinsoku/>
        <w:wordWrap/>
        <w:overflowPunct/>
        <w:topLinePunct w:val="0"/>
        <w:autoSpaceDE/>
        <w:autoSpaceDN/>
        <w:bidi w:val="0"/>
        <w:adjustRightInd/>
        <w:snapToGrid/>
        <w:spacing w:before="0" w:beforeLines="100"/>
        <w:jc w:val="center"/>
        <w:textAlignment w:val="auto"/>
        <w:rPr>
          <w:rFonts w:ascii="Times New Roman" w:hAnsi="Times New Roman" w:cs="Times New Roman"/>
          <w:b/>
          <w:bCs/>
          <w:color w:val="auto"/>
          <w:sz w:val="24"/>
          <w:szCs w:val="24"/>
          <w:u w:val="none" w:color="auto"/>
        </w:rPr>
      </w:pPr>
      <w:r>
        <w:rPr>
          <w:color w:val="auto"/>
        </w:rPr>
        <w:drawing>
          <wp:inline distT="0" distB="0" distL="114300" distR="114300">
            <wp:extent cx="4826000" cy="2743200"/>
            <wp:effectExtent l="4445" t="4445" r="8255" b="5080"/>
            <wp:docPr id="25"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59A7A42">
      <w:pPr>
        <w:jc w:val="center"/>
        <w:rPr>
          <w:rFonts w:ascii="Times New Roman" w:hAnsi="Times New Roman" w:cs="Times New Roman"/>
          <w:b/>
          <w:bCs/>
          <w:color w:val="auto"/>
          <w:sz w:val="24"/>
          <w:szCs w:val="24"/>
          <w:u w:val="none" w:color="auto"/>
        </w:rPr>
      </w:pPr>
      <w:r>
        <w:rPr>
          <w:rFonts w:ascii="Times New Roman" w:hAnsi="Times New Roman" w:cs="Times New Roman"/>
          <w:b/>
          <w:bCs/>
          <w:color w:val="auto"/>
          <w:sz w:val="24"/>
          <w:szCs w:val="24"/>
          <w:u w:val="none" w:color="auto"/>
        </w:rPr>
        <w:t>图4.6-</w:t>
      </w:r>
      <w:r>
        <w:rPr>
          <w:rFonts w:hint="eastAsia" w:ascii="Times New Roman" w:hAnsi="Times New Roman" w:cs="Times New Roman"/>
          <w:b/>
          <w:bCs/>
          <w:color w:val="auto"/>
          <w:sz w:val="24"/>
          <w:szCs w:val="24"/>
          <w:u w:val="none" w:color="auto"/>
        </w:rPr>
        <w:t>1</w:t>
      </w:r>
      <w:r>
        <w:rPr>
          <w:rFonts w:ascii="Times New Roman" w:hAnsi="Times New Roman" w:cs="Times New Roman"/>
          <w:b/>
          <w:bCs/>
          <w:color w:val="auto"/>
          <w:sz w:val="24"/>
          <w:szCs w:val="24"/>
          <w:u w:val="none" w:color="auto"/>
        </w:rPr>
        <w:t xml:space="preserve">  </w:t>
      </w:r>
      <w:r>
        <w:rPr>
          <w:rFonts w:ascii="Times New Roman" w:hAnsi="Times New Roman" w:eastAsia="宋体" w:cs="Times New Roman"/>
          <w:b/>
          <w:bCs/>
          <w:color w:val="auto"/>
          <w:sz w:val="24"/>
          <w:szCs w:val="24"/>
          <w:u w:val="none" w:color="auto"/>
        </w:rPr>
        <w:t>100天</w:t>
      </w:r>
      <w:r>
        <w:rPr>
          <w:rFonts w:hint="eastAsia" w:ascii="Times New Roman" w:hAnsi="Times New Roman" w:eastAsia="宋体" w:cs="Times New Roman"/>
          <w:b/>
          <w:bCs/>
          <w:color w:val="auto"/>
          <w:sz w:val="24"/>
          <w:szCs w:val="24"/>
          <w:u w:val="none" w:color="auto"/>
        </w:rPr>
        <w:t>甲苯</w:t>
      </w:r>
      <w:r>
        <w:rPr>
          <w:rFonts w:ascii="Times New Roman" w:hAnsi="Times New Roman" w:eastAsia="宋体" w:cs="Times New Roman"/>
          <w:b/>
          <w:bCs/>
          <w:color w:val="auto"/>
          <w:sz w:val="24"/>
          <w:szCs w:val="24"/>
          <w:u w:val="none" w:color="auto"/>
        </w:rPr>
        <w:t>与距离关系曲线图</w:t>
      </w:r>
    </w:p>
    <w:p w14:paraId="0DBC1253">
      <w:pPr>
        <w:pStyle w:val="16"/>
        <w:spacing w:line="360" w:lineRule="auto"/>
        <w:jc w:val="center"/>
        <w:rPr>
          <w:color w:val="auto"/>
          <w:sz w:val="24"/>
          <w:szCs w:val="24"/>
          <w:u w:val="none" w:color="auto"/>
        </w:rPr>
      </w:pPr>
      <w:r>
        <w:rPr>
          <w:color w:val="auto"/>
        </w:rPr>
        <w:drawing>
          <wp:inline distT="0" distB="0" distL="114300" distR="114300">
            <wp:extent cx="4826000" cy="2743200"/>
            <wp:effectExtent l="4445" t="4445" r="8255" b="5080"/>
            <wp:docPr id="20"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BDF48E3">
      <w:pPr>
        <w:pStyle w:val="59"/>
        <w:spacing w:line="360" w:lineRule="auto"/>
        <w:jc w:val="center"/>
        <w:rPr>
          <w:rFonts w:ascii="Times New Roman"/>
          <w:b w:val="0"/>
          <w:bCs w:val="0"/>
          <w:color w:val="auto"/>
          <w:sz w:val="24"/>
          <w:szCs w:val="24"/>
          <w:u w:val="none" w:color="auto"/>
        </w:rPr>
      </w:pPr>
      <w:r>
        <w:rPr>
          <w:rFonts w:hint="eastAsia" w:ascii="Times New Roman"/>
          <w:color w:val="auto"/>
          <w:sz w:val="24"/>
          <w:szCs w:val="24"/>
          <w:u w:val="none" w:color="auto"/>
        </w:rPr>
        <w:t>图4.6-2    1000</w:t>
      </w:r>
      <w:r>
        <w:rPr>
          <w:rFonts w:ascii="Times New Roman" w:hAnsi="宋体"/>
          <w:color w:val="auto"/>
          <w:sz w:val="24"/>
          <w:szCs w:val="24"/>
          <w:u w:val="none" w:color="auto"/>
        </w:rPr>
        <w:t>天</w:t>
      </w:r>
      <w:r>
        <w:rPr>
          <w:rFonts w:hint="eastAsia" w:ascii="Times New Roman"/>
          <w:color w:val="auto"/>
          <w:sz w:val="24"/>
          <w:szCs w:val="24"/>
          <w:u w:val="none" w:color="auto"/>
        </w:rPr>
        <w:t>甲苯</w:t>
      </w:r>
      <w:r>
        <w:rPr>
          <w:rFonts w:ascii="Times New Roman" w:hAnsi="宋体"/>
          <w:color w:val="auto"/>
          <w:sz w:val="24"/>
          <w:szCs w:val="24"/>
          <w:u w:val="none" w:color="auto"/>
        </w:rPr>
        <w:t>与距离关系曲线图</w:t>
      </w:r>
    </w:p>
    <w:p w14:paraId="3CEB3185">
      <w:pPr>
        <w:jc w:val="center"/>
        <w:rPr>
          <w:rFonts w:ascii="Times New Roman" w:hAnsi="Times New Roman" w:cs="Times New Roman"/>
          <w:b/>
          <w:bCs/>
          <w:color w:val="auto"/>
          <w:sz w:val="24"/>
          <w:szCs w:val="24"/>
          <w:u w:val="none" w:color="auto"/>
        </w:rPr>
      </w:pPr>
      <w:r>
        <w:rPr>
          <w:color w:val="auto"/>
        </w:rPr>
        <w:drawing>
          <wp:inline distT="0" distB="0" distL="114300" distR="114300">
            <wp:extent cx="4826000" cy="2743200"/>
            <wp:effectExtent l="4445" t="4445" r="8255" b="5080"/>
            <wp:docPr id="2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1CF49F9">
      <w:pPr>
        <w:jc w:val="center"/>
        <w:rPr>
          <w:rFonts w:ascii="Times New Roman" w:hAnsi="Times New Roman" w:cs="Times New Roman"/>
          <w:b/>
          <w:bCs/>
          <w:color w:val="auto"/>
          <w:sz w:val="24"/>
          <w:szCs w:val="24"/>
          <w:u w:val="none" w:color="auto"/>
        </w:rPr>
      </w:pPr>
      <w:r>
        <w:rPr>
          <w:rFonts w:ascii="Times New Roman" w:hAnsi="Times New Roman" w:cs="Times New Roman"/>
          <w:b/>
          <w:bCs/>
          <w:color w:val="auto"/>
          <w:sz w:val="24"/>
          <w:szCs w:val="24"/>
          <w:u w:val="none" w:color="auto"/>
        </w:rPr>
        <w:t>图4.6-</w:t>
      </w:r>
      <w:r>
        <w:rPr>
          <w:rFonts w:hint="eastAsia" w:ascii="Times New Roman" w:hAnsi="Times New Roman" w:cs="Times New Roman"/>
          <w:b/>
          <w:bCs/>
          <w:color w:val="auto"/>
          <w:sz w:val="24"/>
          <w:szCs w:val="24"/>
          <w:u w:val="none" w:color="auto"/>
          <w:lang w:val="en-US" w:eastAsia="zh-CN"/>
        </w:rPr>
        <w:t>3</w:t>
      </w:r>
      <w:r>
        <w:rPr>
          <w:rFonts w:ascii="Times New Roman" w:hAnsi="Times New Roman" w:cs="Times New Roman"/>
          <w:b/>
          <w:bCs/>
          <w:color w:val="auto"/>
          <w:sz w:val="24"/>
          <w:szCs w:val="24"/>
          <w:u w:val="none" w:color="auto"/>
        </w:rPr>
        <w:t xml:space="preserve">  </w:t>
      </w:r>
      <w:r>
        <w:rPr>
          <w:rFonts w:ascii="Times New Roman" w:hAnsi="Times New Roman" w:eastAsia="宋体" w:cs="Times New Roman"/>
          <w:b/>
          <w:bCs/>
          <w:color w:val="auto"/>
          <w:sz w:val="24"/>
          <w:szCs w:val="24"/>
          <w:u w:val="none" w:color="auto"/>
        </w:rPr>
        <w:t>100天</w:t>
      </w:r>
      <w:r>
        <w:rPr>
          <w:rFonts w:hint="eastAsia" w:ascii="Times New Roman" w:hAnsi="Times New Roman" w:eastAsia="宋体" w:cs="Times New Roman"/>
          <w:b/>
          <w:bCs/>
          <w:color w:val="auto"/>
          <w:sz w:val="24"/>
          <w:szCs w:val="24"/>
          <w:u w:val="none" w:color="auto"/>
        </w:rPr>
        <w:t>二甲苯</w:t>
      </w:r>
      <w:r>
        <w:rPr>
          <w:rFonts w:ascii="Times New Roman" w:hAnsi="Times New Roman" w:eastAsia="宋体" w:cs="Times New Roman"/>
          <w:b/>
          <w:bCs/>
          <w:color w:val="auto"/>
          <w:sz w:val="24"/>
          <w:szCs w:val="24"/>
          <w:u w:val="none" w:color="auto"/>
        </w:rPr>
        <w:t>与距离关系曲线图</w:t>
      </w:r>
    </w:p>
    <w:p w14:paraId="365617E2">
      <w:pPr>
        <w:pStyle w:val="16"/>
        <w:spacing w:line="360" w:lineRule="auto"/>
        <w:jc w:val="center"/>
        <w:rPr>
          <w:color w:val="auto"/>
          <w:sz w:val="24"/>
          <w:szCs w:val="24"/>
          <w:u w:val="none" w:color="auto"/>
        </w:rPr>
      </w:pPr>
      <w:r>
        <w:rPr>
          <w:color w:val="auto"/>
        </w:rPr>
        <w:drawing>
          <wp:inline distT="0" distB="0" distL="114300" distR="114300">
            <wp:extent cx="4826000" cy="2743200"/>
            <wp:effectExtent l="4445" t="4445" r="8255" b="5080"/>
            <wp:docPr id="8"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64A90BE">
      <w:pPr>
        <w:pStyle w:val="59"/>
        <w:spacing w:line="360" w:lineRule="auto"/>
        <w:jc w:val="center"/>
        <w:rPr>
          <w:rFonts w:ascii="Times New Roman"/>
          <w:b w:val="0"/>
          <w:bCs w:val="0"/>
          <w:color w:val="auto"/>
          <w:sz w:val="24"/>
          <w:szCs w:val="24"/>
          <w:u w:val="none" w:color="auto"/>
        </w:rPr>
      </w:pPr>
      <w:r>
        <w:rPr>
          <w:rFonts w:hint="eastAsia" w:ascii="Times New Roman"/>
          <w:color w:val="auto"/>
          <w:sz w:val="24"/>
          <w:szCs w:val="24"/>
          <w:u w:val="none" w:color="auto"/>
        </w:rPr>
        <w:t>图4.6-</w:t>
      </w:r>
      <w:r>
        <w:rPr>
          <w:rFonts w:hint="eastAsia" w:ascii="Times New Roman"/>
          <w:color w:val="auto"/>
          <w:sz w:val="24"/>
          <w:szCs w:val="24"/>
          <w:u w:val="none" w:color="auto"/>
          <w:lang w:val="en-US" w:eastAsia="zh-CN"/>
        </w:rPr>
        <w:t>4</w:t>
      </w:r>
      <w:r>
        <w:rPr>
          <w:rFonts w:hint="eastAsia" w:ascii="Times New Roman"/>
          <w:color w:val="auto"/>
          <w:sz w:val="24"/>
          <w:szCs w:val="24"/>
          <w:u w:val="none" w:color="auto"/>
        </w:rPr>
        <w:t xml:space="preserve">    1000</w:t>
      </w:r>
      <w:r>
        <w:rPr>
          <w:rFonts w:ascii="Times New Roman" w:hAnsi="宋体"/>
          <w:color w:val="auto"/>
          <w:sz w:val="24"/>
          <w:szCs w:val="24"/>
          <w:u w:val="none" w:color="auto"/>
        </w:rPr>
        <w:t>天</w:t>
      </w:r>
      <w:r>
        <w:rPr>
          <w:rFonts w:hint="eastAsia" w:ascii="Times New Roman" w:hAnsi="宋体"/>
          <w:color w:val="auto"/>
          <w:sz w:val="24"/>
          <w:szCs w:val="24"/>
          <w:u w:val="none" w:color="auto"/>
        </w:rPr>
        <w:t>二</w:t>
      </w:r>
      <w:r>
        <w:rPr>
          <w:rFonts w:hint="eastAsia" w:ascii="Times New Roman"/>
          <w:color w:val="auto"/>
          <w:sz w:val="24"/>
          <w:szCs w:val="24"/>
          <w:u w:val="none" w:color="auto"/>
        </w:rPr>
        <w:t>甲苯</w:t>
      </w:r>
      <w:r>
        <w:rPr>
          <w:rFonts w:ascii="Times New Roman" w:hAnsi="宋体"/>
          <w:color w:val="auto"/>
          <w:sz w:val="24"/>
          <w:szCs w:val="24"/>
          <w:u w:val="none" w:color="auto"/>
        </w:rPr>
        <w:t>与距离关系曲线图</w:t>
      </w:r>
    </w:p>
    <w:p w14:paraId="560E0DC4">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根据表 4.</w:t>
      </w:r>
      <w:r>
        <w:rPr>
          <w:rFonts w:hint="eastAsia" w:ascii="Times New Roman"/>
          <w:b w:val="0"/>
          <w:bCs w:val="0"/>
          <w:color w:val="auto"/>
          <w:sz w:val="24"/>
          <w:szCs w:val="24"/>
          <w:u w:val="none" w:color="auto"/>
        </w:rPr>
        <w:t>6-2</w:t>
      </w:r>
      <w:r>
        <w:rPr>
          <w:rFonts w:ascii="Times New Roman"/>
          <w:b w:val="0"/>
          <w:bCs w:val="0"/>
          <w:color w:val="auto"/>
          <w:sz w:val="24"/>
          <w:szCs w:val="24"/>
          <w:u w:val="none" w:color="auto"/>
        </w:rPr>
        <w:t>可知，</w:t>
      </w:r>
      <w:r>
        <w:rPr>
          <w:rFonts w:hint="eastAsia" w:ascii="Times New Roman"/>
          <w:b w:val="0"/>
          <w:bCs w:val="0"/>
          <w:color w:val="auto"/>
          <w:sz w:val="24"/>
          <w:szCs w:val="24"/>
          <w:u w:val="none" w:color="auto"/>
        </w:rPr>
        <w:t>甲苯</w:t>
      </w:r>
      <w:r>
        <w:rPr>
          <w:rFonts w:ascii="Times New Roman"/>
          <w:b w:val="0"/>
          <w:bCs w:val="0"/>
          <w:color w:val="auto"/>
          <w:sz w:val="24"/>
          <w:szCs w:val="24"/>
          <w:u w:val="none" w:color="auto"/>
        </w:rPr>
        <w:t>污染物瞬时泄漏，在泄露发生后第100天，在泄漏点地下水流方向下游的甲苯浓度峰值为</w:t>
      </w:r>
      <w:r>
        <w:rPr>
          <w:rFonts w:hint="eastAsia" w:ascii="Times New Roman"/>
          <w:b w:val="0"/>
          <w:bCs w:val="0"/>
          <w:color w:val="auto"/>
          <w:sz w:val="24"/>
          <w:szCs w:val="24"/>
          <w:u w:val="none" w:color="auto"/>
          <w:lang w:val="en-US" w:eastAsia="zh-CN"/>
        </w:rPr>
        <w:t>28.113</w:t>
      </w:r>
      <w:r>
        <w:rPr>
          <w:rFonts w:ascii="Times New Roman"/>
          <w:b w:val="0"/>
          <w:bCs w:val="0"/>
          <w:color w:val="auto"/>
          <w:sz w:val="24"/>
          <w:szCs w:val="24"/>
          <w:u w:val="none" w:color="auto"/>
        </w:rPr>
        <w:t>mg/L（峰值点为X=</w:t>
      </w:r>
      <w:r>
        <w:rPr>
          <w:rFonts w:hint="eastAsia" w:ascii="Times New Roman"/>
          <w:b w:val="0"/>
          <w:bCs w:val="0"/>
          <w:color w:val="auto"/>
          <w:sz w:val="24"/>
          <w:szCs w:val="24"/>
          <w:u w:val="none" w:color="auto"/>
          <w:lang w:val="en-US" w:eastAsia="zh-CN"/>
        </w:rPr>
        <w:t>4</w:t>
      </w:r>
      <w:r>
        <w:rPr>
          <w:rFonts w:ascii="Times New Roman"/>
          <w:b w:val="0"/>
          <w:bCs w:val="0"/>
          <w:color w:val="auto"/>
          <w:sz w:val="24"/>
          <w:szCs w:val="24"/>
          <w:u w:val="none" w:color="auto"/>
        </w:rPr>
        <w:t>m）</w:t>
      </w:r>
      <w:r>
        <w:rPr>
          <w:rFonts w:hint="eastAsia" w:ascii="Times New Roman"/>
          <w:b w:val="0"/>
          <w:bCs w:val="0"/>
          <w:color w:val="auto"/>
          <w:sz w:val="24"/>
          <w:szCs w:val="24"/>
          <w:u w:val="none" w:color="auto"/>
        </w:rPr>
        <w:t>，不能满足《地下水质量标准》（GB/T 14848-2017）Ⅲ类标准（甲苯≤0.7mg/L）</w:t>
      </w:r>
      <w:r>
        <w:rPr>
          <w:rFonts w:ascii="Times New Roman"/>
          <w:b w:val="0"/>
          <w:bCs w:val="0"/>
          <w:color w:val="auto"/>
          <w:sz w:val="24"/>
          <w:szCs w:val="24"/>
          <w:u w:val="none" w:color="auto"/>
        </w:rPr>
        <w:t>，</w:t>
      </w:r>
      <w:r>
        <w:rPr>
          <w:rFonts w:hint="eastAsia" w:ascii="Times New Roman"/>
          <w:b w:val="0"/>
          <w:bCs w:val="0"/>
          <w:color w:val="auto"/>
          <w:sz w:val="24"/>
          <w:szCs w:val="24"/>
          <w:u w:val="none" w:color="auto"/>
        </w:rPr>
        <w:t>最远超标距离5</w:t>
      </w:r>
      <w:r>
        <w:rPr>
          <w:rFonts w:hint="eastAsia" w:ascii="Times New Roman"/>
          <w:b w:val="0"/>
          <w:bCs w:val="0"/>
          <w:color w:val="auto"/>
          <w:sz w:val="24"/>
          <w:szCs w:val="24"/>
          <w:u w:val="none" w:color="auto"/>
          <w:lang w:val="en-US" w:eastAsia="zh-CN"/>
        </w:rPr>
        <w:t>4</w:t>
      </w:r>
      <w:r>
        <w:rPr>
          <w:rFonts w:hint="eastAsia" w:ascii="Times New Roman"/>
          <w:b w:val="0"/>
          <w:bCs w:val="0"/>
          <w:color w:val="auto"/>
          <w:sz w:val="24"/>
          <w:szCs w:val="24"/>
          <w:u w:val="none" w:color="auto"/>
        </w:rPr>
        <w:t>m</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至</w:t>
      </w:r>
      <w:r>
        <w:rPr>
          <w:rFonts w:ascii="Times New Roman"/>
          <w:b w:val="0"/>
          <w:bCs w:val="0"/>
          <w:color w:val="auto"/>
          <w:sz w:val="24"/>
          <w:szCs w:val="24"/>
          <w:u w:val="none" w:color="auto"/>
        </w:rPr>
        <w:t>X=</w:t>
      </w:r>
      <w:r>
        <w:rPr>
          <w:rFonts w:hint="eastAsia" w:ascii="Times New Roman"/>
          <w:b w:val="0"/>
          <w:bCs w:val="0"/>
          <w:color w:val="auto"/>
          <w:sz w:val="24"/>
          <w:szCs w:val="24"/>
          <w:u w:val="none" w:color="auto"/>
          <w:lang w:val="en-US" w:eastAsia="zh-CN"/>
        </w:rPr>
        <w:t>4</w:t>
      </w:r>
      <w:r>
        <w:rPr>
          <w:rFonts w:hint="eastAsia" w:ascii="Times New Roman"/>
          <w:b w:val="0"/>
          <w:bCs w:val="0"/>
          <w:color w:val="auto"/>
          <w:sz w:val="24"/>
          <w:szCs w:val="24"/>
          <w:u w:val="none" w:color="auto"/>
        </w:rPr>
        <w:t>00</w:t>
      </w:r>
      <w:r>
        <w:rPr>
          <w:rFonts w:ascii="Times New Roman"/>
          <w:b w:val="0"/>
          <w:bCs w:val="0"/>
          <w:color w:val="auto"/>
          <w:sz w:val="24"/>
          <w:szCs w:val="24"/>
          <w:u w:val="none" w:color="auto"/>
        </w:rPr>
        <w:t>m处</w:t>
      </w:r>
      <w:r>
        <w:rPr>
          <w:rFonts w:hint="eastAsia" w:ascii="Times New Roman"/>
          <w:b w:val="0"/>
          <w:bCs w:val="0"/>
          <w:color w:val="auto"/>
          <w:sz w:val="24"/>
          <w:szCs w:val="24"/>
          <w:u w:val="none" w:color="auto"/>
          <w:lang w:val="en-US" w:eastAsia="zh-CN"/>
        </w:rPr>
        <w:t>海洋</w:t>
      </w:r>
      <w:r>
        <w:rPr>
          <w:rFonts w:ascii="Times New Roman"/>
          <w:b w:val="0"/>
          <w:bCs w:val="0"/>
          <w:color w:val="auto"/>
          <w:sz w:val="24"/>
          <w:szCs w:val="24"/>
          <w:u w:val="none" w:color="auto"/>
        </w:rPr>
        <w:t>甲苯</w:t>
      </w:r>
      <w:r>
        <w:rPr>
          <w:rFonts w:hint="eastAsia" w:ascii="Times New Roman"/>
          <w:b w:val="0"/>
          <w:bCs w:val="0"/>
          <w:color w:val="auto"/>
          <w:sz w:val="24"/>
          <w:szCs w:val="24"/>
          <w:u w:val="none" w:color="auto"/>
        </w:rPr>
        <w:t>泄漏</w:t>
      </w:r>
      <w:r>
        <w:rPr>
          <w:rFonts w:ascii="Times New Roman"/>
          <w:b w:val="0"/>
          <w:bCs w:val="0"/>
          <w:color w:val="auto"/>
          <w:sz w:val="24"/>
          <w:szCs w:val="24"/>
          <w:u w:val="none" w:color="auto"/>
        </w:rPr>
        <w:t>浓度值为</w:t>
      </w:r>
      <w:r>
        <w:rPr>
          <w:rFonts w:hint="eastAsia" w:ascii="Times New Roman"/>
          <w:b w:val="0"/>
          <w:bCs w:val="0"/>
          <w:color w:val="auto"/>
          <w:sz w:val="24"/>
          <w:szCs w:val="24"/>
          <w:u w:val="none" w:color="auto"/>
          <w:lang w:val="en-US" w:eastAsia="zh-CN"/>
        </w:rPr>
        <w:t>0</w:t>
      </w:r>
      <w:r>
        <w:rPr>
          <w:rFonts w:ascii="Times New Roman"/>
          <w:b w:val="0"/>
          <w:bCs w:val="0"/>
          <w:color w:val="auto"/>
          <w:sz w:val="24"/>
          <w:szCs w:val="24"/>
          <w:u w:val="none" w:color="auto"/>
        </w:rPr>
        <w:t>mg/L</w:t>
      </w:r>
      <w:r>
        <w:rPr>
          <w:rFonts w:hint="eastAsia" w:ascii="Times New Roman"/>
          <w:b w:val="0"/>
          <w:bCs w:val="0"/>
          <w:color w:val="auto"/>
          <w:sz w:val="24"/>
          <w:szCs w:val="24"/>
          <w:u w:val="none" w:color="auto"/>
          <w:lang w:eastAsia="zh-CN"/>
        </w:rPr>
        <w:t>，</w:t>
      </w:r>
      <w:r>
        <w:rPr>
          <w:rFonts w:ascii="Times New Roman"/>
          <w:b w:val="0"/>
          <w:bCs w:val="0"/>
          <w:color w:val="auto"/>
          <w:sz w:val="24"/>
          <w:szCs w:val="24"/>
          <w:u w:val="none" w:color="auto"/>
        </w:rPr>
        <w:t>甲苯渗漏量较少，</w:t>
      </w:r>
      <w:r>
        <w:rPr>
          <w:rFonts w:hint="eastAsia" w:ascii="Times New Roman"/>
          <w:b w:val="0"/>
          <w:bCs w:val="0"/>
          <w:color w:val="auto"/>
          <w:sz w:val="24"/>
          <w:szCs w:val="24"/>
          <w:u w:val="none" w:color="auto"/>
        </w:rPr>
        <w:t>对海洋环境影响较小；</w:t>
      </w:r>
      <w:r>
        <w:rPr>
          <w:rFonts w:ascii="Times New Roman"/>
          <w:b w:val="0"/>
          <w:bCs w:val="0"/>
          <w:color w:val="auto"/>
          <w:sz w:val="24"/>
          <w:szCs w:val="24"/>
          <w:u w:val="none" w:color="auto"/>
        </w:rPr>
        <w:t>在泄露发生后第</w:t>
      </w:r>
      <w:r>
        <w:rPr>
          <w:rFonts w:hint="eastAsia" w:ascii="Times New Roman"/>
          <w:b w:val="0"/>
          <w:bCs w:val="0"/>
          <w:color w:val="auto"/>
          <w:sz w:val="24"/>
          <w:szCs w:val="24"/>
          <w:u w:val="none" w:color="auto"/>
        </w:rPr>
        <w:t>1000</w:t>
      </w:r>
      <w:r>
        <w:rPr>
          <w:rFonts w:ascii="Times New Roman"/>
          <w:b w:val="0"/>
          <w:bCs w:val="0"/>
          <w:color w:val="auto"/>
          <w:sz w:val="24"/>
          <w:szCs w:val="24"/>
          <w:u w:val="none" w:color="auto"/>
        </w:rPr>
        <w:t>天，在泄漏点地下水流方向下游的甲苯浓度峰值为</w:t>
      </w:r>
      <w:r>
        <w:rPr>
          <w:rFonts w:hint="eastAsia" w:ascii="Times New Roman"/>
          <w:b w:val="0"/>
          <w:bCs w:val="0"/>
          <w:color w:val="auto"/>
          <w:sz w:val="24"/>
          <w:szCs w:val="24"/>
          <w:u w:val="none" w:color="auto"/>
        </w:rPr>
        <w:t>8.890</w:t>
      </w:r>
      <w:r>
        <w:rPr>
          <w:rFonts w:ascii="Times New Roman"/>
          <w:b w:val="0"/>
          <w:bCs w:val="0"/>
          <w:color w:val="auto"/>
          <w:sz w:val="24"/>
          <w:szCs w:val="24"/>
          <w:u w:val="none" w:color="auto"/>
        </w:rPr>
        <w:t>mg/L（峰值点为X=</w:t>
      </w:r>
      <w:r>
        <w:rPr>
          <w:rFonts w:hint="eastAsia" w:ascii="Times New Roman"/>
          <w:b w:val="0"/>
          <w:bCs w:val="0"/>
          <w:color w:val="auto"/>
          <w:sz w:val="24"/>
          <w:szCs w:val="24"/>
          <w:u w:val="none" w:color="auto"/>
          <w:lang w:val="en-US" w:eastAsia="zh-CN"/>
        </w:rPr>
        <w:t>30</w:t>
      </w:r>
      <w:r>
        <w:rPr>
          <w:rFonts w:ascii="Times New Roman"/>
          <w:b w:val="0"/>
          <w:bCs w:val="0"/>
          <w:color w:val="auto"/>
          <w:sz w:val="24"/>
          <w:szCs w:val="24"/>
          <w:u w:val="none" w:color="auto"/>
        </w:rPr>
        <w:t>m）</w:t>
      </w:r>
      <w:r>
        <w:rPr>
          <w:rFonts w:hint="eastAsia" w:ascii="Times New Roman"/>
          <w:b w:val="0"/>
          <w:bCs w:val="0"/>
          <w:color w:val="auto"/>
          <w:sz w:val="24"/>
          <w:szCs w:val="24"/>
          <w:u w:val="none" w:color="auto"/>
        </w:rPr>
        <w:t>，不能满足《地下水质量标准》（GB/T 14848-2017）Ⅲ类标准（甲苯≤0.7mg/L）</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最远超标距离</w:t>
      </w:r>
      <w:r>
        <w:rPr>
          <w:rFonts w:hint="eastAsia" w:ascii="Times New Roman"/>
          <w:b w:val="0"/>
          <w:bCs w:val="0"/>
          <w:color w:val="auto"/>
          <w:sz w:val="24"/>
          <w:szCs w:val="24"/>
          <w:u w:val="none" w:color="auto"/>
          <w:lang w:val="en-US" w:eastAsia="zh-CN"/>
        </w:rPr>
        <w:t>163</w:t>
      </w:r>
      <w:r>
        <w:rPr>
          <w:rFonts w:hint="eastAsia" w:ascii="Times New Roman"/>
          <w:b w:val="0"/>
          <w:bCs w:val="0"/>
          <w:color w:val="auto"/>
          <w:sz w:val="24"/>
          <w:szCs w:val="24"/>
          <w:u w:val="none" w:color="auto"/>
        </w:rPr>
        <w:t>m</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至</w:t>
      </w:r>
      <w:r>
        <w:rPr>
          <w:rFonts w:ascii="Times New Roman"/>
          <w:b w:val="0"/>
          <w:bCs w:val="0"/>
          <w:color w:val="auto"/>
          <w:sz w:val="24"/>
          <w:szCs w:val="24"/>
          <w:u w:val="none" w:color="auto"/>
        </w:rPr>
        <w:t>X=</w:t>
      </w:r>
      <w:r>
        <w:rPr>
          <w:rFonts w:hint="eastAsia" w:ascii="Times New Roman"/>
          <w:b w:val="0"/>
          <w:bCs w:val="0"/>
          <w:color w:val="auto"/>
          <w:sz w:val="24"/>
          <w:szCs w:val="24"/>
          <w:u w:val="none" w:color="auto"/>
          <w:lang w:val="en-US" w:eastAsia="zh-CN"/>
        </w:rPr>
        <w:t>4</w:t>
      </w:r>
      <w:r>
        <w:rPr>
          <w:rFonts w:hint="eastAsia" w:ascii="Times New Roman"/>
          <w:b w:val="0"/>
          <w:bCs w:val="0"/>
          <w:color w:val="auto"/>
          <w:sz w:val="24"/>
          <w:szCs w:val="24"/>
          <w:u w:val="none" w:color="auto"/>
        </w:rPr>
        <w:t>00</w:t>
      </w:r>
      <w:r>
        <w:rPr>
          <w:rFonts w:ascii="Times New Roman"/>
          <w:b w:val="0"/>
          <w:bCs w:val="0"/>
          <w:color w:val="auto"/>
          <w:sz w:val="24"/>
          <w:szCs w:val="24"/>
          <w:u w:val="none" w:color="auto"/>
        </w:rPr>
        <w:t>m处</w:t>
      </w:r>
      <w:r>
        <w:rPr>
          <w:rFonts w:hint="eastAsia" w:ascii="Times New Roman"/>
          <w:b w:val="0"/>
          <w:bCs w:val="0"/>
          <w:color w:val="auto"/>
          <w:sz w:val="24"/>
          <w:szCs w:val="24"/>
          <w:u w:val="none" w:color="auto"/>
          <w:lang w:val="en-US" w:eastAsia="zh-CN"/>
        </w:rPr>
        <w:t>海洋</w:t>
      </w:r>
      <w:r>
        <w:rPr>
          <w:rFonts w:ascii="Times New Roman"/>
          <w:b w:val="0"/>
          <w:bCs w:val="0"/>
          <w:color w:val="auto"/>
          <w:sz w:val="24"/>
          <w:szCs w:val="24"/>
          <w:u w:val="none" w:color="auto"/>
        </w:rPr>
        <w:t>甲苯</w:t>
      </w:r>
      <w:r>
        <w:rPr>
          <w:rFonts w:hint="eastAsia" w:ascii="Times New Roman"/>
          <w:b w:val="0"/>
          <w:bCs w:val="0"/>
          <w:color w:val="auto"/>
          <w:sz w:val="24"/>
          <w:szCs w:val="24"/>
          <w:u w:val="none" w:color="auto"/>
        </w:rPr>
        <w:t>泄漏</w:t>
      </w:r>
      <w:r>
        <w:rPr>
          <w:rFonts w:ascii="Times New Roman"/>
          <w:b w:val="0"/>
          <w:bCs w:val="0"/>
          <w:color w:val="auto"/>
          <w:sz w:val="24"/>
          <w:szCs w:val="24"/>
          <w:u w:val="none" w:color="auto"/>
        </w:rPr>
        <w:t>浓度值为</w:t>
      </w:r>
      <w:r>
        <w:rPr>
          <w:rFonts w:hint="eastAsia" w:ascii="Times New Roman"/>
          <w:b w:val="0"/>
          <w:bCs w:val="0"/>
          <w:color w:val="auto"/>
          <w:sz w:val="24"/>
          <w:szCs w:val="24"/>
          <w:u w:val="none" w:color="auto"/>
          <w:lang w:val="en-US" w:eastAsia="zh-CN"/>
        </w:rPr>
        <w:t>0</w:t>
      </w:r>
      <w:r>
        <w:rPr>
          <w:rFonts w:ascii="Times New Roman"/>
          <w:b w:val="0"/>
          <w:bCs w:val="0"/>
          <w:color w:val="auto"/>
          <w:sz w:val="24"/>
          <w:szCs w:val="24"/>
          <w:u w:val="none" w:color="auto"/>
        </w:rPr>
        <w:t>mg/L</w:t>
      </w:r>
      <w:r>
        <w:rPr>
          <w:rFonts w:hint="eastAsia" w:ascii="Times New Roman"/>
          <w:b w:val="0"/>
          <w:bCs w:val="0"/>
          <w:color w:val="auto"/>
          <w:sz w:val="24"/>
          <w:szCs w:val="24"/>
          <w:u w:val="none" w:color="auto"/>
        </w:rPr>
        <w:t>，</w:t>
      </w:r>
      <w:r>
        <w:rPr>
          <w:rFonts w:ascii="Times New Roman"/>
          <w:b w:val="0"/>
          <w:bCs w:val="0"/>
          <w:color w:val="auto"/>
          <w:sz w:val="24"/>
          <w:szCs w:val="24"/>
          <w:u w:val="none" w:color="auto"/>
        </w:rPr>
        <w:t>甲苯渗漏量较少，</w:t>
      </w:r>
      <w:r>
        <w:rPr>
          <w:rFonts w:hint="eastAsia" w:ascii="Times New Roman"/>
          <w:b w:val="0"/>
          <w:bCs w:val="0"/>
          <w:color w:val="auto"/>
          <w:sz w:val="24"/>
          <w:szCs w:val="24"/>
          <w:u w:val="none" w:color="auto"/>
        </w:rPr>
        <w:t>对海洋环境影响较小</w:t>
      </w:r>
      <w:r>
        <w:rPr>
          <w:rFonts w:ascii="Times New Roman"/>
          <w:b w:val="0"/>
          <w:bCs w:val="0"/>
          <w:color w:val="auto"/>
          <w:sz w:val="24"/>
          <w:szCs w:val="24"/>
          <w:u w:val="none" w:color="auto"/>
        </w:rPr>
        <w:t>。</w:t>
      </w:r>
    </w:p>
    <w:p w14:paraId="1E15B664">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根据表 4.</w:t>
      </w:r>
      <w:r>
        <w:rPr>
          <w:rFonts w:hint="eastAsia" w:ascii="Times New Roman"/>
          <w:b w:val="0"/>
          <w:bCs w:val="0"/>
          <w:color w:val="auto"/>
          <w:sz w:val="24"/>
          <w:szCs w:val="24"/>
          <w:u w:val="none" w:color="auto"/>
        </w:rPr>
        <w:t>6-3</w:t>
      </w:r>
      <w:r>
        <w:rPr>
          <w:rFonts w:ascii="Times New Roman"/>
          <w:b w:val="0"/>
          <w:bCs w:val="0"/>
          <w:color w:val="auto"/>
          <w:sz w:val="24"/>
          <w:szCs w:val="24"/>
          <w:u w:val="none" w:color="auto"/>
        </w:rPr>
        <w:t>可知，</w:t>
      </w:r>
      <w:r>
        <w:rPr>
          <w:rFonts w:hint="eastAsia" w:ascii="Times New Roman"/>
          <w:b w:val="0"/>
          <w:bCs w:val="0"/>
          <w:color w:val="auto"/>
          <w:sz w:val="24"/>
          <w:szCs w:val="24"/>
          <w:u w:val="none" w:color="auto"/>
        </w:rPr>
        <w:t>二甲苯</w:t>
      </w:r>
      <w:r>
        <w:rPr>
          <w:rFonts w:ascii="Times New Roman"/>
          <w:b w:val="0"/>
          <w:bCs w:val="0"/>
          <w:color w:val="auto"/>
          <w:sz w:val="24"/>
          <w:szCs w:val="24"/>
          <w:u w:val="none" w:color="auto"/>
        </w:rPr>
        <w:t>污染物瞬时泄漏，在泄露发生后第100天，在泄漏点地下水流方向下游的</w:t>
      </w:r>
      <w:r>
        <w:rPr>
          <w:rFonts w:hint="eastAsia" w:ascii="Times New Roman"/>
          <w:b w:val="0"/>
          <w:bCs w:val="0"/>
          <w:color w:val="auto"/>
          <w:sz w:val="24"/>
          <w:szCs w:val="24"/>
          <w:u w:val="none" w:color="auto"/>
        </w:rPr>
        <w:t>二甲苯</w:t>
      </w:r>
      <w:r>
        <w:rPr>
          <w:rFonts w:ascii="Times New Roman"/>
          <w:b w:val="0"/>
          <w:bCs w:val="0"/>
          <w:color w:val="auto"/>
          <w:sz w:val="24"/>
          <w:szCs w:val="24"/>
          <w:u w:val="none" w:color="auto"/>
        </w:rPr>
        <w:t>浓度峰值为</w:t>
      </w:r>
      <w:r>
        <w:rPr>
          <w:rFonts w:hint="eastAsia" w:ascii="Times New Roman"/>
          <w:b w:val="0"/>
          <w:bCs w:val="0"/>
          <w:color w:val="auto"/>
          <w:sz w:val="24"/>
          <w:szCs w:val="24"/>
          <w:u w:val="none" w:color="auto"/>
        </w:rPr>
        <w:t>773.1077</w:t>
      </w:r>
      <w:r>
        <w:rPr>
          <w:rFonts w:ascii="Times New Roman"/>
          <w:b w:val="0"/>
          <w:bCs w:val="0"/>
          <w:color w:val="auto"/>
          <w:sz w:val="24"/>
          <w:szCs w:val="24"/>
          <w:u w:val="none" w:color="auto"/>
        </w:rPr>
        <w:t>mg/L（峰值点为</w:t>
      </w:r>
      <w:r>
        <w:rPr>
          <w:rFonts w:hint="eastAsia" w:ascii="Times New Roman"/>
          <w:b w:val="0"/>
          <w:bCs w:val="0"/>
          <w:color w:val="auto"/>
          <w:sz w:val="24"/>
          <w:szCs w:val="24"/>
          <w:u w:val="none" w:color="auto"/>
          <w:lang w:val="en-US" w:eastAsia="zh-CN"/>
        </w:rPr>
        <w:t>,</w:t>
      </w:r>
      <w:r>
        <w:rPr>
          <w:rFonts w:ascii="Times New Roman"/>
          <w:b w:val="0"/>
          <w:bCs w:val="0"/>
          <w:color w:val="auto"/>
          <w:sz w:val="24"/>
          <w:szCs w:val="24"/>
          <w:u w:val="none" w:color="auto"/>
        </w:rPr>
        <w:t>X=</w:t>
      </w:r>
      <w:r>
        <w:rPr>
          <w:rFonts w:hint="eastAsia" w:ascii="Times New Roman"/>
          <w:b w:val="0"/>
          <w:bCs w:val="0"/>
          <w:color w:val="auto"/>
          <w:sz w:val="24"/>
          <w:szCs w:val="24"/>
          <w:u w:val="none" w:color="auto"/>
          <w:lang w:val="en-US" w:eastAsia="zh-CN"/>
        </w:rPr>
        <w:t>5</w:t>
      </w:r>
      <w:r>
        <w:rPr>
          <w:rFonts w:ascii="Times New Roman"/>
          <w:b w:val="0"/>
          <w:bCs w:val="0"/>
          <w:color w:val="auto"/>
          <w:sz w:val="24"/>
          <w:szCs w:val="24"/>
          <w:u w:val="none" w:color="auto"/>
        </w:rPr>
        <w:t>m）</w:t>
      </w:r>
      <w:r>
        <w:rPr>
          <w:rFonts w:hint="eastAsia" w:ascii="Times New Roman"/>
          <w:b w:val="0"/>
          <w:bCs w:val="0"/>
          <w:color w:val="auto"/>
          <w:sz w:val="24"/>
          <w:szCs w:val="24"/>
          <w:u w:val="none" w:color="auto"/>
        </w:rPr>
        <w:t>，不能满足《地下水质量标准》（GB/T 14848-2017）Ⅲ类标准（二甲苯≤0.5mg/L）</w:t>
      </w:r>
      <w:r>
        <w:rPr>
          <w:rFonts w:ascii="Times New Roman"/>
          <w:b w:val="0"/>
          <w:bCs w:val="0"/>
          <w:color w:val="auto"/>
          <w:sz w:val="24"/>
          <w:szCs w:val="24"/>
          <w:u w:val="none" w:color="auto"/>
        </w:rPr>
        <w:t>，</w:t>
      </w:r>
      <w:r>
        <w:rPr>
          <w:rFonts w:hint="eastAsia" w:ascii="Times New Roman"/>
          <w:b w:val="0"/>
          <w:bCs w:val="0"/>
          <w:color w:val="auto"/>
          <w:sz w:val="24"/>
          <w:szCs w:val="24"/>
          <w:u w:val="none" w:color="auto"/>
        </w:rPr>
        <w:t>最远超标距离</w:t>
      </w:r>
      <w:r>
        <w:rPr>
          <w:rFonts w:hint="eastAsia" w:ascii="Times New Roman"/>
          <w:b w:val="0"/>
          <w:bCs w:val="0"/>
          <w:color w:val="auto"/>
          <w:sz w:val="24"/>
          <w:szCs w:val="24"/>
          <w:u w:val="none" w:color="auto"/>
          <w:lang w:val="en-US" w:eastAsia="zh-CN"/>
        </w:rPr>
        <w:t>75</w:t>
      </w:r>
      <w:r>
        <w:rPr>
          <w:rFonts w:hint="eastAsia" w:ascii="Times New Roman"/>
          <w:b w:val="0"/>
          <w:bCs w:val="0"/>
          <w:color w:val="auto"/>
          <w:sz w:val="24"/>
          <w:szCs w:val="24"/>
          <w:u w:val="none" w:color="auto"/>
        </w:rPr>
        <w:t>m</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至</w:t>
      </w:r>
      <w:r>
        <w:rPr>
          <w:rFonts w:ascii="Times New Roman"/>
          <w:b w:val="0"/>
          <w:bCs w:val="0"/>
          <w:color w:val="auto"/>
          <w:sz w:val="24"/>
          <w:szCs w:val="24"/>
          <w:u w:val="none" w:color="auto"/>
        </w:rPr>
        <w:t>X=</w:t>
      </w:r>
      <w:r>
        <w:rPr>
          <w:rFonts w:hint="eastAsia" w:ascii="Times New Roman"/>
          <w:b w:val="0"/>
          <w:bCs w:val="0"/>
          <w:color w:val="auto"/>
          <w:sz w:val="24"/>
          <w:szCs w:val="24"/>
          <w:u w:val="none" w:color="auto"/>
          <w:lang w:val="en-US" w:eastAsia="zh-CN"/>
        </w:rPr>
        <w:t>4</w:t>
      </w:r>
      <w:r>
        <w:rPr>
          <w:rFonts w:hint="eastAsia" w:ascii="Times New Roman"/>
          <w:b w:val="0"/>
          <w:bCs w:val="0"/>
          <w:color w:val="auto"/>
          <w:sz w:val="24"/>
          <w:szCs w:val="24"/>
          <w:u w:val="none" w:color="auto"/>
        </w:rPr>
        <w:t>00</w:t>
      </w:r>
      <w:r>
        <w:rPr>
          <w:rFonts w:ascii="Times New Roman"/>
          <w:b w:val="0"/>
          <w:bCs w:val="0"/>
          <w:color w:val="auto"/>
          <w:sz w:val="24"/>
          <w:szCs w:val="24"/>
          <w:u w:val="none" w:color="auto"/>
        </w:rPr>
        <w:t>m处</w:t>
      </w:r>
      <w:r>
        <w:rPr>
          <w:rFonts w:hint="eastAsia" w:ascii="Times New Roman"/>
          <w:b w:val="0"/>
          <w:bCs w:val="0"/>
          <w:color w:val="auto"/>
          <w:sz w:val="24"/>
          <w:szCs w:val="24"/>
          <w:u w:val="none" w:color="auto"/>
          <w:lang w:val="en-US" w:eastAsia="zh-CN"/>
        </w:rPr>
        <w:t>海洋</w:t>
      </w:r>
      <w:r>
        <w:rPr>
          <w:rFonts w:hint="eastAsia" w:ascii="Times New Roman"/>
          <w:b w:val="0"/>
          <w:bCs w:val="0"/>
          <w:color w:val="auto"/>
          <w:sz w:val="24"/>
          <w:szCs w:val="24"/>
          <w:u w:val="none" w:color="auto"/>
        </w:rPr>
        <w:t>二</w:t>
      </w:r>
      <w:r>
        <w:rPr>
          <w:rFonts w:ascii="Times New Roman"/>
          <w:b w:val="0"/>
          <w:bCs w:val="0"/>
          <w:color w:val="auto"/>
          <w:sz w:val="24"/>
          <w:szCs w:val="24"/>
          <w:u w:val="none" w:color="auto"/>
        </w:rPr>
        <w:t>甲苯浓度值为</w:t>
      </w:r>
      <w:r>
        <w:rPr>
          <w:rFonts w:hint="eastAsia" w:ascii="Times New Roman"/>
          <w:b w:val="0"/>
          <w:bCs w:val="0"/>
          <w:color w:val="auto"/>
          <w:sz w:val="24"/>
          <w:szCs w:val="24"/>
          <w:u w:val="none" w:color="auto"/>
          <w:lang w:val="en-US" w:eastAsia="zh-CN"/>
        </w:rPr>
        <w:t>0</w:t>
      </w:r>
      <w:r>
        <w:rPr>
          <w:rFonts w:ascii="Times New Roman"/>
          <w:b w:val="0"/>
          <w:bCs w:val="0"/>
          <w:color w:val="auto"/>
          <w:sz w:val="24"/>
          <w:szCs w:val="24"/>
          <w:u w:val="none" w:color="auto"/>
        </w:rPr>
        <w:t>mg/L</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二甲苯</w:t>
      </w:r>
      <w:r>
        <w:rPr>
          <w:rFonts w:ascii="Times New Roman"/>
          <w:b w:val="0"/>
          <w:bCs w:val="0"/>
          <w:color w:val="auto"/>
          <w:sz w:val="24"/>
          <w:szCs w:val="24"/>
          <w:u w:val="none" w:color="auto"/>
        </w:rPr>
        <w:t>渗漏量较少，</w:t>
      </w:r>
      <w:r>
        <w:rPr>
          <w:rFonts w:hint="eastAsia" w:ascii="Times New Roman"/>
          <w:b w:val="0"/>
          <w:bCs w:val="0"/>
          <w:color w:val="auto"/>
          <w:sz w:val="24"/>
          <w:szCs w:val="24"/>
          <w:u w:val="none" w:color="auto"/>
        </w:rPr>
        <w:t>对海洋环境影响较小；</w:t>
      </w:r>
      <w:r>
        <w:rPr>
          <w:rFonts w:ascii="Times New Roman"/>
          <w:b w:val="0"/>
          <w:bCs w:val="0"/>
          <w:color w:val="auto"/>
          <w:sz w:val="24"/>
          <w:szCs w:val="24"/>
          <w:u w:val="none" w:color="auto"/>
        </w:rPr>
        <w:t>在泄露发生后第</w:t>
      </w:r>
      <w:r>
        <w:rPr>
          <w:rFonts w:hint="eastAsia" w:ascii="Times New Roman"/>
          <w:b w:val="0"/>
          <w:bCs w:val="0"/>
          <w:color w:val="auto"/>
          <w:sz w:val="24"/>
          <w:szCs w:val="24"/>
          <w:u w:val="none" w:color="auto"/>
        </w:rPr>
        <w:t>1000</w:t>
      </w:r>
      <w:r>
        <w:rPr>
          <w:rFonts w:ascii="Times New Roman"/>
          <w:b w:val="0"/>
          <w:bCs w:val="0"/>
          <w:color w:val="auto"/>
          <w:sz w:val="24"/>
          <w:szCs w:val="24"/>
          <w:u w:val="none" w:color="auto"/>
        </w:rPr>
        <w:t>天，在泄漏点地下水流方向下游的</w:t>
      </w:r>
      <w:r>
        <w:rPr>
          <w:rFonts w:hint="eastAsia" w:ascii="Times New Roman"/>
          <w:b w:val="0"/>
          <w:bCs w:val="0"/>
          <w:color w:val="auto"/>
          <w:sz w:val="24"/>
          <w:szCs w:val="24"/>
          <w:u w:val="none" w:color="auto"/>
        </w:rPr>
        <w:t>二甲苯</w:t>
      </w:r>
      <w:r>
        <w:rPr>
          <w:rFonts w:ascii="Times New Roman"/>
          <w:b w:val="0"/>
          <w:bCs w:val="0"/>
          <w:color w:val="auto"/>
          <w:sz w:val="24"/>
          <w:szCs w:val="24"/>
          <w:u w:val="none" w:color="auto"/>
        </w:rPr>
        <w:t>浓度峰值为</w:t>
      </w:r>
      <w:r>
        <w:rPr>
          <w:rFonts w:hint="eastAsia" w:ascii="Times New Roman"/>
          <w:b w:val="0"/>
          <w:bCs w:val="0"/>
          <w:color w:val="auto"/>
          <w:sz w:val="24"/>
          <w:szCs w:val="24"/>
          <w:u w:val="none" w:color="auto"/>
        </w:rPr>
        <w:t>244.4781</w:t>
      </w:r>
      <w:r>
        <w:rPr>
          <w:rFonts w:ascii="Times New Roman"/>
          <w:b w:val="0"/>
          <w:bCs w:val="0"/>
          <w:color w:val="auto"/>
          <w:sz w:val="24"/>
          <w:szCs w:val="24"/>
          <w:u w:val="none" w:color="auto"/>
        </w:rPr>
        <w:t>mg/L（峰值点为X=</w:t>
      </w:r>
      <w:r>
        <w:rPr>
          <w:rFonts w:hint="eastAsia" w:ascii="Times New Roman"/>
          <w:b w:val="0"/>
          <w:bCs w:val="0"/>
          <w:color w:val="auto"/>
          <w:sz w:val="24"/>
          <w:szCs w:val="24"/>
          <w:u w:val="none" w:color="auto"/>
          <w:lang w:val="en-US" w:eastAsia="zh-CN"/>
        </w:rPr>
        <w:t>34</w:t>
      </w:r>
      <w:r>
        <w:rPr>
          <w:rFonts w:ascii="Times New Roman"/>
          <w:b w:val="0"/>
          <w:bCs w:val="0"/>
          <w:color w:val="auto"/>
          <w:sz w:val="24"/>
          <w:szCs w:val="24"/>
          <w:u w:val="none" w:color="auto"/>
        </w:rPr>
        <w:t>m）</w:t>
      </w:r>
      <w:r>
        <w:rPr>
          <w:rFonts w:hint="eastAsia" w:ascii="Times New Roman"/>
          <w:b w:val="0"/>
          <w:bCs w:val="0"/>
          <w:color w:val="auto"/>
          <w:sz w:val="24"/>
          <w:szCs w:val="24"/>
          <w:u w:val="none" w:color="auto"/>
        </w:rPr>
        <w:t>，</w:t>
      </w:r>
      <w:r>
        <w:rPr>
          <w:rFonts w:hint="eastAsia" w:ascii="Times New Roman"/>
          <w:b w:val="0"/>
          <w:bCs w:val="0"/>
          <w:color w:val="auto"/>
          <w:sz w:val="24"/>
          <w:szCs w:val="24"/>
          <w:u w:val="none" w:color="auto"/>
          <w:lang w:val="en-US" w:eastAsia="zh-CN"/>
        </w:rPr>
        <w:t>不能</w:t>
      </w:r>
      <w:r>
        <w:rPr>
          <w:rFonts w:hint="eastAsia" w:ascii="Times New Roman"/>
          <w:b w:val="0"/>
          <w:bCs w:val="0"/>
          <w:color w:val="auto"/>
          <w:sz w:val="24"/>
          <w:szCs w:val="24"/>
          <w:u w:val="none" w:color="auto"/>
        </w:rPr>
        <w:t>满足《地下水质量标准》（GB/T 14848-2017）Ⅲ类标准（二甲苯≤0.5mg/L）</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最远超标距离</w:t>
      </w:r>
      <w:r>
        <w:rPr>
          <w:rFonts w:hint="eastAsia" w:ascii="Times New Roman"/>
          <w:b w:val="0"/>
          <w:bCs w:val="0"/>
          <w:color w:val="auto"/>
          <w:sz w:val="24"/>
          <w:szCs w:val="24"/>
          <w:u w:val="none" w:color="auto"/>
          <w:lang w:val="en-US" w:eastAsia="zh-CN"/>
        </w:rPr>
        <w:t>239</w:t>
      </w:r>
      <w:r>
        <w:rPr>
          <w:rFonts w:hint="eastAsia" w:ascii="Times New Roman"/>
          <w:b w:val="0"/>
          <w:bCs w:val="0"/>
          <w:color w:val="auto"/>
          <w:sz w:val="24"/>
          <w:szCs w:val="24"/>
          <w:u w:val="none" w:color="auto"/>
        </w:rPr>
        <w:t>m</w:t>
      </w:r>
      <w:r>
        <w:rPr>
          <w:rFonts w:hint="eastAsia" w:ascii="Times New Roman"/>
          <w:b w:val="0"/>
          <w:bCs w:val="0"/>
          <w:color w:val="auto"/>
          <w:sz w:val="24"/>
          <w:szCs w:val="24"/>
          <w:u w:val="none" w:color="auto"/>
          <w:lang w:eastAsia="zh-CN"/>
        </w:rPr>
        <w:t>；</w:t>
      </w:r>
      <w:r>
        <w:rPr>
          <w:rFonts w:hint="eastAsia" w:ascii="Times New Roman"/>
          <w:b w:val="0"/>
          <w:bCs w:val="0"/>
          <w:color w:val="auto"/>
          <w:sz w:val="24"/>
          <w:szCs w:val="24"/>
          <w:u w:val="none" w:color="auto"/>
        </w:rPr>
        <w:t>至</w:t>
      </w:r>
      <w:r>
        <w:rPr>
          <w:rFonts w:ascii="Times New Roman"/>
          <w:b w:val="0"/>
          <w:bCs w:val="0"/>
          <w:color w:val="auto"/>
          <w:sz w:val="24"/>
          <w:szCs w:val="24"/>
          <w:u w:val="none" w:color="auto"/>
        </w:rPr>
        <w:t>X=</w:t>
      </w:r>
      <w:r>
        <w:rPr>
          <w:rFonts w:hint="eastAsia" w:ascii="Times New Roman"/>
          <w:b w:val="0"/>
          <w:bCs w:val="0"/>
          <w:color w:val="auto"/>
          <w:sz w:val="24"/>
          <w:szCs w:val="24"/>
          <w:u w:val="none" w:color="auto"/>
          <w:lang w:val="en-US" w:eastAsia="zh-CN"/>
        </w:rPr>
        <w:t>4</w:t>
      </w:r>
      <w:r>
        <w:rPr>
          <w:rFonts w:hint="eastAsia" w:ascii="Times New Roman"/>
          <w:b w:val="0"/>
          <w:bCs w:val="0"/>
          <w:color w:val="auto"/>
          <w:sz w:val="24"/>
          <w:szCs w:val="24"/>
          <w:u w:val="none" w:color="auto"/>
        </w:rPr>
        <w:t>00</w:t>
      </w:r>
      <w:r>
        <w:rPr>
          <w:rFonts w:ascii="Times New Roman"/>
          <w:b w:val="0"/>
          <w:bCs w:val="0"/>
          <w:color w:val="auto"/>
          <w:sz w:val="24"/>
          <w:szCs w:val="24"/>
          <w:u w:val="none" w:color="auto"/>
        </w:rPr>
        <w:t>m处</w:t>
      </w:r>
      <w:r>
        <w:rPr>
          <w:rFonts w:hint="eastAsia" w:ascii="Times New Roman"/>
          <w:b w:val="0"/>
          <w:bCs w:val="0"/>
          <w:color w:val="auto"/>
          <w:sz w:val="24"/>
          <w:szCs w:val="24"/>
          <w:u w:val="none" w:color="auto"/>
          <w:lang w:val="en-US" w:eastAsia="zh-CN"/>
        </w:rPr>
        <w:t>海洋</w:t>
      </w:r>
      <w:r>
        <w:rPr>
          <w:rFonts w:hint="eastAsia" w:ascii="Times New Roman"/>
          <w:b w:val="0"/>
          <w:bCs w:val="0"/>
          <w:color w:val="auto"/>
          <w:sz w:val="24"/>
          <w:szCs w:val="24"/>
          <w:u w:val="none" w:color="auto"/>
        </w:rPr>
        <w:t>二</w:t>
      </w:r>
      <w:r>
        <w:rPr>
          <w:rFonts w:ascii="Times New Roman"/>
          <w:b w:val="0"/>
          <w:bCs w:val="0"/>
          <w:color w:val="auto"/>
          <w:sz w:val="24"/>
          <w:szCs w:val="24"/>
          <w:u w:val="none" w:color="auto"/>
        </w:rPr>
        <w:t>甲苯浓度值为</w:t>
      </w:r>
      <w:r>
        <w:rPr>
          <w:rFonts w:hint="eastAsia" w:ascii="Times New Roman"/>
          <w:b w:val="0"/>
          <w:bCs w:val="0"/>
          <w:color w:val="auto"/>
          <w:sz w:val="24"/>
          <w:szCs w:val="24"/>
          <w:u w:val="none" w:color="auto"/>
        </w:rPr>
        <w:t>0.0000011</w:t>
      </w:r>
      <w:r>
        <w:rPr>
          <w:rFonts w:ascii="Times New Roman"/>
          <w:b w:val="0"/>
          <w:bCs w:val="0"/>
          <w:color w:val="auto"/>
          <w:sz w:val="24"/>
          <w:szCs w:val="24"/>
          <w:u w:val="none" w:color="auto"/>
        </w:rPr>
        <w:t>mg/L</w:t>
      </w:r>
      <w:r>
        <w:rPr>
          <w:rFonts w:hint="eastAsia" w:ascii="Times New Roman"/>
          <w:b w:val="0"/>
          <w:bCs w:val="0"/>
          <w:color w:val="auto"/>
          <w:sz w:val="24"/>
          <w:szCs w:val="24"/>
          <w:u w:val="none" w:color="auto"/>
        </w:rPr>
        <w:t>，</w:t>
      </w:r>
      <w:r>
        <w:rPr>
          <w:rFonts w:hint="eastAsia" w:ascii="Times New Roman"/>
          <w:b w:val="0"/>
          <w:bCs w:val="0"/>
          <w:color w:val="auto"/>
          <w:sz w:val="24"/>
          <w:szCs w:val="24"/>
          <w:u w:val="none" w:color="auto"/>
          <w:lang w:val="en-US" w:eastAsia="zh-CN"/>
        </w:rPr>
        <w:t>二甲苯</w:t>
      </w:r>
      <w:r>
        <w:rPr>
          <w:rFonts w:ascii="Times New Roman"/>
          <w:b w:val="0"/>
          <w:bCs w:val="0"/>
          <w:color w:val="auto"/>
          <w:sz w:val="24"/>
          <w:szCs w:val="24"/>
          <w:u w:val="none" w:color="auto"/>
        </w:rPr>
        <w:t>渗漏量较少，</w:t>
      </w:r>
      <w:r>
        <w:rPr>
          <w:rFonts w:hint="eastAsia" w:ascii="Times New Roman"/>
          <w:b w:val="0"/>
          <w:bCs w:val="0"/>
          <w:color w:val="auto"/>
          <w:sz w:val="24"/>
          <w:szCs w:val="24"/>
          <w:u w:val="none" w:color="auto"/>
        </w:rPr>
        <w:t>对海洋环境影响较小</w:t>
      </w:r>
      <w:r>
        <w:rPr>
          <w:rFonts w:ascii="Times New Roman"/>
          <w:b w:val="0"/>
          <w:bCs w:val="0"/>
          <w:color w:val="auto"/>
          <w:sz w:val="24"/>
          <w:szCs w:val="24"/>
          <w:u w:val="none" w:color="auto"/>
        </w:rPr>
        <w:t>。</w:t>
      </w:r>
    </w:p>
    <w:p w14:paraId="7F75354D">
      <w:pPr>
        <w:pStyle w:val="59"/>
        <w:spacing w:line="360" w:lineRule="auto"/>
        <w:ind w:left="0" w:firstLine="480" w:firstLineChars="200"/>
        <w:rPr>
          <w:rFonts w:ascii="Times New Roman"/>
          <w:b w:val="0"/>
          <w:bCs w:val="0"/>
          <w:color w:val="auto"/>
          <w:sz w:val="24"/>
          <w:szCs w:val="24"/>
          <w:u w:val="none" w:color="auto"/>
        </w:rPr>
      </w:pPr>
      <w:r>
        <w:rPr>
          <w:rFonts w:ascii="Times New Roman"/>
          <w:b w:val="0"/>
          <w:bCs w:val="0"/>
          <w:color w:val="auto"/>
          <w:sz w:val="24"/>
          <w:szCs w:val="24"/>
          <w:u w:val="none" w:color="auto"/>
        </w:rPr>
        <w:t>区域地下水径流主要方向是从</w:t>
      </w:r>
      <w:r>
        <w:rPr>
          <w:rFonts w:hint="eastAsia" w:ascii="Times New Roman"/>
          <w:b w:val="0"/>
          <w:bCs w:val="0"/>
          <w:color w:val="auto"/>
          <w:sz w:val="24"/>
          <w:szCs w:val="24"/>
          <w:u w:val="none" w:color="auto"/>
        </w:rPr>
        <w:t>东</w:t>
      </w:r>
      <w:r>
        <w:rPr>
          <w:rFonts w:ascii="Times New Roman"/>
          <w:b w:val="0"/>
          <w:bCs w:val="0"/>
          <w:color w:val="auto"/>
          <w:sz w:val="24"/>
          <w:szCs w:val="24"/>
          <w:u w:val="none" w:color="auto"/>
        </w:rPr>
        <w:t>向</w:t>
      </w:r>
      <w:r>
        <w:rPr>
          <w:rFonts w:hint="eastAsia" w:ascii="Times New Roman"/>
          <w:b w:val="0"/>
          <w:bCs w:val="0"/>
          <w:color w:val="auto"/>
          <w:sz w:val="24"/>
          <w:szCs w:val="24"/>
          <w:u w:val="none" w:color="auto"/>
        </w:rPr>
        <w:t>西</w:t>
      </w:r>
      <w:r>
        <w:rPr>
          <w:rFonts w:ascii="Times New Roman"/>
          <w:b w:val="0"/>
          <w:bCs w:val="0"/>
          <w:color w:val="auto"/>
          <w:sz w:val="24"/>
          <w:szCs w:val="24"/>
          <w:u w:val="none" w:color="auto"/>
        </w:rPr>
        <w:t>流动，遇到断层部分地下水沿着断层向</w:t>
      </w:r>
      <w:r>
        <w:rPr>
          <w:rFonts w:hint="eastAsia" w:ascii="Times New Roman"/>
          <w:b w:val="0"/>
          <w:bCs w:val="0"/>
          <w:color w:val="auto"/>
          <w:sz w:val="24"/>
          <w:szCs w:val="24"/>
          <w:u w:val="none" w:color="auto"/>
        </w:rPr>
        <w:t>海洋</w:t>
      </w:r>
      <w:r>
        <w:rPr>
          <w:rFonts w:ascii="Times New Roman"/>
          <w:b w:val="0"/>
          <w:bCs w:val="0"/>
          <w:color w:val="auto"/>
          <w:sz w:val="24"/>
          <w:szCs w:val="24"/>
          <w:u w:val="none" w:color="auto"/>
        </w:rPr>
        <w:t>排泄，项目</w:t>
      </w:r>
      <w:r>
        <w:rPr>
          <w:rFonts w:hint="eastAsia" w:ascii="Times New Roman"/>
          <w:b w:val="0"/>
          <w:bCs w:val="0"/>
          <w:color w:val="auto"/>
          <w:sz w:val="24"/>
          <w:szCs w:val="24"/>
          <w:u w:val="none" w:color="auto"/>
        </w:rPr>
        <w:t>甲苯和</w:t>
      </w:r>
      <w:r>
        <w:rPr>
          <w:rFonts w:ascii="Times New Roman"/>
          <w:b w:val="0"/>
          <w:bCs w:val="0"/>
          <w:color w:val="auto"/>
          <w:sz w:val="24"/>
          <w:szCs w:val="24"/>
          <w:u w:val="none" w:color="auto"/>
        </w:rPr>
        <w:t>二甲苯污染物瞬时泄漏，最终将向</w:t>
      </w:r>
      <w:r>
        <w:rPr>
          <w:rFonts w:hint="eastAsia" w:ascii="Times New Roman"/>
          <w:b w:val="0"/>
          <w:bCs w:val="0"/>
          <w:color w:val="auto"/>
          <w:sz w:val="24"/>
          <w:szCs w:val="24"/>
          <w:u w:val="none" w:color="auto"/>
        </w:rPr>
        <w:t>海洋</w:t>
      </w:r>
      <w:r>
        <w:rPr>
          <w:rFonts w:ascii="Times New Roman"/>
          <w:b w:val="0"/>
          <w:bCs w:val="0"/>
          <w:color w:val="auto"/>
          <w:sz w:val="24"/>
          <w:szCs w:val="24"/>
          <w:u w:val="none" w:color="auto"/>
        </w:rPr>
        <w:t>排泄，渗漏对</w:t>
      </w:r>
      <w:r>
        <w:rPr>
          <w:rFonts w:hint="eastAsia" w:ascii="Times New Roman"/>
          <w:b w:val="0"/>
          <w:bCs w:val="0"/>
          <w:color w:val="auto"/>
          <w:sz w:val="24"/>
          <w:szCs w:val="24"/>
          <w:u w:val="none" w:color="auto"/>
        </w:rPr>
        <w:t>海洋环境有一定影响</w:t>
      </w:r>
      <w:r>
        <w:rPr>
          <w:rFonts w:ascii="Times New Roman"/>
          <w:b w:val="0"/>
          <w:bCs w:val="0"/>
          <w:color w:val="auto"/>
          <w:sz w:val="24"/>
          <w:szCs w:val="24"/>
          <w:u w:val="none" w:color="auto"/>
        </w:rPr>
        <w:t>。</w:t>
      </w:r>
    </w:p>
    <w:p w14:paraId="1699E349">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w:t>
      </w:r>
      <w:r>
        <w:rPr>
          <w:rFonts w:hint="eastAsia" w:ascii="Times New Roman" w:hAnsi="Times New Roman" w:eastAsia="宋体" w:cs="Times New Roman"/>
          <w:b/>
          <w:color w:val="auto"/>
          <w:sz w:val="28"/>
          <w:u w:val="none" w:color="auto"/>
        </w:rPr>
        <w:t>6.5小结</w:t>
      </w:r>
    </w:p>
    <w:p w14:paraId="40ECA20F">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综上所述，项目正常生产运行状态没有地下水型污染物排放，不会对评价区地下水环境造成污染。在事故状态下，污染物通过岩溶裂隙和管道渗流至下游地下水，将造成下游地下水环境受到污染，受到污染的程度与事故泄漏的污染质浓度有直接关系，经预测主要污染源对项目区下游排泄区内地下水水质污染贡献值较小，但仍可能会影响下游排泄区内地下水体的水质。因此项目建设时需要严格采取相关防渗措施（如基础防渗、地面防渗等），防止下游地下水体遭受水质污染，保证下游地下水体的水质安全。</w:t>
      </w:r>
    </w:p>
    <w:p w14:paraId="3AB38BFB">
      <w:pPr>
        <w:pStyle w:val="3"/>
        <w:bidi w:val="0"/>
        <w:rPr>
          <w:color w:val="auto"/>
          <w:u w:val="none" w:color="auto"/>
        </w:rPr>
      </w:pPr>
      <w:bookmarkStart w:id="243" w:name="_Toc22390"/>
      <w:bookmarkStart w:id="244" w:name="_Toc4572"/>
      <w:r>
        <w:rPr>
          <w:color w:val="auto"/>
          <w:u w:val="none" w:color="auto"/>
        </w:rPr>
        <w:t>土壤环境影响分析</w:t>
      </w:r>
      <w:bookmarkEnd w:id="243"/>
      <w:bookmarkEnd w:id="244"/>
    </w:p>
    <w:p w14:paraId="3BFAEF31">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.7.1土壤环境影响类型及途径识别</w:t>
      </w:r>
    </w:p>
    <w:p w14:paraId="715A8909">
      <w:pPr>
        <w:pStyle w:val="16"/>
        <w:spacing w:line="360" w:lineRule="auto"/>
        <w:ind w:firstLine="480" w:firstLineChars="200"/>
        <w:rPr>
          <w:color w:val="auto"/>
          <w:sz w:val="24"/>
          <w:szCs w:val="24"/>
          <w:u w:val="none" w:color="auto"/>
        </w:rPr>
      </w:pPr>
      <w:r>
        <w:rPr>
          <w:color w:val="auto"/>
          <w:sz w:val="24"/>
          <w:szCs w:val="24"/>
          <w:u w:val="none" w:color="auto"/>
        </w:rPr>
        <w:t>项目对土壤环境的影响因素主要是风险事故下</w:t>
      </w:r>
      <w:r>
        <w:rPr>
          <w:rFonts w:hint="eastAsia"/>
          <w:color w:val="auto"/>
          <w:sz w:val="24"/>
          <w:szCs w:val="24"/>
          <w:u w:val="none" w:color="auto"/>
        </w:rPr>
        <w:t>油漆、稀释剂、固化剂</w:t>
      </w:r>
      <w:r>
        <w:rPr>
          <w:color w:val="auto"/>
          <w:sz w:val="24"/>
          <w:szCs w:val="24"/>
          <w:u w:val="none" w:color="auto"/>
        </w:rPr>
        <w:t>等发生泄漏时，污染物的垂直渗入对土壤环境的污染影响；以及</w:t>
      </w:r>
      <w:r>
        <w:rPr>
          <w:rFonts w:hint="eastAsia"/>
          <w:color w:val="auto"/>
          <w:sz w:val="24"/>
          <w:szCs w:val="24"/>
          <w:u w:val="none" w:color="auto"/>
          <w:lang w:eastAsia="zh-CN"/>
        </w:rPr>
        <w:t>涂装车间</w:t>
      </w:r>
      <w:r>
        <w:rPr>
          <w:color w:val="auto"/>
          <w:sz w:val="24"/>
          <w:szCs w:val="24"/>
          <w:u w:val="none" w:color="auto"/>
        </w:rPr>
        <w:t>废气污染物大气沉降对土壤环境的污染影响，如表</w:t>
      </w:r>
      <w:r>
        <w:rPr>
          <w:rFonts w:hint="eastAsia"/>
          <w:color w:val="auto"/>
          <w:sz w:val="24"/>
          <w:szCs w:val="24"/>
          <w:u w:val="none" w:color="auto"/>
        </w:rPr>
        <w:t>4</w:t>
      </w:r>
      <w:r>
        <w:rPr>
          <w:color w:val="auto"/>
          <w:sz w:val="24"/>
          <w:szCs w:val="24"/>
          <w:u w:val="none" w:color="auto"/>
        </w:rPr>
        <w:t>.7-1所示。</w:t>
      </w:r>
    </w:p>
    <w:p w14:paraId="0DB1DA7F">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表</w:t>
      </w:r>
      <w:r>
        <w:rPr>
          <w:rFonts w:hint="eastAsia" w:ascii="Times New Roman" w:hAnsi="Times New Roman" w:eastAsia="宋体" w:cs="Times New Roman"/>
          <w:b/>
          <w:color w:val="auto"/>
          <w:szCs w:val="21"/>
          <w:u w:val="none" w:color="auto"/>
        </w:rPr>
        <w:t>4</w:t>
      </w:r>
      <w:r>
        <w:rPr>
          <w:rFonts w:ascii="Times New Roman" w:hAnsi="Times New Roman" w:eastAsia="宋体" w:cs="Times New Roman"/>
          <w:b/>
          <w:color w:val="auto"/>
          <w:szCs w:val="21"/>
          <w:u w:val="none" w:color="auto"/>
        </w:rPr>
        <w:t>.7-1 项目土壤环境影响类型与影响途径见表</w:t>
      </w:r>
    </w:p>
    <w:tbl>
      <w:tblPr>
        <w:tblStyle w:val="3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4"/>
        <w:gridCol w:w="1706"/>
      </w:tblGrid>
      <w:tr w14:paraId="3D3DB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restart"/>
            <w:vAlign w:val="center"/>
          </w:tcPr>
          <w:p w14:paraId="44AE6215">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不同时段</w:t>
            </w:r>
          </w:p>
        </w:tc>
        <w:tc>
          <w:tcPr>
            <w:tcW w:w="6818" w:type="dxa"/>
            <w:gridSpan w:val="4"/>
            <w:vAlign w:val="center"/>
          </w:tcPr>
          <w:p w14:paraId="2F7FA91C">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污染影响型</w:t>
            </w:r>
          </w:p>
        </w:tc>
      </w:tr>
      <w:tr w14:paraId="152E4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0F3BF8F">
            <w:pPr>
              <w:pStyle w:val="35"/>
              <w:spacing w:after="0"/>
              <w:ind w:firstLine="0" w:firstLineChars="0"/>
              <w:jc w:val="center"/>
              <w:rPr>
                <w:rFonts w:ascii="Times New Roman" w:hAnsi="Times New Roman" w:eastAsia="宋体" w:cs="Times New Roman"/>
                <w:b/>
                <w:color w:val="auto"/>
                <w:szCs w:val="21"/>
                <w:u w:val="none" w:color="auto"/>
              </w:rPr>
            </w:pPr>
          </w:p>
        </w:tc>
        <w:tc>
          <w:tcPr>
            <w:tcW w:w="1704" w:type="dxa"/>
            <w:vAlign w:val="center"/>
          </w:tcPr>
          <w:p w14:paraId="77ECB2F2">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大气沉降</w:t>
            </w:r>
          </w:p>
        </w:tc>
        <w:tc>
          <w:tcPr>
            <w:tcW w:w="1704" w:type="dxa"/>
            <w:vAlign w:val="center"/>
          </w:tcPr>
          <w:p w14:paraId="292140B5">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地面漫流</w:t>
            </w:r>
          </w:p>
        </w:tc>
        <w:tc>
          <w:tcPr>
            <w:tcW w:w="1704" w:type="dxa"/>
            <w:vAlign w:val="center"/>
          </w:tcPr>
          <w:p w14:paraId="5B0AF9B2">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垂直入渗</w:t>
            </w:r>
          </w:p>
        </w:tc>
        <w:tc>
          <w:tcPr>
            <w:tcW w:w="1706" w:type="dxa"/>
            <w:vAlign w:val="center"/>
          </w:tcPr>
          <w:p w14:paraId="69AB7A51">
            <w:pPr>
              <w:pStyle w:val="35"/>
              <w:spacing w:after="0"/>
              <w:ind w:firstLine="0" w:firstLineChars="0"/>
              <w:jc w:val="center"/>
              <w:rPr>
                <w:rFonts w:ascii="Times New Roman" w:hAnsi="Times New Roman" w:eastAsia="宋体" w:cs="Times New Roman"/>
                <w:b/>
                <w:color w:val="auto"/>
                <w:szCs w:val="21"/>
                <w:u w:val="none" w:color="auto"/>
              </w:rPr>
            </w:pPr>
            <w:r>
              <w:rPr>
                <w:rFonts w:ascii="Times New Roman" w:hAnsi="Times New Roman" w:eastAsia="宋体" w:cs="Times New Roman"/>
                <w:b/>
                <w:color w:val="auto"/>
                <w:szCs w:val="21"/>
                <w:u w:val="none" w:color="auto"/>
              </w:rPr>
              <w:t>其他</w:t>
            </w:r>
          </w:p>
        </w:tc>
      </w:tr>
      <w:tr w14:paraId="325F9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57CDD9B">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建设期</w:t>
            </w:r>
          </w:p>
        </w:tc>
        <w:tc>
          <w:tcPr>
            <w:tcW w:w="1704" w:type="dxa"/>
            <w:vAlign w:val="center"/>
          </w:tcPr>
          <w:p w14:paraId="7DC1E458">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3D442726">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78FE1FC8">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6" w:type="dxa"/>
            <w:vAlign w:val="center"/>
          </w:tcPr>
          <w:p w14:paraId="201B8A6F">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r>
      <w:tr w14:paraId="3DD61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3439534">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运营期</w:t>
            </w:r>
          </w:p>
        </w:tc>
        <w:tc>
          <w:tcPr>
            <w:tcW w:w="1704" w:type="dxa"/>
            <w:vAlign w:val="center"/>
          </w:tcPr>
          <w:p w14:paraId="3BBA0C01">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39D7B59A">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477BCD32">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6" w:type="dxa"/>
            <w:vAlign w:val="center"/>
          </w:tcPr>
          <w:p w14:paraId="1D75B7AF">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r>
      <w:tr w14:paraId="768D5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8D5A755">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服务期满后</w:t>
            </w:r>
          </w:p>
        </w:tc>
        <w:tc>
          <w:tcPr>
            <w:tcW w:w="1704" w:type="dxa"/>
            <w:vAlign w:val="center"/>
          </w:tcPr>
          <w:p w14:paraId="760CAB27">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028DB8DE">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4" w:type="dxa"/>
            <w:vAlign w:val="center"/>
          </w:tcPr>
          <w:p w14:paraId="7D90DF27">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c>
          <w:tcPr>
            <w:tcW w:w="1706" w:type="dxa"/>
            <w:vAlign w:val="center"/>
          </w:tcPr>
          <w:p w14:paraId="3D53691E">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w:t>
            </w:r>
          </w:p>
        </w:tc>
      </w:tr>
      <w:tr w14:paraId="154F1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vAlign w:val="center"/>
          </w:tcPr>
          <w:p w14:paraId="5301B93C">
            <w:pPr>
              <w:pStyle w:val="35"/>
              <w:spacing w:after="0"/>
              <w:ind w:firstLine="0" w:firstLineChars="0"/>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注：在可能产生的土壤环境影响类型处打“√”列表未涵盖的可行自行设计</w:t>
            </w:r>
          </w:p>
        </w:tc>
      </w:tr>
    </w:tbl>
    <w:p w14:paraId="362A1F05">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.7.2土壤环境源及影响因子识别</w:t>
      </w:r>
    </w:p>
    <w:p w14:paraId="114CEB15">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根据项目特点，项目土壤环境影响源及影响因子识别，详见表</w:t>
      </w:r>
      <w:r>
        <w:rPr>
          <w:rFonts w:hint="eastAsia" w:ascii="Times New Roman" w:hAnsi="Times New Roman" w:eastAsia="宋体" w:cs="Times New Roman"/>
          <w:color w:val="auto"/>
          <w:sz w:val="24"/>
          <w:szCs w:val="24"/>
          <w:u w:val="none" w:color="auto"/>
        </w:rPr>
        <w:t>4</w:t>
      </w:r>
      <w:r>
        <w:rPr>
          <w:rFonts w:ascii="Times New Roman" w:hAnsi="Times New Roman" w:eastAsia="宋体" w:cs="Times New Roman"/>
          <w:color w:val="auto"/>
          <w:sz w:val="24"/>
          <w:szCs w:val="24"/>
          <w:u w:val="none" w:color="auto"/>
        </w:rPr>
        <w:t>.7-2。</w:t>
      </w:r>
    </w:p>
    <w:p w14:paraId="08DA17B8">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b/>
          <w:color w:val="auto"/>
          <w:kern w:val="0"/>
          <w:szCs w:val="21"/>
          <w:u w:val="none" w:color="auto"/>
        </w:rPr>
        <w:t>表</w:t>
      </w:r>
      <w:r>
        <w:rPr>
          <w:rFonts w:hint="eastAsia" w:ascii="Times New Roman" w:hAnsi="Times New Roman" w:eastAsia="宋体" w:cs="Times New Roman"/>
          <w:b/>
          <w:color w:val="auto"/>
          <w:kern w:val="0"/>
          <w:szCs w:val="21"/>
          <w:u w:val="none" w:color="auto"/>
        </w:rPr>
        <w:t>4</w:t>
      </w:r>
      <w:r>
        <w:rPr>
          <w:rFonts w:ascii="Times New Roman" w:hAnsi="Times New Roman" w:eastAsia="宋体" w:cs="Times New Roman"/>
          <w:b/>
          <w:color w:val="auto"/>
          <w:kern w:val="0"/>
          <w:szCs w:val="21"/>
          <w:u w:val="none" w:color="auto"/>
        </w:rPr>
        <w:t>.7-2 污染影响型建设项目土壤环境影响源及影响因子识别表</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4"/>
        <w:gridCol w:w="1349"/>
        <w:gridCol w:w="2055"/>
        <w:gridCol w:w="1714"/>
        <w:gridCol w:w="1690"/>
      </w:tblGrid>
      <w:tr w14:paraId="3AAAF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vAlign w:val="center"/>
          </w:tcPr>
          <w:p w14:paraId="2CFC2CD9">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污染源</w:t>
            </w:r>
          </w:p>
        </w:tc>
        <w:tc>
          <w:tcPr>
            <w:tcW w:w="1349" w:type="dxa"/>
            <w:vAlign w:val="center"/>
          </w:tcPr>
          <w:p w14:paraId="22E467EC">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污染</w:t>
            </w:r>
            <w:r>
              <w:rPr>
                <w:rFonts w:hint="eastAsia" w:ascii="Times New Roman" w:hAnsi="Times New Roman" w:eastAsia="宋体" w:cs="Times New Roman"/>
                <w:color w:val="auto"/>
                <w:szCs w:val="21"/>
                <w:u w:val="none" w:color="auto"/>
                <w:lang w:eastAsia="zh-CN"/>
              </w:rPr>
              <w:t>途径</w:t>
            </w:r>
          </w:p>
        </w:tc>
        <w:tc>
          <w:tcPr>
            <w:tcW w:w="2055" w:type="dxa"/>
            <w:vAlign w:val="center"/>
          </w:tcPr>
          <w:p w14:paraId="3DE48D35">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污染物指标</w:t>
            </w:r>
          </w:p>
        </w:tc>
        <w:tc>
          <w:tcPr>
            <w:tcW w:w="1714" w:type="dxa"/>
            <w:vAlign w:val="center"/>
          </w:tcPr>
          <w:p w14:paraId="346020E8">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特征因子</w:t>
            </w:r>
          </w:p>
        </w:tc>
        <w:tc>
          <w:tcPr>
            <w:tcW w:w="1690" w:type="dxa"/>
            <w:vAlign w:val="center"/>
          </w:tcPr>
          <w:p w14:paraId="0C3ACA3E">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备注</w:t>
            </w:r>
          </w:p>
        </w:tc>
      </w:tr>
      <w:tr w14:paraId="15CE4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vAlign w:val="center"/>
          </w:tcPr>
          <w:p w14:paraId="33145A49">
            <w:pPr>
              <w:widowControl/>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eastAsia="zh-CN"/>
              </w:rPr>
              <w:t>涂装车间</w:t>
            </w:r>
            <w:r>
              <w:rPr>
                <w:rFonts w:hint="eastAsia" w:ascii="Times New Roman" w:hAnsi="Times New Roman" w:eastAsia="宋体" w:cs="Times New Roman"/>
                <w:color w:val="auto"/>
                <w:szCs w:val="21"/>
                <w:u w:val="none" w:color="auto"/>
              </w:rPr>
              <w:t>跑、冒、滴、漏</w:t>
            </w:r>
          </w:p>
        </w:tc>
        <w:tc>
          <w:tcPr>
            <w:tcW w:w="1349" w:type="dxa"/>
            <w:vAlign w:val="center"/>
          </w:tcPr>
          <w:p w14:paraId="1D119C81">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垂直入渗</w:t>
            </w:r>
          </w:p>
        </w:tc>
        <w:tc>
          <w:tcPr>
            <w:tcW w:w="2055" w:type="dxa"/>
            <w:vAlign w:val="center"/>
          </w:tcPr>
          <w:p w14:paraId="70DB2BBA">
            <w:pPr>
              <w:widowControl/>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甲苯、二甲苯</w:t>
            </w:r>
          </w:p>
        </w:tc>
        <w:tc>
          <w:tcPr>
            <w:tcW w:w="1714" w:type="dxa"/>
            <w:vAlign w:val="center"/>
          </w:tcPr>
          <w:p w14:paraId="56602C45">
            <w:pPr>
              <w:widowControl/>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w:t>
            </w:r>
          </w:p>
        </w:tc>
        <w:tc>
          <w:tcPr>
            <w:tcW w:w="1690" w:type="dxa"/>
            <w:vAlign w:val="center"/>
          </w:tcPr>
          <w:p w14:paraId="51CE2314">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连续</w:t>
            </w:r>
          </w:p>
        </w:tc>
      </w:tr>
      <w:tr w14:paraId="6F330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vAlign w:val="center"/>
          </w:tcPr>
          <w:p w14:paraId="7BE701F0">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废气污染物排放</w:t>
            </w:r>
          </w:p>
        </w:tc>
        <w:tc>
          <w:tcPr>
            <w:tcW w:w="1349" w:type="dxa"/>
            <w:vAlign w:val="center"/>
          </w:tcPr>
          <w:p w14:paraId="1FB9256D">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大气沉降</w:t>
            </w:r>
          </w:p>
        </w:tc>
        <w:tc>
          <w:tcPr>
            <w:tcW w:w="2055" w:type="dxa"/>
            <w:vAlign w:val="center"/>
          </w:tcPr>
          <w:p w14:paraId="0AC6CA7D">
            <w:pPr>
              <w:widowControl/>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甲苯、二甲苯</w:t>
            </w:r>
          </w:p>
        </w:tc>
        <w:tc>
          <w:tcPr>
            <w:tcW w:w="1714" w:type="dxa"/>
            <w:vAlign w:val="center"/>
          </w:tcPr>
          <w:p w14:paraId="22447B72">
            <w:pPr>
              <w:widowControl/>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甲苯、二甲苯</w:t>
            </w:r>
          </w:p>
        </w:tc>
        <w:tc>
          <w:tcPr>
            <w:tcW w:w="1690" w:type="dxa"/>
            <w:vAlign w:val="center"/>
          </w:tcPr>
          <w:p w14:paraId="181BB8FB">
            <w:pPr>
              <w:widowControl/>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生产条件下</w:t>
            </w:r>
          </w:p>
        </w:tc>
      </w:tr>
    </w:tbl>
    <w:p w14:paraId="5E88519F">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.7.3预测与评价</w:t>
      </w:r>
    </w:p>
    <w:p w14:paraId="277C47D9">
      <w:pPr>
        <w:pStyle w:val="35"/>
        <w:spacing w:after="0"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1、预测范围</w:t>
      </w:r>
    </w:p>
    <w:p w14:paraId="2435EAD3">
      <w:pPr>
        <w:pStyle w:val="16"/>
        <w:spacing w:line="360" w:lineRule="auto"/>
        <w:ind w:firstLine="480" w:firstLineChars="200"/>
        <w:rPr>
          <w:color w:val="auto"/>
          <w:sz w:val="24"/>
          <w:szCs w:val="24"/>
          <w:u w:val="none" w:color="auto"/>
        </w:rPr>
      </w:pPr>
      <w:r>
        <w:rPr>
          <w:color w:val="auto"/>
          <w:sz w:val="24"/>
          <w:szCs w:val="24"/>
          <w:u w:val="none" w:color="auto"/>
        </w:rPr>
        <w:t>厂区占地范围外0.2km内。</w:t>
      </w:r>
    </w:p>
    <w:p w14:paraId="3DFB72FB">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2、预测时段</w:t>
      </w:r>
    </w:p>
    <w:p w14:paraId="426ED7E1">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项目运营期。确定预测时段为从项目营运期开始的第一个五年、十年、二十年、三十年</w:t>
      </w:r>
    </w:p>
    <w:p w14:paraId="41EBCDAD">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3、预测内容</w:t>
      </w:r>
    </w:p>
    <w:p w14:paraId="2EB30FD5">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项目</w:t>
      </w:r>
      <w:r>
        <w:rPr>
          <w:rFonts w:ascii="Times New Roman" w:hAnsi="Times New Roman" w:cs="Times New Roman"/>
          <w:color w:val="auto"/>
          <w:u w:val="none" w:color="auto"/>
        </w:rPr>
        <w:t>喷漆过程排放的气体中含有</w:t>
      </w:r>
      <w:r>
        <w:rPr>
          <w:rFonts w:hint="eastAsia" w:ascii="Times New Roman" w:hAnsi="Times New Roman" w:cs="Times New Roman"/>
          <w:color w:val="auto"/>
          <w:u w:val="none" w:color="auto"/>
        </w:rPr>
        <w:t>甲苯和</w:t>
      </w:r>
      <w:r>
        <w:rPr>
          <w:rFonts w:ascii="Times New Roman" w:hAnsi="Times New Roman" w:cs="Times New Roman"/>
          <w:color w:val="auto"/>
          <w:u w:val="none" w:color="auto"/>
        </w:rPr>
        <w:t>二甲苯，</w:t>
      </w:r>
      <w:r>
        <w:rPr>
          <w:rFonts w:hint="eastAsia" w:ascii="Times New Roman" w:hAnsi="Times New Roman" w:cs="Times New Roman"/>
          <w:color w:val="auto"/>
          <w:u w:val="none" w:color="auto"/>
        </w:rPr>
        <w:t>甲苯和</w:t>
      </w:r>
      <w:r>
        <w:rPr>
          <w:rFonts w:ascii="Times New Roman" w:hAnsi="Times New Roman" w:cs="Times New Roman"/>
          <w:color w:val="auto"/>
          <w:u w:val="none" w:color="auto"/>
        </w:rPr>
        <w:t>二甲苯随排放废气进入环境空气中，最后沉降在周围的土壤从而进入土壤环境，有可能对土壤环境产生影响。</w:t>
      </w:r>
      <w:r>
        <w:rPr>
          <w:rFonts w:hint="eastAsia" w:ascii="Times New Roman" w:hAnsi="Times New Roman" w:cs="Times New Roman"/>
          <w:color w:val="auto"/>
          <w:u w:val="none" w:color="auto"/>
        </w:rPr>
        <w:t>甲苯和</w:t>
      </w:r>
      <w:r>
        <w:rPr>
          <w:rFonts w:ascii="Times New Roman" w:hAnsi="Times New Roman" w:cs="Times New Roman"/>
          <w:color w:val="auto"/>
          <w:u w:val="none" w:color="auto"/>
        </w:rPr>
        <w:t>二甲苯进入土壤环境主要表现为累积效应。</w:t>
      </w:r>
    </w:p>
    <w:p w14:paraId="05E755C2">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预测情景设定为，喷漆生产线</w:t>
      </w:r>
      <w:r>
        <w:rPr>
          <w:rFonts w:hint="eastAsia" w:ascii="Times New Roman" w:hAnsi="Times New Roman" w:cs="Times New Roman"/>
          <w:color w:val="auto"/>
          <w:u w:val="none" w:color="auto"/>
        </w:rPr>
        <w:t>甲苯和</w:t>
      </w:r>
      <w:r>
        <w:rPr>
          <w:rFonts w:ascii="Times New Roman" w:hAnsi="Times New Roman" w:cs="Times New Roman"/>
          <w:color w:val="auto"/>
          <w:u w:val="none" w:color="auto"/>
        </w:rPr>
        <w:t>二甲苯物质通过累积效应对土壤的影响。</w:t>
      </w:r>
    </w:p>
    <w:p w14:paraId="359AC7B2">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4、预测与评价方法</w:t>
      </w:r>
    </w:p>
    <w:p w14:paraId="0FCE3698">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（1）垂直入渗环境影响分析</w:t>
      </w:r>
    </w:p>
    <w:p w14:paraId="1912AF7E">
      <w:pPr>
        <w:pStyle w:val="50"/>
        <w:adjustRightInd/>
        <w:ind w:firstLine="480" w:firstLineChars="200"/>
        <w:rPr>
          <w:rFonts w:hint="default" w:ascii="Times New Roman" w:hAnsi="Times New Roman" w:eastAsia="宋体" w:cs="Times New Roman"/>
          <w:color w:val="auto"/>
          <w:u w:val="none" w:color="auto"/>
          <w:lang w:val="en-US" w:eastAsia="zh-CN"/>
        </w:rPr>
      </w:pPr>
      <w:r>
        <w:rPr>
          <w:rFonts w:hint="eastAsia" w:ascii="Times New Roman" w:hAnsi="Times New Roman" w:cs="Times New Roman"/>
          <w:color w:val="auto"/>
          <w:u w:val="none" w:color="auto"/>
          <w:lang w:val="en-US" w:eastAsia="zh-CN"/>
        </w:rPr>
        <w:t>1）正常工况分析</w:t>
      </w:r>
    </w:p>
    <w:p w14:paraId="1518FDAD">
      <w:pPr>
        <w:pStyle w:val="50"/>
        <w:adjustRightInd/>
        <w:ind w:firstLine="480" w:firstLineChars="200"/>
        <w:rPr>
          <w:rFonts w:hint="eastAsia" w:ascii="Times New Roman" w:hAnsi="Times New Roman" w:cs="Times New Roman"/>
          <w:color w:val="auto"/>
          <w:u w:val="none" w:color="auto"/>
        </w:rPr>
      </w:pPr>
      <w:r>
        <w:rPr>
          <w:rFonts w:hint="eastAsia" w:ascii="Times New Roman" w:hAnsi="Times New Roman" w:cs="Times New Roman"/>
          <w:color w:val="auto"/>
          <w:u w:val="none" w:color="auto"/>
        </w:rPr>
        <w:t>项目油漆、固化剂、稀释剂储存于</w:t>
      </w:r>
      <w:r>
        <w:rPr>
          <w:rFonts w:hint="eastAsia" w:ascii="Times New Roman" w:hAnsi="Times New Roman" w:cs="Times New Roman"/>
          <w:color w:val="auto"/>
          <w:u w:val="none" w:color="auto"/>
          <w:lang w:eastAsia="zh-CN"/>
        </w:rPr>
        <w:t>涂装车间</w:t>
      </w:r>
      <w:r>
        <w:rPr>
          <w:rFonts w:hint="eastAsia" w:ascii="Times New Roman" w:hAnsi="Times New Roman" w:cs="Times New Roman"/>
          <w:color w:val="auto"/>
          <w:u w:val="none" w:color="auto"/>
        </w:rPr>
        <w:t>的油漆存储区内。油漆存储区已进行防渗处理，在正常情况下油漆、固化剂、稀释剂在油漆存储区内对土壤环境不会造成影响；当发生原料泄漏时，泄漏的物质均可排入事故应急池内，对土壤环境影响较小；项目在</w:t>
      </w:r>
      <w:r>
        <w:rPr>
          <w:rFonts w:hint="eastAsia" w:ascii="Times New Roman" w:hAnsi="Times New Roman" w:cs="Times New Roman"/>
          <w:color w:val="auto"/>
          <w:u w:val="none" w:color="auto"/>
          <w:lang w:eastAsia="zh-CN"/>
        </w:rPr>
        <w:t>涂装车间</w:t>
      </w:r>
      <w:r>
        <w:rPr>
          <w:rFonts w:ascii="Times New Roman" w:hAnsi="Times New Roman" w:cs="Times New Roman"/>
          <w:color w:val="auto"/>
          <w:u w:val="none" w:color="auto"/>
        </w:rPr>
        <w:t>西</w:t>
      </w:r>
      <w:r>
        <w:rPr>
          <w:rFonts w:hint="eastAsia" w:ascii="Times New Roman" w:hAnsi="Times New Roman" w:cs="Times New Roman"/>
          <w:color w:val="auto"/>
          <w:u w:val="none" w:color="auto"/>
        </w:rPr>
        <w:t>南侧设有150m</w:t>
      </w:r>
      <w:r>
        <w:rPr>
          <w:rFonts w:hint="eastAsia" w:ascii="Times New Roman" w:hAnsi="Times New Roman" w:cs="Times New Roman"/>
          <w:color w:val="auto"/>
          <w:u w:val="none" w:color="auto"/>
          <w:vertAlign w:val="superscript"/>
        </w:rPr>
        <w:t>3</w:t>
      </w:r>
      <w:r>
        <w:rPr>
          <w:rFonts w:hint="eastAsia" w:ascii="Times New Roman" w:hAnsi="Times New Roman" w:cs="Times New Roman"/>
          <w:color w:val="auto"/>
          <w:u w:val="none" w:color="auto"/>
        </w:rPr>
        <w:t>的事故应急池，已进行硬化防渗处理，主要收集事故废水。在事故发生时，在收集的事故废水池及时加入试剂去除COD、氨氮等污染物，反应时间较短，若发生泄漏，及时发现后影响不大。项目油漆存储区进行硬化防渗处理，可有效隔绝土壤污染的途径，总体来看，垂直入渗对土壤环境的影响不大。</w:t>
      </w:r>
    </w:p>
    <w:p w14:paraId="2D3756F5">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2）非正常工况</w:t>
      </w:r>
    </w:p>
    <w:p w14:paraId="6F750FE5">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ascii="Times New Roman" w:hAnsi="Times New Roman" w:eastAsia="宋体" w:cs="Times New Roman"/>
          <w:color w:val="auto"/>
          <w:u w:val="none" w:color="auto"/>
          <w:lang w:val="en-US" w:eastAsia="zh-CN"/>
        </w:rPr>
        <w:t>建设</w:t>
      </w:r>
      <w:r>
        <w:rPr>
          <w:rFonts w:hint="default" w:ascii="Times New Roman" w:hAnsi="Times New Roman" w:eastAsia="宋体" w:cs="Times New Roman"/>
          <w:color w:val="auto"/>
          <w:u w:val="none" w:color="auto"/>
          <w:lang w:val="en-US" w:eastAsia="zh-CN"/>
        </w:rPr>
        <w:t>完成后，运营期非正常状况主要包括：</w:t>
      </w:r>
      <w:r>
        <w:rPr>
          <w:rFonts w:hint="eastAsia" w:ascii="Times New Roman" w:hAnsi="Times New Roman" w:cs="Times New Roman"/>
          <w:color w:val="auto"/>
          <w:u w:val="none" w:color="auto"/>
        </w:rPr>
        <w:t>油漆、固化剂、稀释剂</w:t>
      </w:r>
      <w:r>
        <w:rPr>
          <w:rFonts w:hint="eastAsia" w:ascii="Times New Roman" w:hAnsi="Times New Roman" w:cs="Times New Roman"/>
          <w:color w:val="auto"/>
          <w:u w:val="none" w:color="auto"/>
          <w:lang w:val="en-US" w:eastAsia="zh-CN"/>
        </w:rPr>
        <w:t>包装桶</w:t>
      </w:r>
      <w:r>
        <w:rPr>
          <w:rFonts w:hint="default" w:ascii="Times New Roman" w:hAnsi="Times New Roman" w:eastAsia="宋体" w:cs="Times New Roman"/>
          <w:color w:val="auto"/>
          <w:u w:val="none" w:color="auto"/>
          <w:lang w:val="en-US" w:eastAsia="zh-CN"/>
        </w:rPr>
        <w:t>破损，防渗层破损等。</w:t>
      </w:r>
    </w:p>
    <w:p w14:paraId="146E284B">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fldChar w:fldCharType="begin"/>
      </w:r>
      <w:r>
        <w:rPr>
          <w:rFonts w:hint="default" w:ascii="Times New Roman" w:hAnsi="Times New Roman" w:eastAsia="宋体" w:cs="Times New Roman"/>
          <w:color w:val="auto"/>
          <w:u w:val="none" w:color="auto"/>
          <w:lang w:val="en-US" w:eastAsia="zh-CN"/>
        </w:rPr>
        <w:instrText xml:space="preserve"> = 1 \* GB3 </w:instrText>
      </w:r>
      <w:r>
        <w:rPr>
          <w:rFonts w:hint="default" w:ascii="Times New Roman" w:hAnsi="Times New Roman" w:eastAsia="宋体" w:cs="Times New Roman"/>
          <w:color w:val="auto"/>
          <w:u w:val="none" w:color="auto"/>
          <w:lang w:val="en-US" w:eastAsia="zh-CN"/>
        </w:rPr>
        <w:fldChar w:fldCharType="separate"/>
      </w:r>
      <w:r>
        <w:rPr>
          <w:rFonts w:hint="default" w:ascii="Times New Roman" w:hAnsi="Times New Roman" w:eastAsia="宋体" w:cs="Times New Roman"/>
          <w:color w:val="auto"/>
          <w:u w:val="none" w:color="auto"/>
          <w:lang w:val="en-US" w:eastAsia="zh-CN"/>
        </w:rPr>
        <w:t>①</w:t>
      </w:r>
      <w:r>
        <w:rPr>
          <w:rFonts w:hint="default" w:ascii="Times New Roman" w:hAnsi="Times New Roman" w:eastAsia="宋体" w:cs="Times New Roman"/>
          <w:color w:val="auto"/>
          <w:u w:val="none" w:color="auto"/>
          <w:lang w:val="en-US" w:eastAsia="zh-CN"/>
        </w:rPr>
        <w:fldChar w:fldCharType="end"/>
      </w:r>
      <w:r>
        <w:rPr>
          <w:rFonts w:hint="default" w:ascii="Times New Roman" w:hAnsi="Times New Roman" w:eastAsia="宋体" w:cs="Times New Roman"/>
          <w:color w:val="auto"/>
          <w:u w:val="none" w:color="auto"/>
          <w:lang w:val="en-US" w:eastAsia="zh-CN"/>
        </w:rPr>
        <w:t>情景设置</w:t>
      </w:r>
    </w:p>
    <w:p w14:paraId="3A946A95">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由于项目生产</w:t>
      </w:r>
      <w:r>
        <w:rPr>
          <w:rFonts w:hint="eastAsia" w:ascii="Times New Roman" w:hAnsi="Times New Roman" w:eastAsia="宋体" w:cs="Times New Roman"/>
          <w:color w:val="auto"/>
          <w:u w:val="none" w:color="auto"/>
          <w:lang w:val="en-US" w:eastAsia="zh-CN"/>
        </w:rPr>
        <w:t>过程中</w:t>
      </w:r>
      <w:r>
        <w:rPr>
          <w:rFonts w:hint="eastAsia" w:ascii="Times New Roman" w:hAnsi="Times New Roman" w:cs="Times New Roman"/>
          <w:color w:val="auto"/>
          <w:u w:val="none" w:color="auto"/>
        </w:rPr>
        <w:t>油漆、固化剂、稀释剂</w:t>
      </w:r>
      <w:r>
        <w:rPr>
          <w:rFonts w:hint="eastAsia" w:ascii="Times New Roman" w:hAnsi="Times New Roman" w:cs="Times New Roman"/>
          <w:color w:val="auto"/>
          <w:u w:val="none" w:color="auto"/>
          <w:lang w:val="en-US" w:eastAsia="zh-CN"/>
        </w:rPr>
        <w:t>使用量较多，暂存量大，</w:t>
      </w:r>
      <w:r>
        <w:rPr>
          <w:rFonts w:hint="default" w:ascii="Times New Roman" w:hAnsi="Times New Roman" w:eastAsia="宋体" w:cs="Times New Roman"/>
          <w:color w:val="auto"/>
          <w:u w:val="none" w:color="auto"/>
          <w:lang w:val="en-US" w:eastAsia="zh-CN"/>
        </w:rPr>
        <w:t>物料储存区发生泄漏后易发现。因此，设定以下污染物泄露情景：</w:t>
      </w:r>
      <w:r>
        <w:rPr>
          <w:rFonts w:hint="eastAsia" w:ascii="Times New Roman" w:hAnsi="Times New Roman" w:cs="Times New Roman"/>
          <w:color w:val="auto"/>
          <w:u w:val="none" w:color="auto"/>
        </w:rPr>
        <w:t>油漆、固化剂</w:t>
      </w:r>
      <w:r>
        <w:rPr>
          <w:rFonts w:hint="eastAsia" w:ascii="Times New Roman" w:hAnsi="Times New Roman" w:cs="Times New Roman"/>
          <w:color w:val="auto"/>
          <w:u w:val="none" w:color="auto"/>
          <w:lang w:val="en-US" w:eastAsia="zh-CN"/>
        </w:rPr>
        <w:t>或</w:t>
      </w:r>
      <w:r>
        <w:rPr>
          <w:rFonts w:hint="eastAsia" w:ascii="Times New Roman" w:hAnsi="Times New Roman" w:cs="Times New Roman"/>
          <w:color w:val="auto"/>
          <w:u w:val="none" w:color="auto"/>
        </w:rPr>
        <w:t>稀释剂</w:t>
      </w:r>
      <w:r>
        <w:rPr>
          <w:rFonts w:hint="eastAsia" w:ascii="Times New Roman" w:hAnsi="Times New Roman" w:cs="Times New Roman"/>
          <w:color w:val="auto"/>
          <w:u w:val="none" w:color="auto"/>
          <w:lang w:val="en-US" w:eastAsia="zh-CN"/>
        </w:rPr>
        <w:t>发生泄漏且</w:t>
      </w:r>
      <w:r>
        <w:rPr>
          <w:rFonts w:hint="default" w:ascii="Times New Roman" w:hAnsi="Times New Roman" w:eastAsia="宋体" w:cs="Times New Roman"/>
          <w:color w:val="auto"/>
          <w:u w:val="none" w:color="auto"/>
          <w:lang w:val="en-US" w:eastAsia="zh-CN"/>
        </w:rPr>
        <w:t>防渗层发生破损后</w:t>
      </w:r>
      <w:r>
        <w:rPr>
          <w:rFonts w:hint="eastAsia" w:ascii="Times New Roman" w:hAnsi="Times New Roman" w:eastAsia="宋体" w:cs="Times New Roman"/>
          <w:color w:val="auto"/>
          <w:u w:val="none" w:color="auto"/>
          <w:lang w:val="en-US" w:eastAsia="zh-CN"/>
        </w:rPr>
        <w:t>，短时间内发现</w:t>
      </w:r>
      <w:r>
        <w:rPr>
          <w:rFonts w:hint="eastAsia" w:ascii="Times New Roman" w:hAnsi="Times New Roman" w:cs="Times New Roman"/>
          <w:color w:val="auto"/>
          <w:u w:val="none" w:color="auto"/>
        </w:rPr>
        <w:t>油漆、固化剂、稀释剂</w:t>
      </w:r>
      <w:r>
        <w:rPr>
          <w:rFonts w:hint="eastAsia" w:ascii="Times New Roman" w:hAnsi="Times New Roman" w:eastAsia="宋体" w:cs="Times New Roman"/>
          <w:color w:val="auto"/>
          <w:u w:val="none" w:color="auto"/>
          <w:lang w:val="en-US" w:eastAsia="zh-CN"/>
        </w:rPr>
        <w:t>泄漏</w:t>
      </w:r>
      <w:r>
        <w:rPr>
          <w:rFonts w:hint="default" w:ascii="Times New Roman" w:hAnsi="Times New Roman" w:eastAsia="宋体" w:cs="Times New Roman"/>
          <w:color w:val="auto"/>
          <w:u w:val="none" w:color="auto"/>
          <w:lang w:val="en-US" w:eastAsia="zh-CN"/>
        </w:rPr>
        <w:t>进入土壤环境中。</w:t>
      </w:r>
    </w:p>
    <w:p w14:paraId="180F9334">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fldChar w:fldCharType="begin"/>
      </w:r>
      <w:r>
        <w:rPr>
          <w:rFonts w:hint="default" w:ascii="Times New Roman" w:hAnsi="Times New Roman" w:eastAsia="宋体" w:cs="Times New Roman"/>
          <w:color w:val="auto"/>
          <w:u w:val="none" w:color="auto"/>
          <w:lang w:val="en-US" w:eastAsia="zh-CN"/>
        </w:rPr>
        <w:instrText xml:space="preserve"> = 2 \* GB3 </w:instrText>
      </w:r>
      <w:r>
        <w:rPr>
          <w:rFonts w:hint="default" w:ascii="Times New Roman" w:hAnsi="Times New Roman" w:eastAsia="宋体" w:cs="Times New Roman"/>
          <w:color w:val="auto"/>
          <w:u w:val="none" w:color="auto"/>
          <w:lang w:val="en-US" w:eastAsia="zh-CN"/>
        </w:rPr>
        <w:fldChar w:fldCharType="separate"/>
      </w:r>
      <w:r>
        <w:rPr>
          <w:rFonts w:hint="default" w:ascii="Times New Roman" w:hAnsi="Times New Roman" w:eastAsia="宋体" w:cs="Times New Roman"/>
          <w:color w:val="auto"/>
          <w:u w:val="none" w:color="auto"/>
          <w:lang w:val="en-US" w:eastAsia="zh-CN"/>
        </w:rPr>
        <w:t>②</w:t>
      </w:r>
      <w:r>
        <w:rPr>
          <w:rFonts w:hint="default" w:ascii="Times New Roman" w:hAnsi="Times New Roman" w:eastAsia="宋体" w:cs="Times New Roman"/>
          <w:color w:val="auto"/>
          <w:u w:val="none" w:color="auto"/>
          <w:lang w:val="en-US" w:eastAsia="zh-CN"/>
        </w:rPr>
        <w:fldChar w:fldCharType="end"/>
      </w:r>
      <w:r>
        <w:rPr>
          <w:rFonts w:hint="default" w:ascii="Times New Roman" w:hAnsi="Times New Roman" w:eastAsia="宋体" w:cs="Times New Roman"/>
          <w:color w:val="auto"/>
          <w:u w:val="none" w:color="auto"/>
          <w:lang w:val="en-US" w:eastAsia="zh-CN"/>
        </w:rPr>
        <w:t>预测因子</w:t>
      </w:r>
    </w:p>
    <w:p w14:paraId="5B21DCCE">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ascii="Times New Roman" w:hAnsi="Times New Roman" w:cs="Times New Roman"/>
          <w:color w:val="auto"/>
          <w:u w:val="none" w:color="auto"/>
        </w:rPr>
        <w:t>油漆、固化剂、稀释剂</w:t>
      </w:r>
      <w:r>
        <w:rPr>
          <w:rFonts w:hint="default" w:ascii="Times New Roman" w:hAnsi="Times New Roman" w:eastAsia="宋体" w:cs="Times New Roman"/>
          <w:color w:val="auto"/>
          <w:u w:val="none" w:color="auto"/>
          <w:lang w:val="en-US" w:eastAsia="zh-CN"/>
        </w:rPr>
        <w:t>主要污染物包括</w:t>
      </w:r>
      <w:r>
        <w:rPr>
          <w:rFonts w:hint="eastAsia" w:ascii="Times New Roman" w:hAnsi="Times New Roman" w:eastAsia="宋体" w:cs="Times New Roman"/>
          <w:color w:val="auto"/>
          <w:u w:val="none" w:color="auto"/>
          <w:lang w:val="en-US" w:eastAsia="zh-CN"/>
        </w:rPr>
        <w:t>甲苯、二甲苯等</w:t>
      </w:r>
      <w:r>
        <w:rPr>
          <w:rFonts w:hint="default" w:ascii="Times New Roman" w:hAnsi="Times New Roman" w:eastAsia="宋体" w:cs="Times New Roman"/>
          <w:color w:val="auto"/>
          <w:u w:val="none" w:color="auto"/>
          <w:lang w:val="en-US" w:eastAsia="zh-CN"/>
        </w:rPr>
        <w:t>，会通过垂直下渗形式进入</w:t>
      </w:r>
      <w:r>
        <w:rPr>
          <w:rFonts w:hint="eastAsia" w:ascii="Times New Roman" w:hAnsi="Times New Roman" w:cs="Times New Roman"/>
          <w:color w:val="auto"/>
          <w:u w:val="none" w:color="auto"/>
          <w:lang w:val="en-US" w:eastAsia="zh-CN"/>
        </w:rPr>
        <w:t>涂装车间</w:t>
      </w:r>
      <w:r>
        <w:rPr>
          <w:rFonts w:hint="default" w:ascii="Times New Roman" w:hAnsi="Times New Roman" w:eastAsia="宋体" w:cs="Times New Roman"/>
          <w:color w:val="auto"/>
          <w:u w:val="none" w:color="auto"/>
          <w:lang w:val="en-US" w:eastAsia="zh-CN"/>
        </w:rPr>
        <w:t>的土壤，从而使局部土壤环境质量逐步受到污染影响，参照地下水预测指标分析内容，选取</w:t>
      </w:r>
      <w:r>
        <w:rPr>
          <w:rFonts w:hint="eastAsia" w:ascii="Times New Roman" w:hAnsi="Times New Roman" w:eastAsia="宋体" w:cs="Times New Roman"/>
          <w:color w:val="auto"/>
          <w:u w:val="none" w:color="auto"/>
          <w:lang w:val="en-US" w:eastAsia="zh-CN"/>
        </w:rPr>
        <w:t>甲苯、二甲苯</w:t>
      </w:r>
      <w:r>
        <w:rPr>
          <w:rFonts w:hint="default" w:ascii="Times New Roman" w:hAnsi="Times New Roman" w:eastAsia="宋体" w:cs="Times New Roman"/>
          <w:color w:val="auto"/>
          <w:u w:val="none" w:color="auto"/>
          <w:lang w:val="en-US" w:eastAsia="zh-CN"/>
        </w:rPr>
        <w:t>等</w:t>
      </w:r>
      <w:r>
        <w:rPr>
          <w:rFonts w:hint="eastAsia"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个因子作为预测因子。</w:t>
      </w:r>
    </w:p>
    <w:p w14:paraId="5E7EC263">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fldChar w:fldCharType="begin"/>
      </w:r>
      <w:r>
        <w:rPr>
          <w:rFonts w:hint="default" w:ascii="Times New Roman" w:hAnsi="Times New Roman" w:eastAsia="宋体" w:cs="Times New Roman"/>
          <w:color w:val="auto"/>
          <w:u w:val="none" w:color="auto"/>
          <w:lang w:val="en-US" w:eastAsia="zh-CN"/>
        </w:rPr>
        <w:instrText xml:space="preserve"> = 3 \* GB3 </w:instrText>
      </w:r>
      <w:r>
        <w:rPr>
          <w:rFonts w:hint="default" w:ascii="Times New Roman" w:hAnsi="Times New Roman" w:eastAsia="宋体" w:cs="Times New Roman"/>
          <w:color w:val="auto"/>
          <w:u w:val="none" w:color="auto"/>
          <w:lang w:val="en-US" w:eastAsia="zh-CN"/>
        </w:rPr>
        <w:fldChar w:fldCharType="separate"/>
      </w:r>
      <w:r>
        <w:rPr>
          <w:rFonts w:hint="default" w:ascii="Times New Roman" w:hAnsi="Times New Roman" w:eastAsia="宋体" w:cs="Times New Roman"/>
          <w:color w:val="auto"/>
          <w:u w:val="none" w:color="auto"/>
          <w:lang w:val="en-US" w:eastAsia="zh-CN"/>
        </w:rPr>
        <w:t>③</w:t>
      </w:r>
      <w:r>
        <w:rPr>
          <w:rFonts w:hint="default" w:ascii="Times New Roman" w:hAnsi="Times New Roman" w:eastAsia="宋体" w:cs="Times New Roman"/>
          <w:color w:val="auto"/>
          <w:u w:val="none" w:color="auto"/>
          <w:lang w:val="en-US" w:eastAsia="zh-CN"/>
        </w:rPr>
        <w:fldChar w:fldCharType="end"/>
      </w:r>
      <w:r>
        <w:rPr>
          <w:rFonts w:hint="default" w:ascii="Times New Roman" w:hAnsi="Times New Roman" w:eastAsia="宋体" w:cs="Times New Roman"/>
          <w:color w:val="auto"/>
          <w:u w:val="none" w:color="auto"/>
          <w:lang w:val="en-US" w:eastAsia="zh-CN"/>
        </w:rPr>
        <w:t>预测方法</w:t>
      </w:r>
    </w:p>
    <w:p w14:paraId="2089BA28">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根据《环境影响评价技术导则 土壤环境》（HJ964-2018）要求，本评价等级为</w:t>
      </w:r>
      <w:r>
        <w:rPr>
          <w:rFonts w:hint="eastAsia" w:ascii="Times New Roman" w:hAnsi="Times New Roman" w:eastAsia="宋体" w:cs="Times New Roman"/>
          <w:color w:val="auto"/>
          <w:u w:val="none" w:color="auto"/>
          <w:lang w:val="en-US" w:eastAsia="zh-CN"/>
        </w:rPr>
        <w:t>二</w:t>
      </w:r>
      <w:r>
        <w:rPr>
          <w:rFonts w:hint="default" w:ascii="Times New Roman" w:hAnsi="Times New Roman" w:eastAsia="宋体" w:cs="Times New Roman"/>
          <w:color w:val="auto"/>
          <w:u w:val="none" w:color="auto"/>
          <w:lang w:val="en-US" w:eastAsia="zh-CN"/>
        </w:rPr>
        <w:t>级，预测方法选用导则附录E的预测方法二对预测因子垂直下渗对土壤环境的影响深度进行分析。</w:t>
      </w:r>
    </w:p>
    <w:p w14:paraId="3E269255">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一维非饱和溶质垂向运移控制方程：</w:t>
      </w:r>
    </w:p>
    <w:p w14:paraId="27399E30">
      <w:pPr>
        <w:widowControl w:val="0"/>
        <w:adjustRightInd w:val="0"/>
        <w:ind w:firstLine="480"/>
        <w:jc w:val="left"/>
        <w:rPr>
          <w:rFonts w:hint="default" w:ascii="Times New Roman" w:hAnsi="Times New Roman" w:cs="Times New Roman"/>
          <w:bCs/>
          <w:color w:val="auto"/>
          <w:szCs w:val="24"/>
          <w:highlight w:val="none"/>
        </w:rPr>
      </w:pPr>
      <w:r>
        <w:rPr>
          <w:rFonts w:hint="default" w:ascii="Times New Roman" w:hAnsi="Times New Roman" w:cs="Times New Roman"/>
          <w:color w:val="auto"/>
          <w:kern w:val="2"/>
          <w:szCs w:val="24"/>
          <w:highlight w:val="none"/>
          <w:lang w:bidi="ar"/>
        </w:rPr>
        <w:drawing>
          <wp:inline distT="0" distB="0" distL="114300" distR="114300">
            <wp:extent cx="1897380" cy="350520"/>
            <wp:effectExtent l="0" t="0" r="7620" b="190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75"/>
                    <a:stretch>
                      <a:fillRect/>
                    </a:stretch>
                  </pic:blipFill>
                  <pic:spPr>
                    <a:xfrm>
                      <a:off x="0" y="0"/>
                      <a:ext cx="1897380" cy="350520"/>
                    </a:xfrm>
                    <a:prstGeom prst="rect">
                      <a:avLst/>
                    </a:prstGeom>
                    <a:noFill/>
                    <a:ln>
                      <a:noFill/>
                    </a:ln>
                  </pic:spPr>
                </pic:pic>
              </a:graphicData>
            </a:graphic>
          </wp:inline>
        </w:drawing>
      </w:r>
    </w:p>
    <w:p w14:paraId="39085435">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式中：c——污染物介质中的浓度，mg/L；</w:t>
      </w:r>
    </w:p>
    <w:p w14:paraId="772D627C">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D——弥散系数，m</w:t>
      </w:r>
      <w:r>
        <w:rPr>
          <w:rFonts w:hint="default" w:ascii="Times New Roman" w:hAnsi="Times New Roman" w:eastAsia="宋体" w:cs="Times New Roman"/>
          <w:color w:val="auto"/>
          <w:u w:val="none" w:color="auto"/>
          <w:vertAlign w:val="superscript"/>
          <w:lang w:val="en-US" w:eastAsia="zh-CN"/>
        </w:rPr>
        <w:t>2</w:t>
      </w:r>
      <w:r>
        <w:rPr>
          <w:rFonts w:hint="default" w:ascii="Times New Roman" w:hAnsi="Times New Roman" w:eastAsia="宋体" w:cs="Times New Roman"/>
          <w:color w:val="auto"/>
          <w:u w:val="none" w:color="auto"/>
          <w:lang w:val="en-US" w:eastAsia="zh-CN"/>
        </w:rPr>
        <w:t>/d；</w:t>
      </w:r>
    </w:p>
    <w:p w14:paraId="0CAC7C88">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q——渗流速率，m/d；</w:t>
      </w:r>
    </w:p>
    <w:p w14:paraId="77E50C0B">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z——沿z轴的距离，m；</w:t>
      </w:r>
    </w:p>
    <w:p w14:paraId="3C859EBD">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t——时间变量，d；</w:t>
      </w:r>
    </w:p>
    <w:p w14:paraId="2E9EA877">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θ——土壤含水率，%。</w:t>
      </w:r>
    </w:p>
    <w:p w14:paraId="507718CB">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初始条件</w:t>
      </w:r>
    </w:p>
    <w:p w14:paraId="78D04832">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c(z,t)=0    t=0，L≤z&lt;0</w:t>
      </w:r>
    </w:p>
    <w:p w14:paraId="2F529976">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边界条件</w:t>
      </w:r>
    </w:p>
    <w:p w14:paraId="2BF2D59F">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第一类Dirichlet边界条件。</w:t>
      </w:r>
    </w:p>
    <w:p w14:paraId="29DE4175">
      <w:pPr>
        <w:pStyle w:val="50"/>
        <w:adjustRightInd/>
        <w:ind w:firstLine="480" w:firstLineChars="200"/>
        <w:rPr>
          <w:color w:val="auto"/>
        </w:rPr>
      </w:pPr>
      <w:r>
        <w:rPr>
          <w:color w:val="auto"/>
        </w:rPr>
        <w:drawing>
          <wp:inline distT="0" distB="0" distL="114300" distR="114300">
            <wp:extent cx="2066925" cy="523875"/>
            <wp:effectExtent l="0" t="0" r="0" b="0"/>
            <wp:docPr id="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9"/>
                    <pic:cNvPicPr>
                      <a:picLocks noChangeAspect="1"/>
                    </pic:cNvPicPr>
                  </pic:nvPicPr>
                  <pic:blipFill>
                    <a:blip r:embed="rId76"/>
                    <a:stretch>
                      <a:fillRect/>
                    </a:stretch>
                  </pic:blipFill>
                  <pic:spPr>
                    <a:xfrm>
                      <a:off x="0" y="0"/>
                      <a:ext cx="2066925" cy="523875"/>
                    </a:xfrm>
                    <a:prstGeom prst="rect">
                      <a:avLst/>
                    </a:prstGeom>
                    <a:noFill/>
                    <a:ln>
                      <a:noFill/>
                    </a:ln>
                  </pic:spPr>
                </pic:pic>
              </a:graphicData>
            </a:graphic>
          </wp:inline>
        </w:drawing>
      </w:r>
    </w:p>
    <w:p w14:paraId="4BE320EE">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fldChar w:fldCharType="begin"/>
      </w:r>
      <w:r>
        <w:rPr>
          <w:rFonts w:hint="default" w:ascii="Times New Roman" w:hAnsi="Times New Roman" w:eastAsia="宋体" w:cs="Times New Roman"/>
          <w:color w:val="auto"/>
          <w:u w:val="none" w:color="auto"/>
          <w:lang w:val="en-US" w:eastAsia="zh-CN"/>
        </w:rPr>
        <w:instrText xml:space="preserve"> = 4 \* GB3 </w:instrText>
      </w:r>
      <w:r>
        <w:rPr>
          <w:rFonts w:hint="default" w:ascii="Times New Roman" w:hAnsi="Times New Roman" w:eastAsia="宋体" w:cs="Times New Roman"/>
          <w:color w:val="auto"/>
          <w:u w:val="none" w:color="auto"/>
          <w:lang w:val="en-US" w:eastAsia="zh-CN"/>
        </w:rPr>
        <w:fldChar w:fldCharType="separate"/>
      </w:r>
      <w:r>
        <w:rPr>
          <w:rFonts w:hint="default" w:ascii="Times New Roman" w:hAnsi="Times New Roman" w:eastAsia="宋体" w:cs="Times New Roman"/>
          <w:color w:val="auto"/>
          <w:u w:val="none" w:color="auto"/>
          <w:lang w:val="en-US" w:eastAsia="zh-CN"/>
        </w:rPr>
        <w:t>④</w:t>
      </w:r>
      <w:r>
        <w:rPr>
          <w:rFonts w:hint="default" w:ascii="Times New Roman" w:hAnsi="Times New Roman" w:eastAsia="宋体" w:cs="Times New Roman"/>
          <w:color w:val="auto"/>
          <w:u w:val="none" w:color="auto"/>
          <w:lang w:val="en-US" w:eastAsia="zh-CN"/>
        </w:rPr>
        <w:fldChar w:fldCharType="end"/>
      </w:r>
      <w:r>
        <w:rPr>
          <w:rFonts w:hint="default" w:ascii="Times New Roman" w:hAnsi="Times New Roman" w:eastAsia="宋体" w:cs="Times New Roman"/>
          <w:color w:val="auto"/>
          <w:u w:val="none" w:color="auto"/>
          <w:lang w:val="en-US" w:eastAsia="zh-CN"/>
        </w:rPr>
        <w:t>预测模型构建</w:t>
      </w:r>
    </w:p>
    <w:p w14:paraId="10ADCBBD">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预测采用HYDRUS-1D软件进行预测，该软件为美国农业部盐田实验室创建的土壤物理模拟软件，可用于模拟与计算微观和宏观尺度上的饱和及非饱和介质中的水分运动、溶质运移、热量传输及根系吸水的一维运动。</w:t>
      </w:r>
    </w:p>
    <w:p w14:paraId="72F60737">
      <w:pPr>
        <w:pStyle w:val="50"/>
        <w:adjustRightInd/>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结合本项目环境现状调查，</w:t>
      </w:r>
      <w:r>
        <w:rPr>
          <w:rFonts w:hint="eastAsia" w:ascii="Times New Roman"/>
          <w:b w:val="0"/>
          <w:bCs w:val="0"/>
          <w:color w:val="auto"/>
          <w:sz w:val="24"/>
          <w:szCs w:val="24"/>
          <w:u w:val="none" w:color="auto"/>
        </w:rPr>
        <w:t>项目厂区</w:t>
      </w:r>
      <w:r>
        <w:rPr>
          <w:rFonts w:ascii="Times New Roman"/>
          <w:b w:val="0"/>
          <w:bCs w:val="0"/>
          <w:color w:val="auto"/>
          <w:sz w:val="24"/>
          <w:szCs w:val="24"/>
          <w:u w:val="none" w:color="auto"/>
        </w:rPr>
        <w:t>水位观测得地下水水位埋深为</w:t>
      </w:r>
      <w:r>
        <w:rPr>
          <w:rFonts w:hint="eastAsia" w:ascii="Times New Roman"/>
          <w:b w:val="0"/>
          <w:bCs w:val="0"/>
          <w:color w:val="auto"/>
          <w:sz w:val="24"/>
          <w:szCs w:val="24"/>
          <w:u w:val="none" w:color="auto"/>
        </w:rPr>
        <w:t>1.57</w:t>
      </w:r>
      <w:r>
        <w:rPr>
          <w:rFonts w:ascii="Times New Roman"/>
          <w:b w:val="0"/>
          <w:bCs w:val="0"/>
          <w:color w:val="auto"/>
          <w:sz w:val="24"/>
          <w:szCs w:val="24"/>
          <w:u w:val="none" w:color="auto"/>
        </w:rPr>
        <w:t>～</w:t>
      </w:r>
      <w:r>
        <w:rPr>
          <w:rFonts w:hint="eastAsia" w:ascii="Times New Roman"/>
          <w:b w:val="0"/>
          <w:bCs w:val="0"/>
          <w:color w:val="auto"/>
          <w:sz w:val="24"/>
          <w:szCs w:val="24"/>
          <w:u w:val="none" w:color="auto"/>
        </w:rPr>
        <w:t>2.25</w:t>
      </w:r>
      <w:r>
        <w:rPr>
          <w:rFonts w:ascii="Times New Roman"/>
          <w:b w:val="0"/>
          <w:bCs w:val="0"/>
          <w:color w:val="auto"/>
          <w:sz w:val="24"/>
          <w:szCs w:val="24"/>
          <w:u w:val="none" w:color="auto"/>
        </w:rPr>
        <w:t>m</w:t>
      </w:r>
      <w:r>
        <w:rPr>
          <w:rFonts w:hint="default" w:ascii="Times New Roman" w:hAnsi="Times New Roman" w:eastAsia="宋体" w:cs="Times New Roman"/>
          <w:color w:val="auto"/>
          <w:u w:val="none" w:color="auto"/>
          <w:lang w:val="en-US" w:eastAsia="zh-CN"/>
        </w:rPr>
        <w:t>，本次土壤预测模型选择</w:t>
      </w:r>
      <w:r>
        <w:rPr>
          <w:rFonts w:hint="eastAsia" w:ascii="Times New Roman" w:hAnsi="Times New Roman" w:eastAsia="宋体" w:cs="Times New Roman"/>
          <w:color w:val="auto"/>
          <w:u w:val="none" w:color="auto"/>
          <w:lang w:val="en-US" w:eastAsia="zh-CN"/>
        </w:rPr>
        <w:t>平均埋深</w:t>
      </w:r>
      <w:r>
        <w:rPr>
          <w:rFonts w:hint="default" w:ascii="Times New Roman" w:hAnsi="Times New Roman" w:eastAsia="宋体" w:cs="Times New Roman"/>
          <w:color w:val="auto"/>
          <w:u w:val="none" w:color="auto"/>
          <w:lang w:val="en-US" w:eastAsia="zh-CN"/>
        </w:rPr>
        <w:t>自地表向下</w:t>
      </w:r>
      <w:r>
        <w:rPr>
          <w:rFonts w:hint="eastAsia" w:ascii="Times New Roman" w:hAnsi="Times New Roman" w:eastAsia="宋体" w:cs="Times New Roman"/>
          <w:color w:val="auto"/>
          <w:u w:val="none" w:color="auto"/>
          <w:lang w:val="en-US" w:eastAsia="zh-CN"/>
        </w:rPr>
        <w:t>1.9</w:t>
      </w:r>
      <w:r>
        <w:rPr>
          <w:rFonts w:hint="default" w:ascii="Times New Roman" w:hAnsi="Times New Roman" w:eastAsia="宋体" w:cs="Times New Roman"/>
          <w:color w:val="auto"/>
          <w:u w:val="none" w:color="auto"/>
          <w:lang w:val="en-US" w:eastAsia="zh-CN"/>
        </w:rPr>
        <w:t>m进行模拟</w:t>
      </w:r>
      <w:r>
        <w:rPr>
          <w:rFonts w:hint="eastAsia" w:ascii="Times New Roman" w:hAnsi="Times New Roman"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本次设定模型运行时间为100d。</w:t>
      </w:r>
    </w:p>
    <w:p w14:paraId="0CFFD231">
      <w:pPr>
        <w:widowControl w:val="0"/>
        <w:adjustRightInd w:val="0"/>
        <w:ind w:firstLine="480"/>
        <w:jc w:val="left"/>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fldChar w:fldCharType="begin"/>
      </w:r>
      <w:r>
        <w:rPr>
          <w:rFonts w:hint="default" w:ascii="Times New Roman" w:hAnsi="Times New Roman" w:eastAsia="宋体" w:cs="Times New Roman"/>
          <w:color w:val="auto"/>
          <w:kern w:val="0"/>
          <w:sz w:val="24"/>
          <w:szCs w:val="24"/>
          <w:u w:val="none" w:color="auto"/>
          <w:lang w:val="en-US" w:eastAsia="zh-CN" w:bidi="ar-SA"/>
        </w:rPr>
        <w:instrText xml:space="preserve"> = 5 \* GB3 </w:instrText>
      </w:r>
      <w:r>
        <w:rPr>
          <w:rFonts w:hint="default" w:ascii="Times New Roman" w:hAnsi="Times New Roman" w:eastAsia="宋体" w:cs="Times New Roman"/>
          <w:color w:val="auto"/>
          <w:kern w:val="0"/>
          <w:sz w:val="24"/>
          <w:szCs w:val="24"/>
          <w:u w:val="none" w:color="auto"/>
          <w:lang w:val="en-US" w:eastAsia="zh-CN" w:bidi="ar-SA"/>
        </w:rPr>
        <w:fldChar w:fldCharType="separate"/>
      </w:r>
      <w:r>
        <w:rPr>
          <w:rFonts w:hint="default" w:ascii="Times New Roman" w:hAnsi="Times New Roman" w:eastAsia="宋体" w:cs="Times New Roman"/>
          <w:color w:val="auto"/>
          <w:kern w:val="0"/>
          <w:sz w:val="24"/>
          <w:szCs w:val="24"/>
          <w:u w:val="none" w:color="auto"/>
          <w:lang w:val="en-US" w:eastAsia="zh-CN" w:bidi="ar-SA"/>
        </w:rPr>
        <w:t>⑤</w:t>
      </w:r>
      <w:r>
        <w:rPr>
          <w:rFonts w:hint="default" w:ascii="Times New Roman" w:hAnsi="Times New Roman" w:eastAsia="宋体" w:cs="Times New Roman"/>
          <w:color w:val="auto"/>
          <w:kern w:val="0"/>
          <w:sz w:val="24"/>
          <w:szCs w:val="24"/>
          <w:u w:val="none" w:color="auto"/>
          <w:lang w:val="en-US" w:eastAsia="zh-CN" w:bidi="ar-SA"/>
        </w:rPr>
        <w:fldChar w:fldCharType="end"/>
      </w:r>
      <w:r>
        <w:rPr>
          <w:rFonts w:hint="eastAsia" w:ascii="Times New Roman" w:hAnsi="Times New Roman" w:eastAsia="宋体" w:cs="Times New Roman"/>
          <w:color w:val="auto"/>
          <w:kern w:val="0"/>
          <w:sz w:val="24"/>
          <w:szCs w:val="24"/>
          <w:u w:val="none" w:color="auto"/>
          <w:lang w:val="en-US" w:eastAsia="zh-CN" w:bidi="ar-SA"/>
        </w:rPr>
        <w:t>泄漏源强</w:t>
      </w:r>
    </w:p>
    <w:p w14:paraId="4A7EEEA0">
      <w:pPr>
        <w:pStyle w:val="50"/>
        <w:adjustRightInd/>
        <w:ind w:firstLine="480" w:firstLineChars="200"/>
        <w:rPr>
          <w:rFonts w:hint="default" w:ascii="Times New Roman" w:hAnsi="Times New Roman" w:eastAsia="宋体" w:cs="Times New Roman"/>
          <w:color w:val="auto"/>
          <w:u w:val="none" w:color="auto"/>
        </w:rPr>
      </w:pPr>
      <w:r>
        <w:rPr>
          <w:rFonts w:hint="eastAsia"/>
          <w:color w:val="auto"/>
          <w:u w:val="single" w:color="auto"/>
          <w:lang w:val="en-US" w:eastAsia="zh-CN"/>
        </w:rPr>
        <w:t>考虑聚氨酯面漆泄漏，</w:t>
      </w:r>
      <w:r>
        <w:rPr>
          <w:rFonts w:hint="default" w:ascii="Times New Roman" w:hAnsi="Times New Roman" w:eastAsia="宋体" w:cs="Times New Roman"/>
          <w:color w:val="auto"/>
          <w:u w:val="single" w:color="auto"/>
        </w:rPr>
        <w:t>泄漏初始浓度取</w:t>
      </w:r>
      <w:r>
        <w:rPr>
          <w:rFonts w:hint="eastAsia" w:ascii="Times New Roman" w:hAnsi="Times New Roman" w:eastAsia="宋体" w:cs="Times New Roman"/>
          <w:color w:val="auto"/>
          <w:u w:val="single" w:color="auto"/>
          <w:lang w:val="en-US" w:eastAsia="zh-CN"/>
        </w:rPr>
        <w:t>甲苯泄漏初始浓度为4263mg/L，</w:t>
      </w:r>
      <w:r>
        <w:rPr>
          <w:rFonts w:hint="eastAsia"/>
          <w:color w:val="auto"/>
          <w:u w:val="single" w:color="auto"/>
          <w:lang w:val="en-US" w:eastAsia="zh-CN"/>
        </w:rPr>
        <w:t>考虑稀释剂泄漏，</w:t>
      </w:r>
      <w:r>
        <w:rPr>
          <w:rFonts w:hint="eastAsia" w:ascii="Times New Roman" w:hAnsi="Times New Roman" w:eastAsia="宋体" w:cs="Times New Roman"/>
          <w:color w:val="auto"/>
          <w:u w:val="single" w:color="auto"/>
          <w:lang w:val="en-US" w:eastAsia="zh-CN"/>
        </w:rPr>
        <w:t>二甲苯泄漏初始浓度为440000mg/L</w:t>
      </w:r>
      <w:r>
        <w:rPr>
          <w:rFonts w:hint="default" w:ascii="Times New Roman" w:hAnsi="Times New Roman" w:eastAsia="宋体" w:cs="Times New Roman"/>
          <w:color w:val="auto"/>
          <w:u w:val="single" w:color="auto"/>
        </w:rPr>
        <w:t>。</w:t>
      </w:r>
    </w:p>
    <w:p w14:paraId="27F5CE43">
      <w:pPr>
        <w:pStyle w:val="50"/>
        <w:adjustRightInd/>
        <w:ind w:firstLine="480" w:firstLineChars="200"/>
        <w:rPr>
          <w:rFonts w:hint="default" w:ascii="Times New Roman" w:hAnsi="Times New Roman" w:eastAsia="宋体" w:cs="Times New Roman"/>
          <w:color w:val="auto"/>
          <w:u w:val="none" w:color="auto"/>
        </w:rPr>
      </w:pPr>
      <w:r>
        <w:rPr>
          <w:rFonts w:hint="eastAsia" w:ascii="Times New Roman" w:hAnsi="Times New Roman" w:cs="Times New Roman"/>
          <w:color w:val="auto"/>
          <w:u w:val="none" w:color="auto"/>
          <w:lang w:val="en-US" w:eastAsia="zh-CN"/>
        </w:rPr>
        <w:t>⑥</w:t>
      </w:r>
      <w:r>
        <w:rPr>
          <w:rFonts w:hint="default" w:ascii="Times New Roman" w:hAnsi="Times New Roman" w:eastAsia="宋体" w:cs="Times New Roman"/>
          <w:color w:val="auto"/>
          <w:u w:val="none" w:color="auto"/>
        </w:rPr>
        <w:t>边界条件</w:t>
      </w:r>
    </w:p>
    <w:p w14:paraId="68CE11B4">
      <w:pPr>
        <w:pStyle w:val="50"/>
        <w:adjustRightInd/>
        <w:ind w:firstLine="48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边界条件概化:水分运移的边界条件上边界设定为大气边界-可积水，下边界设定为自由排水；溶质运移的边界条件上边界设定为浓度通量边界，下边界设定为零浓度梯度边界。</w:t>
      </w:r>
    </w:p>
    <w:p w14:paraId="04A85F80">
      <w:pPr>
        <w:pStyle w:val="50"/>
        <w:adjustRightInd/>
        <w:ind w:firstLine="480" w:firstLineChars="200"/>
        <w:rPr>
          <w:rFonts w:hint="default" w:ascii="Times New Roman" w:hAnsi="Times New Roman" w:eastAsia="宋体" w:cs="Times New Roman"/>
          <w:color w:val="auto"/>
          <w:u w:val="none" w:color="auto"/>
        </w:rPr>
      </w:pPr>
      <w:r>
        <w:rPr>
          <w:rFonts w:hint="eastAsia" w:ascii="Times New Roman" w:hAnsi="Times New Roman" w:cs="Times New Roman"/>
          <w:color w:val="auto"/>
          <w:u w:val="none" w:color="auto"/>
          <w:lang w:val="en-US" w:eastAsia="zh-CN"/>
        </w:rPr>
        <w:t>⑦</w:t>
      </w:r>
      <w:r>
        <w:rPr>
          <w:rFonts w:hint="default" w:ascii="Times New Roman" w:hAnsi="Times New Roman" w:eastAsia="宋体" w:cs="Times New Roman"/>
          <w:color w:val="auto"/>
          <w:u w:val="none" w:color="auto"/>
        </w:rPr>
        <w:t>预测结果</w:t>
      </w:r>
    </w:p>
    <w:p w14:paraId="35DD8152">
      <w:pPr>
        <w:pStyle w:val="50"/>
        <w:adjustRightInd/>
        <w:ind w:firstLine="48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本次模型中未考虑污染物自身降解、滞留等作用。污染物在观测点的浓度随时间变化趋势和不同时刻的浓度-剖面深度变化曲线详见下图。</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7"/>
        <w:gridCol w:w="4325"/>
      </w:tblGrid>
      <w:tr w14:paraId="5233D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2" w:type="pct"/>
            <w:tcBorders>
              <w:top w:val="single" w:color="auto" w:sz="4" w:space="0"/>
              <w:left w:val="single" w:color="auto" w:sz="4" w:space="0"/>
              <w:bottom w:val="single" w:color="auto" w:sz="4" w:space="0"/>
              <w:right w:val="single" w:color="auto" w:sz="4" w:space="0"/>
            </w:tcBorders>
            <w:noWrap w:val="0"/>
            <w:vAlign w:val="center"/>
          </w:tcPr>
          <w:p w14:paraId="07EF3BDF">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color w:val="auto"/>
              </w:rPr>
              <w:drawing>
                <wp:inline distT="0" distB="0" distL="114300" distR="114300">
                  <wp:extent cx="2084705" cy="1489075"/>
                  <wp:effectExtent l="0" t="0" r="10795" b="15875"/>
                  <wp:docPr id="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
                          <pic:cNvPicPr>
                            <a:picLocks noChangeAspect="1"/>
                          </pic:cNvPicPr>
                        </pic:nvPicPr>
                        <pic:blipFill>
                          <a:blip r:embed="rId77"/>
                          <a:stretch>
                            <a:fillRect/>
                          </a:stretch>
                        </pic:blipFill>
                        <pic:spPr>
                          <a:xfrm>
                            <a:off x="0" y="0"/>
                            <a:ext cx="2084705" cy="1489075"/>
                          </a:xfrm>
                          <a:prstGeom prst="rect">
                            <a:avLst/>
                          </a:prstGeom>
                          <a:noFill/>
                          <a:ln>
                            <a:noFill/>
                          </a:ln>
                        </pic:spPr>
                      </pic:pic>
                    </a:graphicData>
                  </a:graphic>
                </wp:inline>
              </w:drawing>
            </w:r>
          </w:p>
        </w:tc>
        <w:tc>
          <w:tcPr>
            <w:tcW w:w="2537" w:type="pct"/>
            <w:tcBorders>
              <w:top w:val="single" w:color="auto" w:sz="4" w:space="0"/>
              <w:left w:val="single" w:color="auto" w:sz="4" w:space="0"/>
              <w:bottom w:val="single" w:color="auto" w:sz="4" w:space="0"/>
              <w:right w:val="single" w:color="auto" w:sz="4" w:space="0"/>
            </w:tcBorders>
            <w:noWrap w:val="0"/>
            <w:vAlign w:val="center"/>
          </w:tcPr>
          <w:p w14:paraId="793726F6">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color w:val="auto"/>
              </w:rPr>
              <w:drawing>
                <wp:inline distT="0" distB="0" distL="114300" distR="114300">
                  <wp:extent cx="2141855" cy="1526540"/>
                  <wp:effectExtent l="0" t="0" r="10795" b="16510"/>
                  <wp:docPr id="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
                          <pic:cNvPicPr>
                            <a:picLocks noChangeAspect="1"/>
                          </pic:cNvPicPr>
                        </pic:nvPicPr>
                        <pic:blipFill>
                          <a:blip r:embed="rId78"/>
                          <a:stretch>
                            <a:fillRect/>
                          </a:stretch>
                        </pic:blipFill>
                        <pic:spPr>
                          <a:xfrm>
                            <a:off x="0" y="0"/>
                            <a:ext cx="2141855" cy="1526540"/>
                          </a:xfrm>
                          <a:prstGeom prst="rect">
                            <a:avLst/>
                          </a:prstGeom>
                          <a:noFill/>
                          <a:ln>
                            <a:noFill/>
                          </a:ln>
                        </pic:spPr>
                      </pic:pic>
                    </a:graphicData>
                  </a:graphic>
                </wp:inline>
              </w:drawing>
            </w:r>
          </w:p>
        </w:tc>
      </w:tr>
      <w:tr w14:paraId="1EA8B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2" w:type="pct"/>
            <w:tcBorders>
              <w:top w:val="single" w:color="auto" w:sz="4" w:space="0"/>
              <w:left w:val="single" w:color="auto" w:sz="4" w:space="0"/>
              <w:bottom w:val="single" w:color="auto" w:sz="4" w:space="0"/>
              <w:right w:val="single" w:color="auto" w:sz="4" w:space="0"/>
            </w:tcBorders>
            <w:noWrap w:val="0"/>
            <w:vAlign w:val="center"/>
          </w:tcPr>
          <w:p w14:paraId="22DF876E">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rFonts w:hint="default" w:ascii="Times New Roman" w:hAnsi="Times New Roman" w:cs="Times New Roman"/>
                <w:color w:val="auto"/>
                <w:kern w:val="2"/>
                <w:sz w:val="21"/>
                <w:szCs w:val="24"/>
                <w:highlight w:val="none"/>
                <w:lang w:bidi="ar"/>
              </w:rPr>
              <w:t>图1</w:t>
            </w:r>
            <w:r>
              <w:rPr>
                <w:rFonts w:hint="eastAsia" w:ascii="Times New Roman" w:hAnsi="Times New Roman" w:cs="Times New Roman"/>
                <w:color w:val="auto"/>
                <w:kern w:val="2"/>
                <w:sz w:val="21"/>
                <w:szCs w:val="24"/>
                <w:highlight w:val="none"/>
                <w:lang w:val="en-US" w:eastAsia="zh-CN" w:bidi="ar"/>
              </w:rPr>
              <w:t>二甲苯</w:t>
            </w:r>
            <w:r>
              <w:rPr>
                <w:rFonts w:hint="default" w:ascii="Times New Roman" w:hAnsi="Times New Roman" w:cs="Times New Roman"/>
                <w:color w:val="auto"/>
                <w:sz w:val="21"/>
                <w:szCs w:val="21"/>
                <w:highlight w:val="none"/>
                <w:lang w:bidi="ar"/>
              </w:rPr>
              <w:t>的浓度</w:t>
            </w:r>
            <w:r>
              <w:rPr>
                <w:rFonts w:hint="default" w:ascii="Times New Roman" w:hAnsi="Times New Roman" w:eastAsia="TimesNewRomanPSMT" w:cs="Times New Roman"/>
                <w:color w:val="auto"/>
                <w:sz w:val="21"/>
                <w:szCs w:val="21"/>
                <w:highlight w:val="none"/>
                <w:lang w:bidi="ar"/>
              </w:rPr>
              <w:t>-</w:t>
            </w:r>
            <w:r>
              <w:rPr>
                <w:rFonts w:hint="default" w:ascii="Times New Roman" w:hAnsi="Times New Roman" w:cs="Times New Roman"/>
                <w:color w:val="auto"/>
                <w:sz w:val="21"/>
                <w:szCs w:val="21"/>
                <w:highlight w:val="none"/>
                <w:lang w:bidi="ar"/>
              </w:rPr>
              <w:t>时间变化曲线</w:t>
            </w:r>
          </w:p>
        </w:tc>
        <w:tc>
          <w:tcPr>
            <w:tcW w:w="2537" w:type="pct"/>
            <w:tcBorders>
              <w:top w:val="single" w:color="auto" w:sz="4" w:space="0"/>
              <w:left w:val="single" w:color="auto" w:sz="4" w:space="0"/>
              <w:bottom w:val="single" w:color="auto" w:sz="4" w:space="0"/>
              <w:right w:val="single" w:color="auto" w:sz="4" w:space="0"/>
            </w:tcBorders>
            <w:noWrap w:val="0"/>
            <w:vAlign w:val="center"/>
          </w:tcPr>
          <w:p w14:paraId="178126E8">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rFonts w:hint="default" w:ascii="Times New Roman" w:hAnsi="Times New Roman" w:cs="Times New Roman"/>
                <w:color w:val="auto"/>
                <w:kern w:val="2"/>
                <w:sz w:val="21"/>
                <w:szCs w:val="24"/>
                <w:highlight w:val="none"/>
                <w:lang w:bidi="ar"/>
              </w:rPr>
              <w:t>图2</w:t>
            </w:r>
            <w:r>
              <w:rPr>
                <w:rFonts w:hint="eastAsia" w:ascii="Times New Roman" w:hAnsi="Times New Roman" w:cs="Times New Roman"/>
                <w:color w:val="auto"/>
                <w:kern w:val="2"/>
                <w:sz w:val="21"/>
                <w:szCs w:val="24"/>
                <w:highlight w:val="none"/>
                <w:lang w:val="en-US" w:eastAsia="zh-CN" w:bidi="ar"/>
              </w:rPr>
              <w:t>二甲苯</w:t>
            </w:r>
            <w:r>
              <w:rPr>
                <w:rFonts w:hint="default" w:ascii="Times New Roman" w:hAnsi="Times New Roman" w:cs="Times New Roman"/>
                <w:color w:val="auto"/>
                <w:sz w:val="21"/>
                <w:szCs w:val="21"/>
                <w:highlight w:val="none"/>
                <w:lang w:bidi="ar"/>
              </w:rPr>
              <w:t>的浓度</w:t>
            </w:r>
            <w:r>
              <w:rPr>
                <w:rFonts w:hint="default" w:ascii="Times New Roman" w:hAnsi="Times New Roman" w:eastAsia="TimesNewRomanPSMT" w:cs="Times New Roman"/>
                <w:color w:val="auto"/>
                <w:sz w:val="21"/>
                <w:szCs w:val="21"/>
                <w:highlight w:val="none"/>
                <w:lang w:bidi="ar"/>
              </w:rPr>
              <w:t>-</w:t>
            </w:r>
            <w:r>
              <w:rPr>
                <w:rFonts w:hint="default" w:ascii="Times New Roman" w:hAnsi="Times New Roman" w:cs="Times New Roman"/>
                <w:color w:val="auto"/>
                <w:sz w:val="21"/>
                <w:szCs w:val="21"/>
                <w:highlight w:val="none"/>
                <w:lang w:bidi="ar"/>
              </w:rPr>
              <w:t>深度变化曲线</w:t>
            </w:r>
          </w:p>
        </w:tc>
      </w:tr>
      <w:tr w14:paraId="714FF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2" w:type="pct"/>
            <w:tcBorders>
              <w:top w:val="single" w:color="auto" w:sz="4" w:space="0"/>
              <w:left w:val="single" w:color="auto" w:sz="4" w:space="0"/>
              <w:bottom w:val="single" w:color="auto" w:sz="4" w:space="0"/>
              <w:right w:val="single" w:color="auto" w:sz="4" w:space="0"/>
            </w:tcBorders>
            <w:noWrap w:val="0"/>
            <w:vAlign w:val="center"/>
          </w:tcPr>
          <w:p w14:paraId="0F496EB6">
            <w:pPr>
              <w:widowControl w:val="0"/>
              <w:adjustRightInd w:val="0"/>
              <w:spacing w:line="240" w:lineRule="auto"/>
              <w:ind w:firstLine="0" w:firstLineChars="0"/>
              <w:rPr>
                <w:rFonts w:hint="default" w:ascii="Times New Roman" w:hAnsi="Times New Roman" w:cs="Times New Roman"/>
                <w:color w:val="auto"/>
                <w:szCs w:val="24"/>
                <w:highlight w:val="none"/>
              </w:rPr>
            </w:pPr>
            <w:r>
              <w:rPr>
                <w:color w:val="auto"/>
              </w:rPr>
              <w:drawing>
                <wp:inline distT="0" distB="0" distL="114300" distR="114300">
                  <wp:extent cx="2256155" cy="1637030"/>
                  <wp:effectExtent l="0" t="0" r="10795" b="1270"/>
                  <wp:docPr id="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
                          <pic:cNvPicPr>
                            <a:picLocks noChangeAspect="1"/>
                          </pic:cNvPicPr>
                        </pic:nvPicPr>
                        <pic:blipFill>
                          <a:blip r:embed="rId79"/>
                          <a:stretch>
                            <a:fillRect/>
                          </a:stretch>
                        </pic:blipFill>
                        <pic:spPr>
                          <a:xfrm>
                            <a:off x="0" y="0"/>
                            <a:ext cx="2256155" cy="1637030"/>
                          </a:xfrm>
                          <a:prstGeom prst="rect">
                            <a:avLst/>
                          </a:prstGeom>
                          <a:noFill/>
                          <a:ln>
                            <a:noFill/>
                          </a:ln>
                        </pic:spPr>
                      </pic:pic>
                    </a:graphicData>
                  </a:graphic>
                </wp:inline>
              </w:drawing>
            </w:r>
          </w:p>
        </w:tc>
        <w:tc>
          <w:tcPr>
            <w:tcW w:w="2537" w:type="pct"/>
            <w:tcBorders>
              <w:top w:val="single" w:color="auto" w:sz="4" w:space="0"/>
              <w:left w:val="single" w:color="auto" w:sz="4" w:space="0"/>
              <w:bottom w:val="single" w:color="auto" w:sz="4" w:space="0"/>
              <w:right w:val="single" w:color="auto" w:sz="4" w:space="0"/>
            </w:tcBorders>
            <w:noWrap w:val="0"/>
            <w:vAlign w:val="center"/>
          </w:tcPr>
          <w:p w14:paraId="6299EE4D">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color w:val="auto"/>
              </w:rPr>
              <w:drawing>
                <wp:inline distT="0" distB="0" distL="114300" distR="114300">
                  <wp:extent cx="2302510" cy="1643380"/>
                  <wp:effectExtent l="0" t="0" r="2540" b="13970"/>
                  <wp:docPr id="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
                          <pic:cNvPicPr>
                            <a:picLocks noChangeAspect="1"/>
                          </pic:cNvPicPr>
                        </pic:nvPicPr>
                        <pic:blipFill>
                          <a:blip r:embed="rId80"/>
                          <a:stretch>
                            <a:fillRect/>
                          </a:stretch>
                        </pic:blipFill>
                        <pic:spPr>
                          <a:xfrm>
                            <a:off x="0" y="0"/>
                            <a:ext cx="2302510" cy="1643380"/>
                          </a:xfrm>
                          <a:prstGeom prst="rect">
                            <a:avLst/>
                          </a:prstGeom>
                          <a:noFill/>
                          <a:ln>
                            <a:noFill/>
                          </a:ln>
                        </pic:spPr>
                      </pic:pic>
                    </a:graphicData>
                  </a:graphic>
                </wp:inline>
              </w:drawing>
            </w:r>
          </w:p>
        </w:tc>
      </w:tr>
      <w:tr w14:paraId="59184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2" w:type="pct"/>
            <w:tcBorders>
              <w:top w:val="single" w:color="auto" w:sz="4" w:space="0"/>
              <w:left w:val="single" w:color="auto" w:sz="4" w:space="0"/>
              <w:bottom w:val="single" w:color="auto" w:sz="4" w:space="0"/>
              <w:right w:val="single" w:color="auto" w:sz="4" w:space="0"/>
            </w:tcBorders>
            <w:noWrap w:val="0"/>
            <w:vAlign w:val="center"/>
          </w:tcPr>
          <w:p w14:paraId="735084E9">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rFonts w:hint="default" w:ascii="Times New Roman" w:hAnsi="Times New Roman" w:cs="Times New Roman"/>
                <w:color w:val="auto"/>
                <w:kern w:val="2"/>
                <w:sz w:val="21"/>
                <w:szCs w:val="24"/>
                <w:highlight w:val="none"/>
                <w:lang w:bidi="ar"/>
              </w:rPr>
              <w:t>图3</w:t>
            </w:r>
            <w:r>
              <w:rPr>
                <w:rFonts w:hint="eastAsia" w:ascii="Times New Roman" w:hAnsi="Times New Roman" w:cs="Times New Roman"/>
                <w:color w:val="auto"/>
                <w:kern w:val="2"/>
                <w:sz w:val="21"/>
                <w:szCs w:val="24"/>
                <w:highlight w:val="none"/>
                <w:lang w:val="en-US" w:eastAsia="zh-CN" w:bidi="ar"/>
              </w:rPr>
              <w:t>甲苯</w:t>
            </w:r>
            <w:r>
              <w:rPr>
                <w:rFonts w:hint="default" w:ascii="Times New Roman" w:hAnsi="Times New Roman" w:cs="Times New Roman"/>
                <w:color w:val="auto"/>
                <w:sz w:val="21"/>
                <w:szCs w:val="21"/>
                <w:highlight w:val="none"/>
                <w:lang w:bidi="ar"/>
              </w:rPr>
              <w:t>的浓度</w:t>
            </w:r>
            <w:r>
              <w:rPr>
                <w:rFonts w:hint="default" w:ascii="Times New Roman" w:hAnsi="Times New Roman" w:eastAsia="TimesNewRomanPSMT" w:cs="Times New Roman"/>
                <w:color w:val="auto"/>
                <w:sz w:val="21"/>
                <w:szCs w:val="21"/>
                <w:highlight w:val="none"/>
                <w:lang w:bidi="ar"/>
              </w:rPr>
              <w:t>-</w:t>
            </w:r>
            <w:r>
              <w:rPr>
                <w:rFonts w:hint="default" w:ascii="Times New Roman" w:hAnsi="Times New Roman" w:cs="Times New Roman"/>
                <w:color w:val="auto"/>
                <w:sz w:val="21"/>
                <w:szCs w:val="21"/>
                <w:highlight w:val="none"/>
                <w:lang w:bidi="ar"/>
              </w:rPr>
              <w:t>时间变化曲线</w:t>
            </w:r>
          </w:p>
        </w:tc>
        <w:tc>
          <w:tcPr>
            <w:tcW w:w="2537" w:type="pct"/>
            <w:tcBorders>
              <w:top w:val="single" w:color="auto" w:sz="4" w:space="0"/>
              <w:left w:val="single" w:color="auto" w:sz="4" w:space="0"/>
              <w:bottom w:val="single" w:color="auto" w:sz="4" w:space="0"/>
              <w:right w:val="single" w:color="auto" w:sz="4" w:space="0"/>
            </w:tcBorders>
            <w:noWrap w:val="0"/>
            <w:vAlign w:val="center"/>
          </w:tcPr>
          <w:p w14:paraId="3C4493FA">
            <w:pPr>
              <w:widowControl w:val="0"/>
              <w:adjustRightInd w:val="0"/>
              <w:spacing w:line="240" w:lineRule="auto"/>
              <w:ind w:firstLine="0" w:firstLineChars="0"/>
              <w:jc w:val="center"/>
              <w:rPr>
                <w:rFonts w:hint="default" w:ascii="Times New Roman" w:hAnsi="Times New Roman" w:cs="Times New Roman"/>
                <w:color w:val="auto"/>
                <w:szCs w:val="24"/>
                <w:highlight w:val="none"/>
              </w:rPr>
            </w:pPr>
            <w:r>
              <w:rPr>
                <w:rFonts w:hint="default" w:ascii="Times New Roman" w:hAnsi="Times New Roman" w:cs="Times New Roman"/>
                <w:color w:val="auto"/>
                <w:kern w:val="2"/>
                <w:sz w:val="21"/>
                <w:szCs w:val="24"/>
                <w:highlight w:val="none"/>
                <w:lang w:bidi="ar"/>
              </w:rPr>
              <w:t>图4</w:t>
            </w:r>
            <w:r>
              <w:rPr>
                <w:rFonts w:hint="eastAsia" w:ascii="Times New Roman" w:hAnsi="Times New Roman" w:cs="Times New Roman"/>
                <w:color w:val="auto"/>
                <w:kern w:val="2"/>
                <w:sz w:val="21"/>
                <w:szCs w:val="24"/>
                <w:highlight w:val="none"/>
                <w:lang w:val="en-US" w:eastAsia="zh-CN" w:bidi="ar"/>
              </w:rPr>
              <w:t>甲苯</w:t>
            </w:r>
            <w:r>
              <w:rPr>
                <w:rFonts w:hint="default" w:ascii="Times New Roman" w:hAnsi="Times New Roman" w:cs="Times New Roman"/>
                <w:color w:val="auto"/>
                <w:sz w:val="21"/>
                <w:szCs w:val="21"/>
                <w:highlight w:val="none"/>
                <w:lang w:bidi="ar"/>
              </w:rPr>
              <w:t>的浓度</w:t>
            </w:r>
            <w:r>
              <w:rPr>
                <w:rFonts w:hint="default" w:ascii="Times New Roman" w:hAnsi="Times New Roman" w:eastAsia="TimesNewRomanPSMT" w:cs="Times New Roman"/>
                <w:color w:val="auto"/>
                <w:sz w:val="21"/>
                <w:szCs w:val="21"/>
                <w:highlight w:val="none"/>
                <w:lang w:bidi="ar"/>
              </w:rPr>
              <w:t>-</w:t>
            </w:r>
            <w:r>
              <w:rPr>
                <w:rFonts w:hint="default" w:ascii="Times New Roman" w:hAnsi="Times New Roman" w:cs="Times New Roman"/>
                <w:color w:val="auto"/>
                <w:sz w:val="21"/>
                <w:szCs w:val="21"/>
                <w:highlight w:val="none"/>
                <w:lang w:bidi="ar"/>
              </w:rPr>
              <w:t>深度变化曲线</w:t>
            </w:r>
          </w:p>
        </w:tc>
      </w:tr>
    </w:tbl>
    <w:p w14:paraId="08AF6906">
      <w:pPr>
        <w:pStyle w:val="50"/>
        <w:adjustRightInd/>
        <w:ind w:firstLine="48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由上图可知，在发生事故泄露后，</w:t>
      </w:r>
      <w:r>
        <w:rPr>
          <w:rFonts w:hint="eastAsia" w:ascii="Times New Roman" w:hAnsi="Times New Roman" w:cs="Times New Roman"/>
          <w:color w:val="auto"/>
          <w:u w:val="none" w:color="auto"/>
          <w:lang w:val="en-US" w:eastAsia="zh-CN"/>
        </w:rPr>
        <w:t>二甲苯</w:t>
      </w:r>
      <w:r>
        <w:rPr>
          <w:rFonts w:hint="default" w:ascii="Times New Roman" w:hAnsi="Times New Roman" w:eastAsia="宋体" w:cs="Times New Roman"/>
          <w:color w:val="auto"/>
          <w:u w:val="none" w:color="auto"/>
        </w:rPr>
        <w:t>短期内对表层土壤的影响最为严重，发生泄露事故约</w:t>
      </w:r>
      <w:r>
        <w:rPr>
          <w:rFonts w:hint="eastAsia" w:ascii="Times New Roman" w:hAnsi="Times New Roman" w:cs="Times New Roman"/>
          <w:color w:val="auto"/>
          <w:u w:val="none" w:color="auto"/>
          <w:lang w:val="en-US" w:eastAsia="zh-CN"/>
        </w:rPr>
        <w:t>20</w:t>
      </w:r>
      <w:r>
        <w:rPr>
          <w:rFonts w:hint="default" w:ascii="Times New Roman" w:hAnsi="Times New Roman" w:eastAsia="宋体" w:cs="Times New Roman"/>
          <w:color w:val="auto"/>
          <w:u w:val="none" w:color="auto"/>
        </w:rPr>
        <w:t>天后，污染物将迁移至-</w:t>
      </w:r>
      <w:r>
        <w:rPr>
          <w:rFonts w:hint="eastAsia" w:ascii="Times New Roman" w:hAnsi="Times New Roman" w:cs="Times New Roman"/>
          <w:color w:val="auto"/>
          <w:u w:val="none" w:color="auto"/>
          <w:lang w:val="en-US" w:eastAsia="zh-CN"/>
        </w:rPr>
        <w:t>190</w:t>
      </w:r>
      <w:r>
        <w:rPr>
          <w:rFonts w:hint="default" w:ascii="Times New Roman" w:hAnsi="Times New Roman" w:eastAsia="宋体" w:cs="Times New Roman"/>
          <w:color w:val="auto"/>
          <w:u w:val="none" w:color="auto"/>
        </w:rPr>
        <w:t>cm处，发生泄露事故的时间越久，污染物向土壤下方运移越深。因此，一旦发生泄露事故，将会对泄露点下方土壤造成一定污染。根据图，预测范围和预测时间内土壤中</w:t>
      </w:r>
      <w:r>
        <w:rPr>
          <w:rFonts w:hint="eastAsia" w:ascii="Times New Roman" w:hAnsi="Times New Roman" w:cs="Times New Roman"/>
          <w:color w:val="auto"/>
          <w:u w:val="none" w:color="auto"/>
          <w:lang w:val="en-US" w:eastAsia="zh-CN"/>
        </w:rPr>
        <w:t>二甲苯</w:t>
      </w:r>
      <w:r>
        <w:rPr>
          <w:rFonts w:hint="default" w:ascii="Times New Roman" w:hAnsi="Times New Roman" w:eastAsia="宋体" w:cs="Times New Roman"/>
          <w:color w:val="auto"/>
          <w:u w:val="none" w:color="auto"/>
        </w:rPr>
        <w:t>浓度最大为</w:t>
      </w:r>
      <w:r>
        <w:rPr>
          <w:rFonts w:hint="eastAsia" w:ascii="Times New Roman" w:hAnsi="Times New Roman" w:cs="Times New Roman"/>
          <w:color w:val="auto"/>
          <w:u w:val="none" w:color="auto"/>
          <w:lang w:val="en-US" w:eastAsia="zh-CN"/>
        </w:rPr>
        <w:t>44</w:t>
      </w:r>
      <w:r>
        <w:rPr>
          <w:rFonts w:hint="default" w:ascii="Times New Roman" w:hAnsi="Times New Roman" w:eastAsia="宋体" w:cs="Times New Roman"/>
          <w:color w:val="auto"/>
          <w:u w:val="none" w:color="auto"/>
        </w:rPr>
        <w:t>0g/L，</w:t>
      </w:r>
      <w:r>
        <w:rPr>
          <w:rFonts w:hint="eastAsia" w:ascii="Times New Roman" w:hAnsi="Times New Roman" w:cs="Times New Roman"/>
          <w:color w:val="auto"/>
          <w:u w:val="single" w:color="auto"/>
          <w:lang w:val="en-US" w:eastAsia="zh-CN"/>
        </w:rPr>
        <w:t>根据</w:t>
      </w:r>
      <w:r>
        <w:rPr>
          <w:rFonts w:hint="default" w:ascii="Times New Roman" w:hAnsi="Times New Roman" w:eastAsia="宋体" w:cs="Times New Roman"/>
          <w:color w:val="auto"/>
          <w:u w:val="single" w:color="auto"/>
          <w:lang w:val="en-US" w:eastAsia="zh-CN"/>
        </w:rPr>
        <w:t>HYDRUS-1D软件</w:t>
      </w:r>
      <w:r>
        <w:rPr>
          <w:rFonts w:hint="eastAsia" w:ascii="Times New Roman" w:hAnsi="Times New Roman" w:cs="Times New Roman"/>
          <w:color w:val="auto"/>
          <w:u w:val="single" w:color="auto"/>
          <w:lang w:val="en-US" w:eastAsia="zh-CN"/>
        </w:rPr>
        <w:t>里面的参数，</w:t>
      </w:r>
      <w:r>
        <w:rPr>
          <w:rFonts w:hint="default" w:ascii="Times New Roman" w:hAnsi="Times New Roman" w:eastAsia="宋体" w:cs="Times New Roman"/>
          <w:color w:val="auto"/>
          <w:u w:val="single" w:color="auto"/>
        </w:rPr>
        <w:t>土壤含水率按0.46，容重按1.51g/cm</w:t>
      </w:r>
      <w:r>
        <w:rPr>
          <w:rFonts w:hint="default" w:ascii="Times New Roman" w:hAnsi="Times New Roman" w:eastAsia="宋体" w:cs="Times New Roman"/>
          <w:color w:val="auto"/>
          <w:u w:val="single" w:color="auto"/>
          <w:vertAlign w:val="superscript"/>
        </w:rPr>
        <w:t>3</w:t>
      </w:r>
      <w:r>
        <w:rPr>
          <w:rFonts w:hint="default" w:ascii="Times New Roman" w:hAnsi="Times New Roman" w:eastAsia="宋体" w:cs="Times New Roman"/>
          <w:color w:val="auto"/>
          <w:u w:val="single" w:color="auto"/>
        </w:rPr>
        <w:t>计算，</w:t>
      </w:r>
      <w:r>
        <w:rPr>
          <w:rFonts w:hint="default" w:ascii="Times New Roman" w:hAnsi="Times New Roman" w:eastAsia="宋体" w:cs="Times New Roman"/>
          <w:color w:val="auto"/>
          <w:u w:val="none" w:color="auto"/>
        </w:rPr>
        <w:t>则发生事故泄露后土壤中</w:t>
      </w:r>
      <w:r>
        <w:rPr>
          <w:rFonts w:hint="eastAsia" w:ascii="Times New Roman" w:hAnsi="Times New Roman" w:cs="Times New Roman"/>
          <w:color w:val="auto"/>
          <w:u w:val="none" w:color="auto"/>
          <w:lang w:val="en-US" w:eastAsia="zh-CN"/>
        </w:rPr>
        <w:t>二甲苯</w:t>
      </w:r>
      <w:r>
        <w:rPr>
          <w:rFonts w:hint="default" w:ascii="Times New Roman" w:hAnsi="Times New Roman" w:eastAsia="宋体" w:cs="Times New Roman"/>
          <w:color w:val="auto"/>
          <w:u w:val="none" w:color="auto"/>
        </w:rPr>
        <w:t>最大量为</w:t>
      </w:r>
      <w:r>
        <w:rPr>
          <w:rFonts w:hint="eastAsia" w:ascii="Times New Roman" w:hAnsi="Times New Roman" w:cs="Times New Roman"/>
          <w:color w:val="auto"/>
          <w:u w:val="none" w:color="auto"/>
          <w:lang w:val="en-US" w:eastAsia="zh-CN"/>
        </w:rPr>
        <w:t>134040</w:t>
      </w:r>
      <w:r>
        <w:rPr>
          <w:rFonts w:hint="default" w:ascii="Times New Roman" w:hAnsi="Times New Roman" w:eastAsia="宋体" w:cs="Times New Roman"/>
          <w:color w:val="auto"/>
          <w:u w:val="none" w:color="auto"/>
        </w:rPr>
        <w:t>mg/kg，</w:t>
      </w:r>
      <w:r>
        <w:rPr>
          <w:rFonts w:hint="eastAsia" w:ascii="Times New Roman" w:hAnsi="Times New Roman" w:cs="Times New Roman"/>
          <w:color w:val="auto"/>
          <w:u w:val="none" w:color="auto"/>
          <w:lang w:val="en-US" w:eastAsia="zh-CN"/>
        </w:rPr>
        <w:t>超过</w:t>
      </w:r>
      <w:r>
        <w:rPr>
          <w:rFonts w:hint="default" w:ascii="Times New Roman" w:hAnsi="Times New Roman" w:eastAsia="宋体" w:cs="Times New Roman"/>
          <w:color w:val="auto"/>
          <w:u w:val="none" w:color="auto"/>
        </w:rPr>
        <w:t>《土壤环境质量 建设用地土壤污染风险管控标准（试行）（GB36600-2018）》中第二类用地</w:t>
      </w:r>
      <w:r>
        <w:rPr>
          <w:rFonts w:hint="eastAsia" w:ascii="Times New Roman" w:hAnsi="Times New Roman" w:cs="Times New Roman"/>
          <w:color w:val="auto"/>
          <w:u w:val="none" w:color="auto"/>
          <w:lang w:val="en-US" w:eastAsia="zh-CN"/>
        </w:rPr>
        <w:t>管控</w:t>
      </w:r>
      <w:r>
        <w:rPr>
          <w:rFonts w:hint="default" w:ascii="Times New Roman" w:hAnsi="Times New Roman" w:eastAsia="宋体" w:cs="Times New Roman"/>
          <w:color w:val="auto"/>
          <w:u w:val="none" w:color="auto"/>
        </w:rPr>
        <w:t>值要求。对土壤环境的污染防治措施，重在预防保护，建设单位在运营期应加强对生产车间、</w:t>
      </w:r>
      <w:r>
        <w:rPr>
          <w:rFonts w:hint="eastAsia" w:ascii="Times New Roman" w:hAnsi="Times New Roman" w:cs="Times New Roman"/>
          <w:color w:val="auto"/>
          <w:u w:val="none" w:color="auto"/>
          <w:lang w:val="en-US" w:eastAsia="zh-CN"/>
        </w:rPr>
        <w:t>危废暂存间</w:t>
      </w:r>
      <w:r>
        <w:rPr>
          <w:rFonts w:hint="default" w:ascii="Times New Roman" w:hAnsi="Times New Roman" w:eastAsia="宋体" w:cs="Times New Roman"/>
          <w:color w:val="auto"/>
          <w:u w:val="none" w:color="auto"/>
        </w:rPr>
        <w:t>等防渗层的维护保养，加强巡逻，确保及时发现事故隐患，降低潜在危险性。</w:t>
      </w:r>
    </w:p>
    <w:p w14:paraId="125F98D9">
      <w:pPr>
        <w:pStyle w:val="50"/>
        <w:adjustRightInd/>
        <w:ind w:firstLine="48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由上图可知，在发生事故泄露后，</w:t>
      </w:r>
      <w:r>
        <w:rPr>
          <w:rFonts w:hint="eastAsia" w:ascii="Times New Roman" w:hAnsi="Times New Roman" w:cs="Times New Roman"/>
          <w:color w:val="auto"/>
          <w:u w:val="none" w:color="auto"/>
          <w:lang w:val="en-US" w:eastAsia="zh-CN"/>
        </w:rPr>
        <w:t>甲苯</w:t>
      </w:r>
      <w:r>
        <w:rPr>
          <w:rFonts w:hint="default" w:ascii="Times New Roman" w:hAnsi="Times New Roman" w:eastAsia="宋体" w:cs="Times New Roman"/>
          <w:color w:val="auto"/>
          <w:u w:val="none" w:color="auto"/>
        </w:rPr>
        <w:t>短期内对表层土壤的影响最为严重，发生泄露事故约</w:t>
      </w:r>
      <w:r>
        <w:rPr>
          <w:rFonts w:hint="eastAsia" w:ascii="Times New Roman" w:hAnsi="Times New Roman" w:cs="Times New Roman"/>
          <w:color w:val="auto"/>
          <w:u w:val="none" w:color="auto"/>
          <w:lang w:val="en-US" w:eastAsia="zh-CN"/>
        </w:rPr>
        <w:t>20</w:t>
      </w:r>
      <w:r>
        <w:rPr>
          <w:rFonts w:hint="default" w:ascii="Times New Roman" w:hAnsi="Times New Roman" w:eastAsia="宋体" w:cs="Times New Roman"/>
          <w:color w:val="auto"/>
          <w:u w:val="none" w:color="auto"/>
        </w:rPr>
        <w:t>天后，污染物将迁移至-</w:t>
      </w:r>
      <w:r>
        <w:rPr>
          <w:rFonts w:hint="eastAsia" w:ascii="Times New Roman" w:hAnsi="Times New Roman" w:cs="Times New Roman"/>
          <w:color w:val="auto"/>
          <w:u w:val="none" w:color="auto"/>
          <w:lang w:val="en-US" w:eastAsia="zh-CN"/>
        </w:rPr>
        <w:t>190</w:t>
      </w:r>
      <w:r>
        <w:rPr>
          <w:rFonts w:hint="default" w:ascii="Times New Roman" w:hAnsi="Times New Roman" w:eastAsia="宋体" w:cs="Times New Roman"/>
          <w:color w:val="auto"/>
          <w:u w:val="none" w:color="auto"/>
        </w:rPr>
        <w:t>cm处，发生泄露事故的时间越久，污染物向土壤下方运移越深。因此，一旦发生泄露事故，将会对泄露点下方土壤造成一定污染。根据图，预测范围和预测时间内土壤中</w:t>
      </w:r>
      <w:r>
        <w:rPr>
          <w:rFonts w:hint="eastAsia" w:ascii="Times New Roman" w:hAnsi="Times New Roman" w:cs="Times New Roman"/>
          <w:color w:val="auto"/>
          <w:u w:val="none" w:color="auto"/>
          <w:lang w:val="en-US" w:eastAsia="zh-CN"/>
        </w:rPr>
        <w:t>甲苯</w:t>
      </w:r>
      <w:r>
        <w:rPr>
          <w:rFonts w:hint="default" w:ascii="Times New Roman" w:hAnsi="Times New Roman" w:eastAsia="宋体" w:cs="Times New Roman"/>
          <w:color w:val="auto"/>
          <w:u w:val="none" w:color="auto"/>
        </w:rPr>
        <w:t>浓度最大为</w:t>
      </w:r>
      <w:r>
        <w:rPr>
          <w:rFonts w:hint="eastAsia" w:ascii="Times New Roman" w:hAnsi="Times New Roman" w:cs="Times New Roman"/>
          <w:color w:val="auto"/>
          <w:u w:val="none" w:color="auto"/>
          <w:lang w:val="en-US" w:eastAsia="zh-CN"/>
        </w:rPr>
        <w:t>4.263</w:t>
      </w:r>
      <w:r>
        <w:rPr>
          <w:rFonts w:hint="default" w:ascii="Times New Roman" w:hAnsi="Times New Roman" w:eastAsia="宋体" w:cs="Times New Roman"/>
          <w:color w:val="auto"/>
          <w:u w:val="none" w:color="auto"/>
        </w:rPr>
        <w:t>g/L，</w:t>
      </w:r>
      <w:r>
        <w:rPr>
          <w:rFonts w:hint="eastAsia" w:ascii="Times New Roman" w:hAnsi="Times New Roman" w:cs="Times New Roman"/>
          <w:color w:val="auto"/>
          <w:u w:val="single" w:color="auto"/>
          <w:lang w:val="en-US" w:eastAsia="zh-CN"/>
        </w:rPr>
        <w:t>根据</w:t>
      </w:r>
      <w:r>
        <w:rPr>
          <w:rFonts w:hint="default" w:ascii="Times New Roman" w:hAnsi="Times New Roman" w:eastAsia="宋体" w:cs="Times New Roman"/>
          <w:color w:val="auto"/>
          <w:u w:val="single" w:color="auto"/>
          <w:lang w:val="en-US" w:eastAsia="zh-CN"/>
        </w:rPr>
        <w:t>HYDRUS-1D软件</w:t>
      </w:r>
      <w:r>
        <w:rPr>
          <w:rFonts w:hint="eastAsia" w:ascii="Times New Roman" w:hAnsi="Times New Roman" w:cs="Times New Roman"/>
          <w:color w:val="auto"/>
          <w:u w:val="single" w:color="auto"/>
          <w:lang w:val="en-US" w:eastAsia="zh-CN"/>
        </w:rPr>
        <w:t>里面的参数，</w:t>
      </w:r>
      <w:r>
        <w:rPr>
          <w:rFonts w:hint="default" w:ascii="Times New Roman" w:hAnsi="Times New Roman" w:eastAsia="宋体" w:cs="Times New Roman"/>
          <w:color w:val="auto"/>
          <w:u w:val="single" w:color="auto"/>
        </w:rPr>
        <w:t>土壤含水率按0.46，容重按1.51g/cm</w:t>
      </w:r>
      <w:r>
        <w:rPr>
          <w:rFonts w:hint="default" w:ascii="Times New Roman" w:hAnsi="Times New Roman" w:eastAsia="宋体" w:cs="Times New Roman"/>
          <w:color w:val="auto"/>
          <w:u w:val="single" w:color="auto"/>
          <w:vertAlign w:val="superscript"/>
        </w:rPr>
        <w:t>3</w:t>
      </w:r>
      <w:r>
        <w:rPr>
          <w:rFonts w:hint="default" w:ascii="Times New Roman" w:hAnsi="Times New Roman" w:eastAsia="宋体" w:cs="Times New Roman"/>
          <w:color w:val="auto"/>
          <w:u w:val="single" w:color="auto"/>
        </w:rPr>
        <w:t>计算，</w:t>
      </w:r>
      <w:r>
        <w:rPr>
          <w:rFonts w:hint="default" w:ascii="Times New Roman" w:hAnsi="Times New Roman" w:eastAsia="宋体" w:cs="Times New Roman"/>
          <w:color w:val="auto"/>
          <w:u w:val="none" w:color="auto"/>
        </w:rPr>
        <w:t>则发生事故泄露后土壤中</w:t>
      </w:r>
      <w:r>
        <w:rPr>
          <w:rFonts w:hint="eastAsia" w:ascii="Times New Roman" w:hAnsi="Times New Roman" w:cs="Times New Roman"/>
          <w:color w:val="auto"/>
          <w:u w:val="none" w:color="auto"/>
          <w:lang w:val="en-US" w:eastAsia="zh-CN"/>
        </w:rPr>
        <w:t>甲苯</w:t>
      </w:r>
      <w:r>
        <w:rPr>
          <w:rFonts w:hint="default" w:ascii="Times New Roman" w:hAnsi="Times New Roman" w:eastAsia="宋体" w:cs="Times New Roman"/>
          <w:color w:val="auto"/>
          <w:u w:val="none" w:color="auto"/>
        </w:rPr>
        <w:t>最大量为</w:t>
      </w:r>
      <w:r>
        <w:rPr>
          <w:rFonts w:hint="eastAsia" w:ascii="Times New Roman" w:hAnsi="Times New Roman" w:cs="Times New Roman"/>
          <w:color w:val="auto"/>
          <w:u w:val="none" w:color="auto"/>
          <w:lang w:val="en-US" w:eastAsia="zh-CN"/>
        </w:rPr>
        <w:t>1299</w:t>
      </w:r>
      <w:r>
        <w:rPr>
          <w:rFonts w:hint="default" w:ascii="Times New Roman" w:hAnsi="Times New Roman" w:eastAsia="宋体" w:cs="Times New Roman"/>
          <w:color w:val="auto"/>
          <w:u w:val="none" w:color="auto"/>
        </w:rPr>
        <w:t>mg/kg，</w:t>
      </w:r>
      <w:r>
        <w:rPr>
          <w:rFonts w:hint="eastAsia" w:ascii="Times New Roman" w:hAnsi="Times New Roman" w:cs="Times New Roman"/>
          <w:color w:val="auto"/>
          <w:u w:val="none" w:color="auto"/>
          <w:lang w:val="en-US" w:eastAsia="zh-CN"/>
        </w:rPr>
        <w:t>超过</w:t>
      </w:r>
      <w:r>
        <w:rPr>
          <w:rFonts w:hint="default" w:ascii="Times New Roman" w:hAnsi="Times New Roman" w:eastAsia="宋体" w:cs="Times New Roman"/>
          <w:color w:val="auto"/>
          <w:u w:val="none" w:color="auto"/>
        </w:rPr>
        <w:t>《土壤环境质量 建设用地土壤污染风险管控标准（试行）（GB36600-2018）》中第二类用地</w:t>
      </w:r>
      <w:r>
        <w:rPr>
          <w:rFonts w:hint="eastAsia" w:ascii="Times New Roman" w:hAnsi="Times New Roman" w:cs="Times New Roman"/>
          <w:color w:val="auto"/>
          <w:u w:val="none" w:color="auto"/>
          <w:lang w:val="en-US" w:eastAsia="zh-CN"/>
        </w:rPr>
        <w:t>管控</w:t>
      </w:r>
      <w:r>
        <w:rPr>
          <w:rFonts w:hint="default" w:ascii="Times New Roman" w:hAnsi="Times New Roman" w:eastAsia="宋体" w:cs="Times New Roman"/>
          <w:color w:val="auto"/>
          <w:u w:val="none" w:color="auto"/>
        </w:rPr>
        <w:t>值要求。对土壤环境的污染防治措施，重在预防保护，建设单位在运营期应加强对生产车间、</w:t>
      </w:r>
      <w:r>
        <w:rPr>
          <w:rFonts w:hint="eastAsia" w:ascii="Times New Roman" w:hAnsi="Times New Roman" w:cs="Times New Roman"/>
          <w:color w:val="auto"/>
          <w:u w:val="none" w:color="auto"/>
          <w:lang w:val="en-US" w:eastAsia="zh-CN"/>
        </w:rPr>
        <w:t>危废暂存间</w:t>
      </w:r>
      <w:r>
        <w:rPr>
          <w:rFonts w:hint="default" w:ascii="Times New Roman" w:hAnsi="Times New Roman" w:eastAsia="宋体" w:cs="Times New Roman"/>
          <w:color w:val="auto"/>
          <w:u w:val="none" w:color="auto"/>
        </w:rPr>
        <w:t>等防渗层的维护保养，加强巡逻，确保及时发现事故隐患，降低潜在危险性。</w:t>
      </w:r>
    </w:p>
    <w:p w14:paraId="1E1D43CA">
      <w:pPr>
        <w:pStyle w:val="50"/>
        <w:adjustRightInd/>
        <w:ind w:firstLine="480" w:firstLineChars="200"/>
        <w:rPr>
          <w:rFonts w:hint="eastAsia" w:ascii="Times New Roman" w:hAnsi="Times New Roman" w:cs="Times New Roman"/>
          <w:color w:val="auto"/>
          <w:u w:val="none" w:color="auto"/>
        </w:rPr>
      </w:pPr>
      <w:r>
        <w:rPr>
          <w:rFonts w:hint="default" w:ascii="Times New Roman" w:hAnsi="Times New Roman" w:eastAsia="宋体" w:cs="Times New Roman"/>
          <w:color w:val="auto"/>
          <w:u w:val="none" w:color="auto"/>
        </w:rPr>
        <w:t>为了避免产生土壤污染影响，本项目应落实项目区域尤其是厂房、危废暂存间等区域的防渗、防漏措施，避免地面开裂渗漏时发生的土壤环境事故。</w:t>
      </w:r>
    </w:p>
    <w:p w14:paraId="05EE5B01">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（2）大气沉降环境影响分析</w:t>
      </w:r>
    </w:p>
    <w:p w14:paraId="6C3D6921">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本项目属于污染型建设项目，土壤评价工作等级为二级，采用《环境影响评价技术导则 土壤环境（试行）》（HJ964 -2018）中附录 E 推荐使用的预测方法。 </w:t>
      </w:r>
    </w:p>
    <w:p w14:paraId="3CA327E3">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单位质量土壤中某种物质的增量可用下式计算： </w:t>
      </w:r>
    </w:p>
    <w:p w14:paraId="621735EA">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ΔS=n（IS - LS - RS）/（ρb*A*D） </w:t>
      </w:r>
    </w:p>
    <w:p w14:paraId="680BA627">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式中： </w:t>
      </w:r>
    </w:p>
    <w:p w14:paraId="4093571A">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ΔS——单位质量表层土壤中某种物质的增量，g/kg； </w:t>
      </w:r>
    </w:p>
    <w:p w14:paraId="2960EC37">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IS ——预测评价范围内单位年份表层土壤中某种物质的输入量，g； </w:t>
      </w:r>
    </w:p>
    <w:p w14:paraId="3B5422A5">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LS——预测评价范围内单位年份表层土壤中某种物质经淋溶排出的量，g； </w:t>
      </w:r>
    </w:p>
    <w:p w14:paraId="5A6C10DB">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RS——预测评价范围内单位年份表层土壤中某种物质经径流排出的量，g； </w:t>
      </w:r>
    </w:p>
    <w:p w14:paraId="1DE4B698">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ρb——表层土壤容重（kg/m</w:t>
      </w:r>
      <w:r>
        <w:rPr>
          <w:rFonts w:ascii="Times New Roman" w:hAnsi="Times New Roman" w:cs="Times New Roman"/>
          <w:color w:val="auto"/>
          <w:u w:val="none" w:color="auto"/>
          <w:vertAlign w:val="superscript"/>
        </w:rPr>
        <w:t>3</w:t>
      </w:r>
      <w:r>
        <w:rPr>
          <w:rFonts w:ascii="Times New Roman" w:hAnsi="Times New Roman" w:cs="Times New Roman"/>
          <w:color w:val="auto"/>
          <w:u w:val="none" w:color="auto"/>
        </w:rPr>
        <w:t>），</w:t>
      </w:r>
      <w:r>
        <w:rPr>
          <w:rFonts w:hint="eastAsia" w:ascii="Times New Roman" w:hAnsi="Times New Roman" w:cs="Times New Roman"/>
          <w:color w:val="auto"/>
          <w:u w:val="none" w:color="auto"/>
          <w:lang w:val="en-US" w:eastAsia="zh-CN"/>
        </w:rPr>
        <w:t>1510</w:t>
      </w:r>
      <w:r>
        <w:rPr>
          <w:rFonts w:ascii="Times New Roman" w:hAnsi="Times New Roman" w:cs="Times New Roman"/>
          <w:color w:val="auto"/>
          <w:u w:val="none" w:color="auto"/>
        </w:rPr>
        <w:t>kg/m</w:t>
      </w:r>
      <w:r>
        <w:rPr>
          <w:rFonts w:ascii="Times New Roman" w:hAnsi="Times New Roman" w:cs="Times New Roman"/>
          <w:color w:val="auto"/>
          <w:u w:val="none" w:color="auto"/>
          <w:vertAlign w:val="superscript"/>
        </w:rPr>
        <w:t>3</w:t>
      </w:r>
      <w:r>
        <w:rPr>
          <w:rFonts w:ascii="Times New Roman" w:hAnsi="Times New Roman" w:cs="Times New Roman"/>
          <w:color w:val="auto"/>
          <w:u w:val="none" w:color="auto"/>
        </w:rPr>
        <w:t xml:space="preserve">； </w:t>
      </w:r>
    </w:p>
    <w:p w14:paraId="301AA1E0">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A——预测评价范围（m</w:t>
      </w:r>
      <w:r>
        <w:rPr>
          <w:rFonts w:ascii="Times New Roman" w:hAnsi="Times New Roman" w:cs="Times New Roman"/>
          <w:color w:val="auto"/>
          <w:u w:val="none" w:color="auto"/>
          <w:vertAlign w:val="superscript"/>
        </w:rPr>
        <w:t>2</w:t>
      </w:r>
      <w:r>
        <w:rPr>
          <w:rFonts w:ascii="Times New Roman" w:hAnsi="Times New Roman" w:cs="Times New Roman"/>
          <w:color w:val="auto"/>
          <w:u w:val="none" w:color="auto"/>
        </w:rPr>
        <w:t>）</w:t>
      </w:r>
      <w:r>
        <w:rPr>
          <w:rFonts w:hint="default" w:ascii="Times New Roman" w:hAnsi="Times New Roman" w:cs="Times New Roman"/>
          <w:color w:val="auto"/>
          <w:u w:val="none" w:color="auto"/>
        </w:rPr>
        <w:t>，</w:t>
      </w:r>
      <w:r>
        <w:rPr>
          <w:rFonts w:hint="default" w:ascii="Times New Roman" w:hAnsi="Times New Roman" w:cs="Times New Roman"/>
          <w:color w:val="auto"/>
          <w:kern w:val="0"/>
          <w:sz w:val="24"/>
          <w:u w:val="none" w:color="auto"/>
          <w:lang w:eastAsia="zh-CN"/>
        </w:rPr>
        <w:t>167636.32</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ascii="Times New Roman" w:hAnsi="Times New Roman" w:cs="Times New Roman"/>
          <w:color w:val="auto"/>
          <w:u w:val="none" w:color="auto"/>
        </w:rPr>
        <w:t xml:space="preserve">；D——表层土壤深度（m），0.2m； </w:t>
      </w:r>
    </w:p>
    <w:p w14:paraId="15EDF755">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n——持续年份（a），分别取 5a、10a，20a，30a。 </w:t>
      </w:r>
    </w:p>
    <w:p w14:paraId="715A1463">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单位质量土壤中某种物质的预测值可根据其增量叠加现状值进行计算 </w:t>
      </w:r>
    </w:p>
    <w:p w14:paraId="36E153EF">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S=Sb+ΔS </w:t>
      </w:r>
    </w:p>
    <w:p w14:paraId="027FEB12">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式中：Sb——单位质量土壤中某种物质的现状值，g/kg，本项目为</w:t>
      </w:r>
      <w:r>
        <w:rPr>
          <w:rFonts w:hint="eastAsia" w:ascii="Times New Roman" w:hAnsi="Times New Roman" w:cs="Times New Roman"/>
          <w:color w:val="auto"/>
          <w:u w:val="none" w:color="auto"/>
        </w:rPr>
        <w:t>甲苯0.000</w:t>
      </w:r>
      <w:r>
        <w:rPr>
          <w:rFonts w:hint="eastAsia" w:ascii="Times New Roman" w:hAnsi="Times New Roman" w:cs="Times New Roman"/>
          <w:color w:val="auto"/>
          <w:u w:val="none" w:color="auto"/>
          <w:lang w:val="en-US" w:eastAsia="zh-CN"/>
        </w:rPr>
        <w:t>0</w:t>
      </w:r>
      <w:r>
        <w:rPr>
          <w:rFonts w:hint="eastAsia" w:ascii="Times New Roman" w:hAnsi="Times New Roman" w:cs="Times New Roman"/>
          <w:color w:val="auto"/>
          <w:u w:val="none" w:color="auto"/>
        </w:rPr>
        <w:t>0065</w:t>
      </w:r>
      <w:r>
        <w:rPr>
          <w:rFonts w:ascii="Times New Roman" w:hAnsi="Times New Roman" w:cs="Times New Roman"/>
          <w:color w:val="auto"/>
          <w:u w:val="none" w:color="auto"/>
        </w:rPr>
        <w:t>g/kg</w:t>
      </w:r>
      <w:r>
        <w:rPr>
          <w:rFonts w:hint="eastAsia" w:ascii="Times New Roman" w:hAnsi="Times New Roman" w:cs="Times New Roman"/>
          <w:color w:val="auto"/>
          <w:u w:val="none" w:color="auto"/>
        </w:rPr>
        <w:t>、二甲苯0.000</w:t>
      </w:r>
      <w:r>
        <w:rPr>
          <w:rFonts w:hint="eastAsia" w:ascii="Times New Roman" w:hAnsi="Times New Roman" w:cs="Times New Roman"/>
          <w:color w:val="auto"/>
          <w:u w:val="none" w:color="auto"/>
          <w:lang w:val="en-US" w:eastAsia="zh-CN"/>
        </w:rPr>
        <w:t>0</w:t>
      </w:r>
      <w:r>
        <w:rPr>
          <w:rFonts w:hint="eastAsia" w:ascii="Times New Roman" w:hAnsi="Times New Roman" w:cs="Times New Roman"/>
          <w:color w:val="auto"/>
          <w:u w:val="none" w:color="auto"/>
        </w:rPr>
        <w:t>006g/kg</w:t>
      </w:r>
      <w:r>
        <w:rPr>
          <w:rFonts w:ascii="Times New Roman" w:hAnsi="Times New Roman" w:cs="Times New Roman"/>
          <w:color w:val="auto"/>
          <w:u w:val="none" w:color="auto"/>
        </w:rPr>
        <w:t xml:space="preserve">； </w:t>
      </w:r>
    </w:p>
    <w:p w14:paraId="6A2D1844">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S——单位质量土壤中某种物质的预测值，g/kg。 </w:t>
      </w:r>
    </w:p>
    <w:p w14:paraId="28078D7C">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上述（1）中预测评价范围内单位年份表层土壤中某种物质的输入量IS根据单位面积的沉降通量F×预测评价范围A计算得出。 </w:t>
      </w:r>
    </w:p>
    <w:p w14:paraId="5AE74A85">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沉降通量是指在单位时间内通过单位面积的污染物量，公式为： </w:t>
      </w:r>
    </w:p>
    <w:p w14:paraId="1C8326E8">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F=C×V×T </w:t>
      </w:r>
    </w:p>
    <w:p w14:paraId="3D17E0B0">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式中：F——单位面积、单位时间的污染物沉降通量，mg/m</w:t>
      </w:r>
      <w:r>
        <w:rPr>
          <w:rFonts w:ascii="Times New Roman" w:hAnsi="Times New Roman" w:cs="Times New Roman"/>
          <w:color w:val="auto"/>
          <w:u w:val="none" w:color="auto"/>
          <w:vertAlign w:val="superscript"/>
        </w:rPr>
        <w:t>2</w:t>
      </w:r>
      <w:r>
        <w:rPr>
          <w:rFonts w:ascii="Times New Roman" w:hAnsi="Times New Roman" w:cs="Times New Roman"/>
          <w:color w:val="auto"/>
          <w:u w:val="none" w:color="auto"/>
        </w:rPr>
        <w:t xml:space="preserve">·a； </w:t>
      </w:r>
    </w:p>
    <w:p w14:paraId="5EC7607C">
      <w:pPr>
        <w:pStyle w:val="50"/>
        <w:adjustRightInd/>
        <w:ind w:firstLine="480" w:firstLineChars="200"/>
        <w:rPr>
          <w:rFonts w:ascii="Times New Roman" w:hAnsi="Times New Roman" w:cs="Times New Roman"/>
          <w:color w:val="auto"/>
          <w:u w:val="single" w:color="auto"/>
        </w:rPr>
      </w:pPr>
      <w:r>
        <w:rPr>
          <w:rFonts w:ascii="Times New Roman" w:hAnsi="Times New Roman" w:cs="Times New Roman"/>
          <w:color w:val="auto"/>
          <w:u w:val="single" w:color="auto"/>
        </w:rPr>
        <w:t>C——污染物浓度，mg/m</w:t>
      </w:r>
      <w:r>
        <w:rPr>
          <w:rFonts w:ascii="Times New Roman" w:hAnsi="Times New Roman" w:cs="Times New Roman"/>
          <w:color w:val="auto"/>
          <w:u w:val="single" w:color="auto"/>
          <w:vertAlign w:val="superscript"/>
        </w:rPr>
        <w:t>3</w:t>
      </w:r>
      <w:r>
        <w:rPr>
          <w:rFonts w:ascii="Times New Roman" w:hAnsi="Times New Roman" w:cs="Times New Roman"/>
          <w:color w:val="auto"/>
          <w:u w:val="single" w:color="auto"/>
        </w:rPr>
        <w:t>；取1小时最大落地浓度贡献值；根据大气预测结果，甲苯1小时最大落地浓度为</w:t>
      </w:r>
      <w:r>
        <w:rPr>
          <w:rFonts w:hint="eastAsia" w:ascii="Times New Roman" w:hAnsi="Times New Roman" w:cs="Times New Roman"/>
          <w:color w:val="auto"/>
          <w:u w:val="single" w:color="auto"/>
          <w:lang w:val="en-US" w:eastAsia="zh-CN"/>
        </w:rPr>
        <w:t>0.3843</w:t>
      </w:r>
      <w:r>
        <w:rPr>
          <w:rFonts w:ascii="Times New Roman" w:hAnsi="Times New Roman" w:cs="Times New Roman"/>
          <w:color w:val="auto"/>
          <w:u w:val="single" w:color="auto"/>
        </w:rPr>
        <w:t>µg/m³</w:t>
      </w:r>
      <w:r>
        <w:rPr>
          <w:rFonts w:hint="eastAsia" w:ascii="Times New Roman" w:hAnsi="Times New Roman" w:cs="Times New Roman"/>
          <w:color w:val="auto"/>
          <w:u w:val="single" w:color="auto"/>
        </w:rPr>
        <w:t>，</w:t>
      </w:r>
      <w:r>
        <w:rPr>
          <w:rFonts w:ascii="Times New Roman" w:hAnsi="Times New Roman" w:cs="Times New Roman"/>
          <w:color w:val="auto"/>
          <w:u w:val="single" w:color="auto"/>
        </w:rPr>
        <w:t>二甲苯1小时最大落地浓度为</w:t>
      </w:r>
      <w:r>
        <w:rPr>
          <w:rFonts w:hint="eastAsia" w:ascii="Times New Roman" w:hAnsi="Times New Roman" w:cs="Times New Roman"/>
          <w:color w:val="auto"/>
          <w:u w:val="single" w:color="auto"/>
          <w:lang w:val="en-US" w:eastAsia="zh-CN"/>
        </w:rPr>
        <w:t>192.1154</w:t>
      </w:r>
      <w:r>
        <w:rPr>
          <w:rFonts w:ascii="Times New Roman" w:hAnsi="Times New Roman" w:cs="Times New Roman"/>
          <w:color w:val="auto"/>
          <w:u w:val="single" w:color="auto"/>
        </w:rPr>
        <w:t xml:space="preserve">µg/m³。 </w:t>
      </w:r>
    </w:p>
    <w:p w14:paraId="54769534">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V——污染物沉降速率，m/s；项目排放烟尘粒度较细，沉降速率取0.001m/s； </w:t>
      </w:r>
    </w:p>
    <w:p w14:paraId="00140179">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T——年内污染物沉降时间，s，取全年</w:t>
      </w:r>
      <w:r>
        <w:rPr>
          <w:rFonts w:hint="eastAsia" w:ascii="Times New Roman" w:hAnsi="Times New Roman" w:cs="Times New Roman"/>
          <w:color w:val="auto"/>
          <w:u w:val="none" w:color="auto"/>
          <w:lang w:val="en-US" w:eastAsia="zh-CN"/>
        </w:rPr>
        <w:t>330</w:t>
      </w:r>
      <w:r>
        <w:rPr>
          <w:rFonts w:ascii="Times New Roman" w:hAnsi="Times New Roman" w:cs="Times New Roman"/>
          <w:color w:val="auto"/>
          <w:u w:val="none" w:color="auto"/>
        </w:rPr>
        <w:t>d（每天</w:t>
      </w:r>
      <w:r>
        <w:rPr>
          <w:rFonts w:hint="eastAsia" w:ascii="Times New Roman" w:hAnsi="Times New Roman" w:cs="Times New Roman"/>
          <w:color w:val="auto"/>
          <w:u w:val="none" w:color="auto"/>
          <w:lang w:val="en-US" w:eastAsia="zh-CN"/>
        </w:rPr>
        <w:t>24</w:t>
      </w:r>
      <w:r>
        <w:rPr>
          <w:rFonts w:ascii="Times New Roman" w:hAnsi="Times New Roman" w:cs="Times New Roman"/>
          <w:color w:val="auto"/>
          <w:u w:val="none" w:color="auto"/>
        </w:rPr>
        <w:t xml:space="preserve">h）连续排放沉降。 </w:t>
      </w:r>
    </w:p>
    <w:p w14:paraId="7486FC91">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项目土壤环境预测为大气沉降影响，不考虑输出量，即 LS=0，RS=0。 </w:t>
      </w:r>
    </w:p>
    <w:p w14:paraId="210B9A50">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5、评价结果</w:t>
      </w:r>
    </w:p>
    <w:p w14:paraId="21AF05CC">
      <w:pPr>
        <w:widowControl/>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kern w:val="0"/>
          <w:sz w:val="24"/>
          <w:szCs w:val="24"/>
          <w:u w:val="none" w:color="auto"/>
          <w:lang w:bidi="ar"/>
        </w:rPr>
        <w:t>本次计算时长为从项目营运期开始的第一个五年、十年、二十年、三十年，预测结果见下表。</w:t>
      </w:r>
      <w:r>
        <w:rPr>
          <w:rFonts w:ascii="Times New Roman" w:hAnsi="Times New Roman" w:eastAsia="宋体" w:cs="Times New Roman"/>
          <w:b/>
          <w:bCs/>
          <w:color w:val="auto"/>
          <w:kern w:val="0"/>
          <w:sz w:val="24"/>
          <w:szCs w:val="24"/>
          <w:u w:val="none" w:color="auto"/>
          <w:lang w:bidi="ar"/>
        </w:rPr>
        <w:t xml:space="preserve"> </w:t>
      </w:r>
    </w:p>
    <w:p w14:paraId="3A7CF92B">
      <w:pPr>
        <w:pStyle w:val="50"/>
        <w:adjustRightInd/>
        <w:jc w:val="center"/>
        <w:rPr>
          <w:rFonts w:ascii="Times New Roman" w:hAnsi="Times New Roman" w:cs="Times New Roman"/>
          <w:color w:val="auto"/>
          <w:u w:val="none" w:color="auto"/>
        </w:rPr>
      </w:pPr>
      <w:r>
        <w:rPr>
          <w:rFonts w:hint="eastAsia" w:ascii="Times New Roman" w:hAnsi="Times New Roman" w:cs="Times New Roman"/>
          <w:b/>
          <w:bCs/>
          <w:color w:val="auto"/>
          <w:sz w:val="21"/>
          <w:szCs w:val="21"/>
          <w:u w:val="none" w:color="auto"/>
        </w:rPr>
        <w:t>表4.7-3  不同年份土壤中污染物</w:t>
      </w:r>
      <w:r>
        <w:rPr>
          <w:rFonts w:hint="eastAsia" w:ascii="Times New Roman" w:hAnsi="Times New Roman" w:cs="Times New Roman"/>
          <w:b/>
          <w:bCs/>
          <w:color w:val="auto"/>
          <w:sz w:val="21"/>
          <w:szCs w:val="21"/>
          <w:u w:val="none" w:color="auto"/>
          <w:lang w:val="en-US" w:eastAsia="zh-CN"/>
        </w:rPr>
        <w:t>累积</w:t>
      </w:r>
      <w:r>
        <w:rPr>
          <w:rFonts w:hint="eastAsia" w:ascii="Times New Roman" w:hAnsi="Times New Roman" w:cs="Times New Roman"/>
          <w:b/>
          <w:bCs/>
          <w:color w:val="auto"/>
          <w:sz w:val="21"/>
          <w:szCs w:val="21"/>
          <w:u w:val="none" w:color="auto"/>
        </w:rPr>
        <w:t>预测值   g/kg</w:t>
      </w:r>
    </w:p>
    <w:tbl>
      <w:tblPr>
        <w:tblStyle w:val="38"/>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1526"/>
        <w:gridCol w:w="1208"/>
        <w:gridCol w:w="1225"/>
        <w:gridCol w:w="1500"/>
        <w:gridCol w:w="1546"/>
      </w:tblGrid>
      <w:tr w14:paraId="6AFA6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4" w:type="dxa"/>
          </w:tcPr>
          <w:p w14:paraId="54A1AB4A">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污染物</w:t>
            </w:r>
          </w:p>
        </w:tc>
        <w:tc>
          <w:tcPr>
            <w:tcW w:w="1526" w:type="dxa"/>
          </w:tcPr>
          <w:p w14:paraId="36618F72">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5年</w:t>
            </w:r>
          </w:p>
        </w:tc>
        <w:tc>
          <w:tcPr>
            <w:tcW w:w="1208" w:type="dxa"/>
          </w:tcPr>
          <w:p w14:paraId="4161C11B">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10年</w:t>
            </w:r>
          </w:p>
        </w:tc>
        <w:tc>
          <w:tcPr>
            <w:tcW w:w="1225" w:type="dxa"/>
          </w:tcPr>
          <w:p w14:paraId="70FD3E77">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20年</w:t>
            </w:r>
          </w:p>
        </w:tc>
        <w:tc>
          <w:tcPr>
            <w:tcW w:w="1500" w:type="dxa"/>
          </w:tcPr>
          <w:p w14:paraId="6303335F">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30年</w:t>
            </w:r>
          </w:p>
        </w:tc>
        <w:tc>
          <w:tcPr>
            <w:tcW w:w="1546" w:type="dxa"/>
          </w:tcPr>
          <w:p w14:paraId="64A459DD">
            <w:pPr>
              <w:pStyle w:val="50"/>
              <w:adjustRightInd/>
              <w:spacing w:line="240" w:lineRule="auto"/>
              <w:jc w:val="center"/>
              <w:rPr>
                <w:rFonts w:ascii="Times New Roman" w:hAnsi="Times New Roman" w:cs="Times New Roman"/>
                <w:b/>
                <w:bCs/>
                <w:color w:val="auto"/>
                <w:sz w:val="21"/>
                <w:szCs w:val="21"/>
                <w:u w:val="single" w:color="auto"/>
              </w:rPr>
            </w:pPr>
            <w:r>
              <w:rPr>
                <w:rFonts w:hint="eastAsia" w:ascii="Times New Roman" w:hAnsi="Times New Roman" w:cs="Times New Roman"/>
                <w:b/>
                <w:bCs/>
                <w:color w:val="auto"/>
                <w:sz w:val="21"/>
                <w:szCs w:val="21"/>
                <w:u w:val="single" w:color="auto"/>
              </w:rPr>
              <w:t>土壤质量标准</w:t>
            </w:r>
          </w:p>
        </w:tc>
      </w:tr>
      <w:tr w14:paraId="491B6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4" w:type="dxa"/>
          </w:tcPr>
          <w:p w14:paraId="663DAD50">
            <w:pPr>
              <w:pStyle w:val="50"/>
              <w:adjustRightInd/>
              <w:spacing w:line="240" w:lineRule="auto"/>
              <w:jc w:val="center"/>
              <w:rPr>
                <w:rFonts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甲苯</w:t>
            </w:r>
          </w:p>
        </w:tc>
        <w:tc>
          <w:tcPr>
            <w:tcW w:w="1526" w:type="dxa"/>
            <w:vAlign w:val="top"/>
          </w:tcPr>
          <w:p w14:paraId="3A414135">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1.73E-06</w:t>
            </w:r>
          </w:p>
        </w:tc>
        <w:tc>
          <w:tcPr>
            <w:tcW w:w="1208" w:type="dxa"/>
            <w:vAlign w:val="top"/>
          </w:tcPr>
          <w:p w14:paraId="05781AF9">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4.11E-06</w:t>
            </w:r>
          </w:p>
        </w:tc>
        <w:tc>
          <w:tcPr>
            <w:tcW w:w="1225" w:type="dxa"/>
            <w:vAlign w:val="top"/>
          </w:tcPr>
          <w:p w14:paraId="08A11182">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7.58E-06</w:t>
            </w:r>
          </w:p>
        </w:tc>
        <w:tc>
          <w:tcPr>
            <w:tcW w:w="1500" w:type="dxa"/>
            <w:vAlign w:val="top"/>
          </w:tcPr>
          <w:p w14:paraId="291EED1E">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1.10E-05</w:t>
            </w:r>
          </w:p>
        </w:tc>
        <w:tc>
          <w:tcPr>
            <w:tcW w:w="1546" w:type="dxa"/>
          </w:tcPr>
          <w:p w14:paraId="7CB66D25">
            <w:pPr>
              <w:pStyle w:val="50"/>
              <w:adjustRightInd/>
              <w:spacing w:line="240" w:lineRule="auto"/>
              <w:jc w:val="center"/>
              <w:rPr>
                <w:rFonts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1.2</w:t>
            </w:r>
          </w:p>
        </w:tc>
      </w:tr>
      <w:tr w14:paraId="1E80E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4" w:type="dxa"/>
          </w:tcPr>
          <w:p w14:paraId="145FCBC2">
            <w:pPr>
              <w:pStyle w:val="50"/>
              <w:adjustRightInd/>
              <w:spacing w:line="240" w:lineRule="auto"/>
              <w:jc w:val="center"/>
              <w:rPr>
                <w:rFonts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二甲苯</w:t>
            </w:r>
          </w:p>
        </w:tc>
        <w:tc>
          <w:tcPr>
            <w:tcW w:w="1526" w:type="dxa"/>
            <w:vAlign w:val="top"/>
          </w:tcPr>
          <w:p w14:paraId="4DEF7180">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5.42E-04</w:t>
            </w:r>
          </w:p>
        </w:tc>
        <w:tc>
          <w:tcPr>
            <w:tcW w:w="1208" w:type="dxa"/>
            <w:vAlign w:val="top"/>
          </w:tcPr>
          <w:p w14:paraId="73A92C40">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1.08E-03</w:t>
            </w:r>
          </w:p>
        </w:tc>
        <w:tc>
          <w:tcPr>
            <w:tcW w:w="1225" w:type="dxa"/>
            <w:vAlign w:val="top"/>
          </w:tcPr>
          <w:p w14:paraId="4FC82531">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2.17E-03</w:t>
            </w:r>
          </w:p>
        </w:tc>
        <w:tc>
          <w:tcPr>
            <w:tcW w:w="1500" w:type="dxa"/>
            <w:vAlign w:val="top"/>
          </w:tcPr>
          <w:p w14:paraId="62A830B1">
            <w:pPr>
              <w:keepNext w:val="0"/>
              <w:keepLines w:val="0"/>
              <w:widowControl/>
              <w:suppressLineNumbers w:val="0"/>
              <w:jc w:val="center"/>
              <w:textAlignment w:val="top"/>
              <w:rPr>
                <w:rFonts w:ascii="Times New Roman" w:hAnsi="Times New Roman"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3.25E-03</w:t>
            </w:r>
          </w:p>
        </w:tc>
        <w:tc>
          <w:tcPr>
            <w:tcW w:w="1546" w:type="dxa"/>
          </w:tcPr>
          <w:p w14:paraId="11164EC7">
            <w:pPr>
              <w:pStyle w:val="50"/>
              <w:adjustRightInd/>
              <w:spacing w:line="240" w:lineRule="auto"/>
              <w:jc w:val="center"/>
              <w:rPr>
                <w:rFonts w:ascii="Times New Roman" w:hAnsi="Times New Roman" w:cs="Times New Roman"/>
                <w:color w:val="auto"/>
                <w:sz w:val="21"/>
                <w:szCs w:val="21"/>
                <w:u w:val="single" w:color="auto"/>
              </w:rPr>
            </w:pPr>
            <w:r>
              <w:rPr>
                <w:rFonts w:hint="eastAsia" w:ascii="Times New Roman" w:hAnsi="Times New Roman" w:cs="Times New Roman"/>
                <w:color w:val="auto"/>
                <w:sz w:val="21"/>
                <w:szCs w:val="21"/>
                <w:u w:val="single" w:color="auto"/>
              </w:rPr>
              <w:t>0.64</w:t>
            </w:r>
          </w:p>
        </w:tc>
      </w:tr>
    </w:tbl>
    <w:p w14:paraId="62237FF9">
      <w:pPr>
        <w:widowControl/>
        <w:spacing w:line="360" w:lineRule="auto"/>
        <w:ind w:firstLine="480" w:firstLineChars="200"/>
        <w:rPr>
          <w:rFonts w:ascii="Times New Roman" w:hAnsi="Times New Roman" w:eastAsia="宋体" w:cs="Times New Roman"/>
          <w:color w:val="auto"/>
          <w:kern w:val="0"/>
          <w:sz w:val="24"/>
          <w:szCs w:val="24"/>
          <w:u w:val="single" w:color="auto"/>
          <w:lang w:bidi="ar"/>
        </w:rPr>
      </w:pPr>
      <w:r>
        <w:rPr>
          <w:rFonts w:ascii="Times New Roman" w:hAnsi="Times New Roman" w:eastAsia="宋体" w:cs="Times New Roman"/>
          <w:color w:val="auto"/>
          <w:kern w:val="0"/>
          <w:sz w:val="24"/>
          <w:szCs w:val="24"/>
          <w:u w:val="single" w:color="auto"/>
          <w:lang w:bidi="ar"/>
        </w:rPr>
        <w:t>由上表可以看出，</w:t>
      </w:r>
      <w:r>
        <w:rPr>
          <w:rFonts w:hint="eastAsia" w:ascii="Times New Roman" w:hAnsi="Times New Roman" w:eastAsia="宋体" w:cs="Times New Roman"/>
          <w:color w:val="auto"/>
          <w:kern w:val="0"/>
          <w:sz w:val="24"/>
          <w:szCs w:val="24"/>
          <w:u w:val="single" w:color="auto"/>
          <w:lang w:bidi="ar"/>
        </w:rPr>
        <w:t>5年甲苯污染物</w:t>
      </w:r>
      <w:r>
        <w:rPr>
          <w:rFonts w:hint="eastAsia" w:ascii="Times New Roman" w:hAnsi="Times New Roman" w:eastAsia="宋体" w:cs="Times New Roman"/>
          <w:color w:val="auto"/>
          <w:kern w:val="0"/>
          <w:sz w:val="24"/>
          <w:szCs w:val="24"/>
          <w:u w:val="single" w:color="auto"/>
          <w:lang w:eastAsia="zh-CN" w:bidi="ar"/>
        </w:rPr>
        <w:t>；</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default" w:ascii="Times New Roman" w:hAnsi="Times New Roman" w:eastAsia="宋体" w:cs="Times New Roman"/>
          <w:i w:val="0"/>
          <w:iCs w:val="0"/>
          <w:color w:val="auto"/>
          <w:kern w:val="0"/>
          <w:sz w:val="24"/>
          <w:szCs w:val="24"/>
          <w:u w:val="single" w:color="auto"/>
          <w:lang w:val="en-US" w:eastAsia="zh-CN" w:bidi="ar"/>
        </w:rPr>
        <w:t>1.73E-06</w:t>
      </w:r>
      <w:r>
        <w:rPr>
          <w:rFonts w:hint="eastAsia" w:ascii="Times New Roman" w:hAnsi="Times New Roman" w:eastAsia="宋体" w:cs="Times New Roman"/>
          <w:color w:val="auto"/>
          <w:kern w:val="0"/>
          <w:sz w:val="24"/>
          <w:szCs w:val="24"/>
          <w:u w:val="single" w:color="auto"/>
          <w:lang w:bidi="ar"/>
        </w:rPr>
        <w:t>g/kg，10年甲苯污染物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default" w:ascii="Times New Roman" w:hAnsi="Times New Roman" w:eastAsia="宋体" w:cs="Times New Roman"/>
          <w:i w:val="0"/>
          <w:iCs w:val="0"/>
          <w:color w:val="auto"/>
          <w:kern w:val="0"/>
          <w:sz w:val="24"/>
          <w:szCs w:val="24"/>
          <w:u w:val="single" w:color="auto"/>
          <w:lang w:val="en-US" w:eastAsia="zh-CN" w:bidi="ar"/>
        </w:rPr>
        <w:t>4.11E-06</w:t>
      </w:r>
      <w:r>
        <w:rPr>
          <w:rFonts w:hint="eastAsia" w:ascii="Times New Roman" w:hAnsi="Times New Roman" w:eastAsia="宋体" w:cs="Times New Roman"/>
          <w:color w:val="auto"/>
          <w:kern w:val="0"/>
          <w:sz w:val="24"/>
          <w:szCs w:val="24"/>
          <w:u w:val="single" w:color="auto"/>
          <w:lang w:bidi="ar"/>
        </w:rPr>
        <w:t>g/kg，20年甲苯污染物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default" w:ascii="Times New Roman" w:hAnsi="Times New Roman" w:eastAsia="宋体" w:cs="Times New Roman"/>
          <w:i w:val="0"/>
          <w:iCs w:val="0"/>
          <w:color w:val="auto"/>
          <w:kern w:val="0"/>
          <w:sz w:val="24"/>
          <w:szCs w:val="24"/>
          <w:u w:val="single" w:color="auto"/>
          <w:lang w:val="en-US" w:eastAsia="zh-CN" w:bidi="ar"/>
        </w:rPr>
        <w:t>7.58E-06</w:t>
      </w:r>
      <w:r>
        <w:rPr>
          <w:rFonts w:hint="eastAsia" w:ascii="Times New Roman" w:hAnsi="Times New Roman" w:eastAsia="宋体" w:cs="Times New Roman"/>
          <w:color w:val="auto"/>
          <w:kern w:val="0"/>
          <w:sz w:val="24"/>
          <w:szCs w:val="24"/>
          <w:u w:val="single" w:color="auto"/>
          <w:lang w:bidi="ar"/>
        </w:rPr>
        <w:t>g/kg，30年甲苯污染物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default" w:ascii="Times New Roman" w:hAnsi="Times New Roman" w:eastAsia="宋体" w:cs="Times New Roman"/>
          <w:i w:val="0"/>
          <w:iCs w:val="0"/>
          <w:color w:val="auto"/>
          <w:kern w:val="0"/>
          <w:sz w:val="24"/>
          <w:szCs w:val="24"/>
          <w:u w:val="single" w:color="auto"/>
          <w:lang w:val="en-US" w:eastAsia="zh-CN" w:bidi="ar"/>
        </w:rPr>
        <w:t>1.10E-05</w:t>
      </w:r>
      <w:r>
        <w:rPr>
          <w:rFonts w:hint="eastAsia" w:ascii="Times New Roman" w:hAnsi="Times New Roman" w:eastAsia="宋体" w:cs="Times New Roman"/>
          <w:color w:val="auto"/>
          <w:kern w:val="0"/>
          <w:sz w:val="24"/>
          <w:szCs w:val="24"/>
          <w:u w:val="single" w:color="auto"/>
          <w:lang w:bidi="ar"/>
        </w:rPr>
        <w:t>g/kg；5年二甲苯污染物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eastAsia" w:ascii="Times New Roman" w:hAnsi="Times New Roman" w:eastAsia="宋体" w:cs="Times New Roman"/>
          <w:i w:val="0"/>
          <w:iCs w:val="0"/>
          <w:color w:val="auto"/>
          <w:kern w:val="0"/>
          <w:sz w:val="24"/>
          <w:szCs w:val="24"/>
          <w:u w:val="single" w:color="auto"/>
          <w:lang w:val="en-US" w:eastAsia="zh-CN" w:bidi="ar"/>
        </w:rPr>
        <w:t>5.42</w:t>
      </w:r>
      <w:r>
        <w:rPr>
          <w:rFonts w:hint="default" w:ascii="Times New Roman" w:hAnsi="Times New Roman" w:eastAsia="宋体" w:cs="Times New Roman"/>
          <w:i w:val="0"/>
          <w:iCs w:val="0"/>
          <w:color w:val="auto"/>
          <w:kern w:val="0"/>
          <w:sz w:val="24"/>
          <w:szCs w:val="24"/>
          <w:u w:val="single" w:color="auto"/>
          <w:lang w:val="en-US" w:eastAsia="zh-CN" w:bidi="ar"/>
        </w:rPr>
        <w:t>E-04</w:t>
      </w:r>
      <w:r>
        <w:rPr>
          <w:rFonts w:hint="eastAsia" w:ascii="Times New Roman" w:hAnsi="Times New Roman" w:eastAsia="宋体" w:cs="Times New Roman"/>
          <w:color w:val="auto"/>
          <w:kern w:val="0"/>
          <w:sz w:val="24"/>
          <w:szCs w:val="24"/>
          <w:u w:val="single" w:color="auto"/>
          <w:lang w:bidi="ar"/>
        </w:rPr>
        <w:t>g/kg，10年二甲苯污染物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eastAsia" w:ascii="Times New Roman" w:hAnsi="Times New Roman" w:eastAsia="宋体" w:cs="Times New Roman"/>
          <w:i w:val="0"/>
          <w:iCs w:val="0"/>
          <w:color w:val="auto"/>
          <w:kern w:val="0"/>
          <w:sz w:val="24"/>
          <w:szCs w:val="24"/>
          <w:u w:val="single" w:color="auto"/>
          <w:lang w:val="en-US" w:eastAsia="zh-CN" w:bidi="ar"/>
        </w:rPr>
        <w:t>1.08</w:t>
      </w:r>
      <w:r>
        <w:rPr>
          <w:rFonts w:hint="default" w:ascii="Times New Roman" w:hAnsi="Times New Roman" w:eastAsia="宋体" w:cs="Times New Roman"/>
          <w:i w:val="0"/>
          <w:iCs w:val="0"/>
          <w:color w:val="auto"/>
          <w:kern w:val="0"/>
          <w:sz w:val="24"/>
          <w:szCs w:val="24"/>
          <w:u w:val="single" w:color="auto"/>
          <w:lang w:val="en-US" w:eastAsia="zh-CN" w:bidi="ar"/>
        </w:rPr>
        <w:t>E-0</w:t>
      </w:r>
      <w:r>
        <w:rPr>
          <w:rFonts w:hint="eastAsia" w:ascii="Times New Roman" w:hAnsi="Times New Roman" w:eastAsia="宋体" w:cs="Times New Roman"/>
          <w:i w:val="0"/>
          <w:iCs w:val="0"/>
          <w:color w:val="auto"/>
          <w:kern w:val="0"/>
          <w:sz w:val="24"/>
          <w:szCs w:val="24"/>
          <w:u w:val="single" w:color="auto"/>
          <w:lang w:val="en-US" w:eastAsia="zh-CN" w:bidi="ar"/>
        </w:rPr>
        <w:t>3</w:t>
      </w:r>
      <w:r>
        <w:rPr>
          <w:rFonts w:hint="eastAsia" w:ascii="Times New Roman" w:hAnsi="Times New Roman" w:eastAsia="宋体" w:cs="Times New Roman"/>
          <w:color w:val="auto"/>
          <w:kern w:val="0"/>
          <w:sz w:val="24"/>
          <w:szCs w:val="24"/>
          <w:u w:val="single" w:color="auto"/>
          <w:lang w:bidi="ar"/>
        </w:rPr>
        <w:t>g/kg，20年二甲苯污染物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eastAsia" w:ascii="Times New Roman" w:hAnsi="Times New Roman" w:eastAsia="宋体" w:cs="Times New Roman"/>
          <w:i w:val="0"/>
          <w:iCs w:val="0"/>
          <w:color w:val="auto"/>
          <w:kern w:val="0"/>
          <w:sz w:val="24"/>
          <w:szCs w:val="24"/>
          <w:u w:val="single" w:color="auto"/>
          <w:lang w:val="en-US" w:eastAsia="zh-CN" w:bidi="ar"/>
        </w:rPr>
        <w:t>2.17</w:t>
      </w:r>
      <w:r>
        <w:rPr>
          <w:rFonts w:hint="default" w:ascii="Times New Roman" w:hAnsi="Times New Roman" w:eastAsia="宋体" w:cs="Times New Roman"/>
          <w:i w:val="0"/>
          <w:iCs w:val="0"/>
          <w:color w:val="auto"/>
          <w:kern w:val="0"/>
          <w:sz w:val="24"/>
          <w:szCs w:val="24"/>
          <w:u w:val="single" w:color="auto"/>
          <w:lang w:val="en-US" w:eastAsia="zh-CN" w:bidi="ar"/>
        </w:rPr>
        <w:t>E-03</w:t>
      </w:r>
      <w:r>
        <w:rPr>
          <w:rFonts w:hint="eastAsia" w:ascii="Times New Roman" w:hAnsi="Times New Roman" w:eastAsia="宋体" w:cs="Times New Roman"/>
          <w:color w:val="auto"/>
          <w:kern w:val="0"/>
          <w:sz w:val="24"/>
          <w:szCs w:val="24"/>
          <w:u w:val="single" w:color="auto"/>
          <w:lang w:bidi="ar"/>
        </w:rPr>
        <w:t>g/kg，30年二甲苯污染物</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量为</w:t>
      </w:r>
      <w:r>
        <w:rPr>
          <w:rFonts w:hint="eastAsia" w:ascii="Times New Roman" w:hAnsi="Times New Roman" w:eastAsia="宋体" w:cs="Times New Roman"/>
          <w:i w:val="0"/>
          <w:iCs w:val="0"/>
          <w:color w:val="auto"/>
          <w:kern w:val="0"/>
          <w:sz w:val="24"/>
          <w:szCs w:val="24"/>
          <w:u w:val="single" w:color="auto"/>
          <w:lang w:val="en-US" w:eastAsia="zh-CN" w:bidi="ar"/>
        </w:rPr>
        <w:t>3.25</w:t>
      </w:r>
      <w:r>
        <w:rPr>
          <w:rFonts w:hint="default" w:ascii="Times New Roman" w:hAnsi="Times New Roman" w:eastAsia="宋体" w:cs="Times New Roman"/>
          <w:i w:val="0"/>
          <w:iCs w:val="0"/>
          <w:color w:val="auto"/>
          <w:kern w:val="0"/>
          <w:sz w:val="24"/>
          <w:szCs w:val="24"/>
          <w:u w:val="single" w:color="auto"/>
          <w:lang w:val="en-US" w:eastAsia="zh-CN" w:bidi="ar"/>
        </w:rPr>
        <w:t>E-03</w:t>
      </w:r>
      <w:r>
        <w:rPr>
          <w:rFonts w:hint="eastAsia" w:ascii="Times New Roman" w:hAnsi="Times New Roman" w:eastAsia="宋体" w:cs="Times New Roman"/>
          <w:color w:val="auto"/>
          <w:kern w:val="0"/>
          <w:sz w:val="24"/>
          <w:szCs w:val="24"/>
          <w:u w:val="single" w:color="auto"/>
          <w:lang w:bidi="ar"/>
        </w:rPr>
        <w:t>g/kg；由此可知，随着喷漆废气输入时间的延长，甲苯和二甲苯在土壤中的</w:t>
      </w:r>
      <w:r>
        <w:rPr>
          <w:rFonts w:hint="eastAsia" w:ascii="Times New Roman" w:hAnsi="Times New Roman" w:eastAsia="宋体" w:cs="Times New Roman"/>
          <w:color w:val="auto"/>
          <w:kern w:val="0"/>
          <w:sz w:val="24"/>
          <w:szCs w:val="24"/>
          <w:u w:val="single" w:color="auto"/>
          <w:lang w:val="en-US" w:eastAsia="zh-CN" w:bidi="ar"/>
        </w:rPr>
        <w:t>累积</w:t>
      </w:r>
      <w:r>
        <w:rPr>
          <w:rFonts w:hint="eastAsia" w:ascii="Times New Roman" w:hAnsi="Times New Roman" w:eastAsia="宋体" w:cs="Times New Roman"/>
          <w:color w:val="auto"/>
          <w:kern w:val="0"/>
          <w:sz w:val="24"/>
          <w:szCs w:val="24"/>
          <w:u w:val="single" w:color="auto"/>
          <w:lang w:bidi="ar"/>
        </w:rPr>
        <w:t>量逐步增加，但增加量很小。</w:t>
      </w:r>
    </w:p>
    <w:p w14:paraId="4B2CFE57">
      <w:pPr>
        <w:widowControl/>
        <w:spacing w:line="360" w:lineRule="auto"/>
        <w:ind w:firstLine="480" w:firstLineChars="200"/>
        <w:rPr>
          <w:rFonts w:ascii="Times New Roman" w:hAnsi="Times New Roman" w:eastAsia="宋体" w:cs="Times New Roman"/>
          <w:color w:val="auto"/>
          <w:u w:val="single" w:color="auto"/>
        </w:rPr>
      </w:pPr>
      <w:r>
        <w:rPr>
          <w:rFonts w:hint="eastAsia" w:ascii="Times New Roman" w:hAnsi="Times New Roman" w:eastAsia="宋体" w:cs="Times New Roman"/>
          <w:color w:val="auto"/>
          <w:kern w:val="0"/>
          <w:sz w:val="24"/>
          <w:szCs w:val="24"/>
          <w:u w:val="single" w:color="auto"/>
          <w:lang w:bidi="ar"/>
        </w:rPr>
        <w:t>项目喷漆废气不易沉降，项目运营期生产活动在正常情况下，由于采取严格、有效的污染源控制措施，从大气沉降等途径进入其周围土壤中的污染物较少，对土壤环境影响较小。</w:t>
      </w:r>
    </w:p>
    <w:p w14:paraId="036FAF4D">
      <w:pPr>
        <w:autoSpaceDE w:val="0"/>
        <w:autoSpaceDN w:val="0"/>
        <w:spacing w:line="360" w:lineRule="auto"/>
        <w:jc w:val="left"/>
        <w:outlineLvl w:val="2"/>
        <w:rPr>
          <w:rFonts w:ascii="Times New Roman" w:hAnsi="Times New Roman" w:eastAsia="宋体" w:cs="Times New Roman"/>
          <w:b/>
          <w:color w:val="auto"/>
          <w:sz w:val="28"/>
          <w:u w:val="none" w:color="auto"/>
        </w:rPr>
      </w:pPr>
      <w:r>
        <w:rPr>
          <w:rFonts w:hint="eastAsia" w:ascii="Times New Roman" w:hAnsi="Times New Roman" w:eastAsia="宋体" w:cs="Times New Roman"/>
          <w:b/>
          <w:color w:val="auto"/>
          <w:sz w:val="28"/>
          <w:u w:val="none" w:color="auto"/>
        </w:rPr>
        <w:t>4</w:t>
      </w:r>
      <w:r>
        <w:rPr>
          <w:rFonts w:ascii="Times New Roman" w:hAnsi="Times New Roman" w:eastAsia="宋体" w:cs="Times New Roman"/>
          <w:b/>
          <w:color w:val="auto"/>
          <w:sz w:val="28"/>
          <w:u w:val="none" w:color="auto"/>
        </w:rPr>
        <w:t>.7.4小结</w:t>
      </w:r>
    </w:p>
    <w:p w14:paraId="2155997D">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通过上述分析可知，随着喷漆废气输入时间的延长，甲苯和二甲苯在土壤中的贡献量逐步增加，但增加量很小，对土壤影响不大。当油漆储存区发生油漆、固化剂、稀释剂泄漏时，泄漏的液体截留在事故应急池内，对土壤环境影响较小。</w:t>
      </w:r>
      <w:r>
        <w:rPr>
          <w:rFonts w:ascii="Times New Roman" w:hAnsi="Times New Roman" w:cs="Times New Roman"/>
          <w:color w:val="auto"/>
          <w:u w:val="none" w:color="auto"/>
        </w:rPr>
        <w:t>项目实施后，</w:t>
      </w:r>
      <w:r>
        <w:rPr>
          <w:rFonts w:hint="eastAsia" w:ascii="Times New Roman" w:hAnsi="Times New Roman" w:cs="Times New Roman"/>
          <w:color w:val="auto"/>
          <w:u w:val="none" w:color="auto"/>
          <w:lang w:eastAsia="zh-CN"/>
        </w:rPr>
        <w:t>涂装车间</w:t>
      </w:r>
      <w:r>
        <w:rPr>
          <w:rFonts w:ascii="Times New Roman" w:hAnsi="Times New Roman" w:cs="Times New Roman"/>
          <w:color w:val="auto"/>
          <w:u w:val="none" w:color="auto"/>
        </w:rPr>
        <w:t>废气需经处理后达标排放，尽</w:t>
      </w:r>
      <w:r>
        <w:rPr>
          <w:rFonts w:hint="eastAsia" w:ascii="Times New Roman" w:hAnsi="Times New Roman" w:cs="Times New Roman"/>
          <w:color w:val="auto"/>
          <w:u w:val="none" w:color="auto"/>
        </w:rPr>
        <w:t>可能</w:t>
      </w:r>
      <w:r>
        <w:rPr>
          <w:rFonts w:ascii="Times New Roman" w:hAnsi="Times New Roman" w:cs="Times New Roman"/>
          <w:color w:val="auto"/>
          <w:u w:val="none" w:color="auto"/>
        </w:rPr>
        <w:t>减少</w:t>
      </w:r>
      <w:r>
        <w:rPr>
          <w:rFonts w:hint="eastAsia" w:ascii="Times New Roman" w:hAnsi="Times New Roman" w:cs="Times New Roman"/>
          <w:color w:val="auto"/>
          <w:u w:val="none" w:color="auto"/>
        </w:rPr>
        <w:t>喷漆</w:t>
      </w:r>
      <w:r>
        <w:rPr>
          <w:rFonts w:ascii="Times New Roman" w:hAnsi="Times New Roman" w:cs="Times New Roman"/>
          <w:color w:val="auto"/>
          <w:u w:val="none" w:color="auto"/>
        </w:rPr>
        <w:t>废气中</w:t>
      </w:r>
      <w:r>
        <w:rPr>
          <w:rFonts w:hint="eastAsia" w:ascii="Times New Roman" w:hAnsi="Times New Roman" w:cs="Times New Roman"/>
          <w:color w:val="auto"/>
          <w:u w:val="none" w:color="auto"/>
        </w:rPr>
        <w:t>甲苯和</w:t>
      </w:r>
      <w:r>
        <w:rPr>
          <w:rFonts w:ascii="Times New Roman" w:hAnsi="Times New Roman" w:cs="Times New Roman"/>
          <w:color w:val="auto"/>
          <w:u w:val="none" w:color="auto"/>
        </w:rPr>
        <w:t xml:space="preserve">二甲苯的浓度。 </w:t>
      </w:r>
    </w:p>
    <w:p w14:paraId="0277D2A8">
      <w:pPr>
        <w:pStyle w:val="3"/>
        <w:bidi w:val="0"/>
        <w:rPr>
          <w:rFonts w:ascii="Times New Roman" w:hAnsi="Times New Roman" w:eastAsia="宋体" w:cs="Times New Roman"/>
          <w:b/>
          <w:color w:val="auto"/>
          <w:kern w:val="0"/>
          <w:sz w:val="32"/>
          <w:szCs w:val="32"/>
          <w:u w:val="none" w:color="auto"/>
        </w:rPr>
      </w:pPr>
      <w:bookmarkStart w:id="245" w:name="_Toc18370"/>
      <w:r>
        <w:rPr>
          <w:rFonts w:ascii="Times New Roman" w:hAnsi="Times New Roman" w:eastAsia="宋体" w:cs="Times New Roman"/>
          <w:color w:val="auto"/>
          <w:kern w:val="0"/>
          <w:sz w:val="20"/>
          <w:szCs w:val="20"/>
          <w:u w:val="none" w:color="auto"/>
        </w:rPr>
        <w:fldChar w:fldCharType="begin"/>
      </w:r>
      <w:r>
        <w:rPr>
          <w:rFonts w:ascii="Times New Roman" w:hAnsi="Times New Roman" w:eastAsia="宋体" w:cs="Times New Roman"/>
          <w:color w:val="auto"/>
          <w:kern w:val="0"/>
          <w:sz w:val="20"/>
          <w:szCs w:val="20"/>
          <w:u w:val="none" w:color="auto"/>
        </w:rPr>
        <w:instrText xml:space="preserve"> HYPERLINK \l "_Toc499543844"</w:instrText>
      </w:r>
      <w:r>
        <w:rPr>
          <w:rFonts w:ascii="Times New Roman" w:hAnsi="Times New Roman" w:eastAsia="宋体" w:cs="Times New Roman"/>
          <w:color w:val="auto"/>
          <w:kern w:val="0"/>
          <w:sz w:val="20"/>
          <w:szCs w:val="20"/>
          <w:u w:val="none" w:color="auto"/>
        </w:rPr>
        <w:fldChar w:fldCharType="separate"/>
      </w:r>
      <w:r>
        <w:rPr>
          <w:rFonts w:ascii="Times New Roman" w:hAnsi="Times New Roman" w:eastAsia="宋体" w:cs="Times New Roman"/>
          <w:b/>
          <w:color w:val="auto"/>
          <w:kern w:val="0"/>
          <w:sz w:val="32"/>
          <w:szCs w:val="32"/>
          <w:u w:val="none" w:color="auto"/>
        </w:rPr>
        <w:t>环</w:t>
      </w:r>
      <w:r>
        <w:rPr>
          <w:rFonts w:ascii="Times New Roman" w:hAnsi="Times New Roman" w:eastAsia="宋体" w:cs="Times New Roman"/>
          <w:b/>
          <w:color w:val="auto"/>
          <w:kern w:val="0"/>
          <w:sz w:val="32"/>
          <w:szCs w:val="32"/>
          <w:u w:val="none" w:color="auto"/>
        </w:rPr>
        <w:fldChar w:fldCharType="end"/>
      </w:r>
      <w:r>
        <w:rPr>
          <w:rFonts w:ascii="Times New Roman" w:hAnsi="Times New Roman" w:eastAsia="宋体" w:cs="Times New Roman"/>
          <w:b/>
          <w:color w:val="auto"/>
          <w:kern w:val="0"/>
          <w:sz w:val="32"/>
          <w:szCs w:val="32"/>
          <w:u w:val="none" w:color="auto"/>
        </w:rPr>
        <w:t>境风险分析</w:t>
      </w:r>
      <w:bookmarkEnd w:id="245"/>
    </w:p>
    <w:p w14:paraId="181CE966">
      <w:pPr>
        <w:pStyle w:val="4"/>
        <w:bidi w:val="0"/>
        <w:rPr>
          <w:rFonts w:hint="eastAsia"/>
          <w:color w:val="auto"/>
          <w:u w:val="none" w:color="auto"/>
        </w:rPr>
      </w:pPr>
      <w:r>
        <w:rPr>
          <w:rFonts w:hint="eastAsia"/>
          <w:color w:val="auto"/>
          <w:u w:val="none" w:color="auto"/>
        </w:rPr>
        <w:t>评价依据</w:t>
      </w:r>
    </w:p>
    <w:p w14:paraId="16E7A3ED">
      <w:pPr>
        <w:pStyle w:val="5"/>
        <w:bidi w:val="0"/>
        <w:rPr>
          <w:rFonts w:hint="eastAsia"/>
          <w:color w:val="auto"/>
          <w:u w:val="none" w:color="auto"/>
        </w:rPr>
      </w:pPr>
      <w:r>
        <w:rPr>
          <w:rFonts w:hint="eastAsia"/>
          <w:color w:val="auto"/>
          <w:u w:val="none" w:color="auto"/>
        </w:rPr>
        <w:t>风险调查</w:t>
      </w:r>
    </w:p>
    <w:p w14:paraId="5BD2B20A">
      <w:pPr>
        <w:pStyle w:val="50"/>
        <w:adjustRightInd/>
        <w:ind w:firstLine="480" w:firstLineChars="200"/>
        <w:rPr>
          <w:rFonts w:hint="eastAsia" w:ascii="Times New Roman" w:hAnsi="Times New Roman" w:eastAsia="宋体" w:cs="Times New Roman"/>
          <w:color w:val="auto"/>
          <w:u w:val="none" w:color="auto"/>
        </w:rPr>
      </w:pPr>
      <w:r>
        <w:rPr>
          <w:rFonts w:hint="eastAsia" w:ascii="Times New Roman" w:hAnsi="Times New Roman" w:eastAsia="宋体" w:cs="Times New Roman"/>
          <w:color w:val="auto"/>
          <w:u w:val="none" w:color="auto"/>
        </w:rPr>
        <w:t>本项目主要危险物质包括各类涂料中的二甲苯、</w:t>
      </w:r>
      <w:r>
        <w:rPr>
          <w:rFonts w:hint="eastAsia" w:ascii="Times New Roman" w:hAnsi="Times New Roman" w:cs="Times New Roman"/>
          <w:color w:val="auto"/>
          <w:u w:val="none" w:color="auto"/>
          <w:lang w:val="en-US" w:eastAsia="zh-CN"/>
        </w:rPr>
        <w:t>甲苯</w:t>
      </w:r>
      <w:r>
        <w:rPr>
          <w:rFonts w:hint="eastAsia" w:ascii="Times New Roman" w:hAnsi="Times New Roman" w:eastAsia="宋体" w:cs="Times New Roman"/>
          <w:color w:val="auto"/>
          <w:u w:val="none" w:color="auto"/>
        </w:rPr>
        <w:t>、丙烷、废矿物油等。</w:t>
      </w:r>
    </w:p>
    <w:p w14:paraId="7D9C4708">
      <w:pPr>
        <w:pStyle w:val="5"/>
        <w:bidi w:val="0"/>
        <w:rPr>
          <w:rFonts w:hint="eastAsia"/>
          <w:color w:val="auto"/>
          <w:u w:val="none" w:color="auto"/>
        </w:rPr>
      </w:pPr>
      <w:r>
        <w:rPr>
          <w:rFonts w:hint="eastAsia"/>
          <w:color w:val="auto"/>
          <w:u w:val="none" w:color="auto"/>
        </w:rPr>
        <w:t xml:space="preserve"> 风险潜势初判</w:t>
      </w:r>
    </w:p>
    <w:p w14:paraId="46D38343">
      <w:pPr>
        <w:pStyle w:val="50"/>
        <w:adjustRightInd/>
        <w:ind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u w:val="none" w:color="auto"/>
        </w:rPr>
        <w:t xml:space="preserve">根据《建设项目环境风险评价技术导则》 (HJ169-2018)附录 B 核查运营期涉及的 </w:t>
      </w:r>
      <w:r>
        <w:rPr>
          <w:rFonts w:hint="default" w:ascii="Times New Roman" w:hAnsi="Times New Roman" w:eastAsia="宋体" w:cs="Times New Roman"/>
          <w:color w:val="auto"/>
          <w:sz w:val="24"/>
          <w:szCs w:val="24"/>
          <w:u w:val="none" w:color="auto"/>
        </w:rPr>
        <w:t>突发环境事件风险物质, 根据附录 C, 计算所涉及的每种危险物质在厂界内的最大存在 总量与其在附录 B 中对应临界量的比值 Q。在不同厂区的同一种物质, 按其在厂界内的 最大存在总量计算,计算公式如下:</w:t>
      </w:r>
    </w:p>
    <w:p w14:paraId="22700846">
      <w:pPr>
        <w:pStyle w:val="50"/>
        <w:adjustRightInd/>
        <w:ind w:firstLine="480" w:firstLineChars="200"/>
        <w:jc w:val="center"/>
        <w:rPr>
          <w:rFonts w:hint="default" w:ascii="Times New Roman" w:hAnsi="Times New Roman" w:eastAsia="宋体" w:cs="Times New Roman"/>
          <w:color w:val="auto"/>
          <w:sz w:val="24"/>
          <w:szCs w:val="24"/>
          <w:u w:val="none" w:color="auto"/>
        </w:rPr>
      </w:pPr>
      <w:r>
        <w:rPr>
          <w:rFonts w:cs="Times New Roman"/>
          <w:color w:val="auto"/>
        </w:rPr>
        <w:drawing>
          <wp:inline distT="0" distB="0" distL="114300" distR="114300">
            <wp:extent cx="1971675" cy="590550"/>
            <wp:effectExtent l="0" t="0" r="0" b="0"/>
            <wp:docPr id="197"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358"/>
                    <pic:cNvPicPr>
                      <a:picLocks noChangeAspect="1"/>
                    </pic:cNvPicPr>
                  </pic:nvPicPr>
                  <pic:blipFill>
                    <a:blip r:embed="rId81"/>
                    <a:stretch>
                      <a:fillRect/>
                    </a:stretch>
                  </pic:blipFill>
                  <pic:spPr>
                    <a:xfrm>
                      <a:off x="0" y="0"/>
                      <a:ext cx="1971675" cy="590550"/>
                    </a:xfrm>
                    <a:prstGeom prst="rect">
                      <a:avLst/>
                    </a:prstGeom>
                    <a:noFill/>
                    <a:ln>
                      <a:noFill/>
                    </a:ln>
                  </pic:spPr>
                </pic:pic>
              </a:graphicData>
            </a:graphic>
          </wp:inline>
        </w:drawing>
      </w:r>
    </w:p>
    <w:p w14:paraId="1D6F2143">
      <w:pPr>
        <w:spacing w:before="279" w:line="221" w:lineRule="auto"/>
        <w:ind w:left="461"/>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9"/>
          <w:sz w:val="24"/>
          <w:szCs w:val="24"/>
          <w:u w:val="none" w:color="auto"/>
        </w:rPr>
        <w:t>式中:</w:t>
      </w:r>
    </w:p>
    <w:p w14:paraId="2F47875F">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1"/>
          <w:sz w:val="24"/>
          <w:szCs w:val="24"/>
          <w:u w:val="none" w:color="auto"/>
        </w:rPr>
        <w:t>q</w:t>
      </w:r>
      <w:r>
        <w:rPr>
          <w:rFonts w:hint="default" w:ascii="Times New Roman" w:hAnsi="Times New Roman" w:eastAsia="宋体" w:cs="Times New Roman"/>
          <w:color w:val="auto"/>
          <w:spacing w:val="-1"/>
          <w:position w:val="-1"/>
          <w:sz w:val="24"/>
          <w:szCs w:val="24"/>
          <w:u w:val="none" w:color="auto"/>
          <w:vertAlign w:val="subscript"/>
        </w:rPr>
        <w:t>1</w:t>
      </w:r>
      <w:r>
        <w:rPr>
          <w:rFonts w:hint="default" w:ascii="Times New Roman" w:hAnsi="Times New Roman" w:eastAsia="宋体" w:cs="Times New Roman"/>
          <w:color w:val="auto"/>
          <w:spacing w:val="14"/>
          <w:position w:val="-1"/>
          <w:sz w:val="24"/>
          <w:szCs w:val="24"/>
          <w:u w:val="none" w:color="auto"/>
        </w:rPr>
        <w:t xml:space="preserve"> </w:t>
      </w:r>
      <w:r>
        <w:rPr>
          <w:rFonts w:hint="default" w:ascii="Times New Roman" w:hAnsi="Times New Roman" w:eastAsia="宋体" w:cs="Times New Roman"/>
          <w:color w:val="auto"/>
          <w:spacing w:val="-25"/>
          <w:sz w:val="24"/>
          <w:szCs w:val="24"/>
          <w:u w:val="none" w:color="auto"/>
        </w:rPr>
        <w:t>,</w:t>
      </w:r>
      <w:r>
        <w:rPr>
          <w:rFonts w:hint="default" w:ascii="Times New Roman" w:hAnsi="Times New Roman" w:eastAsia="宋体" w:cs="Times New Roman"/>
          <w:color w:val="auto"/>
          <w:spacing w:val="22"/>
          <w:sz w:val="24"/>
          <w:szCs w:val="24"/>
          <w:u w:val="none" w:color="auto"/>
        </w:rPr>
        <w:t xml:space="preserve"> </w:t>
      </w:r>
      <w:r>
        <w:rPr>
          <w:rFonts w:hint="default" w:ascii="Times New Roman" w:hAnsi="Times New Roman" w:eastAsia="宋体" w:cs="Times New Roman"/>
          <w:color w:val="auto"/>
          <w:spacing w:val="-25"/>
          <w:sz w:val="24"/>
          <w:szCs w:val="24"/>
          <w:u w:val="none" w:color="auto"/>
        </w:rPr>
        <w:t>q</w:t>
      </w:r>
      <w:r>
        <w:rPr>
          <w:rFonts w:hint="default" w:ascii="Times New Roman" w:hAnsi="Times New Roman" w:eastAsia="宋体" w:cs="Times New Roman"/>
          <w:color w:val="auto"/>
          <w:spacing w:val="4"/>
          <w:position w:val="-1"/>
          <w:sz w:val="24"/>
          <w:szCs w:val="24"/>
          <w:u w:val="none" w:color="auto"/>
          <w:vertAlign w:val="subscript"/>
        </w:rPr>
        <w:t>2</w:t>
      </w:r>
      <w:r>
        <w:rPr>
          <w:rFonts w:hint="default" w:ascii="Times New Roman" w:hAnsi="Times New Roman" w:eastAsia="宋体" w:cs="Times New Roman"/>
          <w:color w:val="auto"/>
          <w:spacing w:val="-4"/>
          <w:position w:val="-1"/>
          <w:sz w:val="24"/>
          <w:szCs w:val="24"/>
          <w:u w:val="none" w:color="auto"/>
        </w:rPr>
        <w:t xml:space="preserve"> </w:t>
      </w:r>
      <w:r>
        <w:rPr>
          <w:rFonts w:hint="default" w:ascii="Times New Roman" w:hAnsi="Times New Roman" w:eastAsia="宋体" w:cs="Times New Roman"/>
          <w:color w:val="auto"/>
          <w:spacing w:val="-19"/>
          <w:sz w:val="24"/>
          <w:szCs w:val="24"/>
          <w:u w:val="none" w:color="auto"/>
        </w:rPr>
        <w:t>,</w:t>
      </w:r>
      <w:r>
        <w:rPr>
          <w:rFonts w:hint="default" w:ascii="Times New Roman" w:hAnsi="Times New Roman" w:eastAsia="宋体" w:cs="Times New Roman"/>
          <w:color w:val="auto"/>
          <w:spacing w:val="31"/>
          <w:sz w:val="24"/>
          <w:szCs w:val="24"/>
          <w:u w:val="none" w:color="auto"/>
        </w:rPr>
        <w:t xml:space="preserve"> </w:t>
      </w:r>
      <w:r>
        <w:rPr>
          <w:rFonts w:hint="default" w:ascii="Times New Roman" w:hAnsi="Times New Roman" w:eastAsia="宋体" w:cs="Times New Roman"/>
          <w:color w:val="auto"/>
          <w:spacing w:val="-19"/>
          <w:sz w:val="24"/>
          <w:szCs w:val="24"/>
          <w:u w:val="none" w:color="auto"/>
        </w:rPr>
        <w:t>...</w:t>
      </w:r>
      <w:r>
        <w:rPr>
          <w:rFonts w:hint="default" w:ascii="Times New Roman" w:hAnsi="Times New Roman" w:eastAsia="宋体" w:cs="Times New Roman"/>
          <w:color w:val="auto"/>
          <w:spacing w:val="-24"/>
          <w:sz w:val="24"/>
          <w:szCs w:val="24"/>
          <w:u w:val="none" w:color="auto"/>
        </w:rPr>
        <w:t xml:space="preserve"> </w:t>
      </w:r>
      <w:r>
        <w:rPr>
          <w:rFonts w:hint="default" w:ascii="Times New Roman" w:hAnsi="Times New Roman" w:eastAsia="宋体" w:cs="Times New Roman"/>
          <w:color w:val="auto"/>
          <w:spacing w:val="-19"/>
          <w:sz w:val="24"/>
          <w:szCs w:val="24"/>
          <w:u w:val="none" w:color="auto"/>
        </w:rPr>
        <w:t>,</w:t>
      </w:r>
      <w:r>
        <w:rPr>
          <w:rFonts w:hint="default" w:ascii="Times New Roman" w:hAnsi="Times New Roman" w:eastAsia="宋体" w:cs="Times New Roman"/>
          <w:color w:val="auto"/>
          <w:spacing w:val="22"/>
          <w:sz w:val="24"/>
          <w:szCs w:val="24"/>
          <w:u w:val="none" w:color="auto"/>
        </w:rPr>
        <w:t xml:space="preserve"> </w:t>
      </w:r>
      <w:r>
        <w:rPr>
          <w:rFonts w:hint="default" w:ascii="Times New Roman" w:hAnsi="Times New Roman" w:eastAsia="宋体" w:cs="Times New Roman"/>
          <w:color w:val="auto"/>
          <w:spacing w:val="-19"/>
          <w:sz w:val="24"/>
          <w:szCs w:val="24"/>
          <w:u w:val="none" w:color="auto"/>
        </w:rPr>
        <w:t>q</w:t>
      </w:r>
      <w:r>
        <w:rPr>
          <w:rFonts w:hint="default" w:ascii="Times New Roman" w:hAnsi="Times New Roman" w:eastAsia="宋体" w:cs="Times New Roman"/>
          <w:color w:val="auto"/>
          <w:spacing w:val="-2"/>
          <w:sz w:val="24"/>
          <w:szCs w:val="24"/>
          <w:u w:val="none" w:color="auto"/>
        </w:rPr>
        <w:t>n——每种危险物质的最大存在总量,t。</w:t>
      </w:r>
    </w:p>
    <w:p w14:paraId="6041271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Q</w:t>
      </w:r>
      <w:r>
        <w:rPr>
          <w:rFonts w:hint="default" w:ascii="Times New Roman" w:hAnsi="Times New Roman" w:eastAsia="宋体" w:cs="Times New Roman"/>
          <w:color w:val="auto"/>
          <w:position w:val="-1"/>
          <w:sz w:val="24"/>
          <w:szCs w:val="24"/>
          <w:u w:val="none" w:color="auto"/>
          <w:vertAlign w:val="subscript"/>
        </w:rPr>
        <w:t>1</w:t>
      </w:r>
      <w:r>
        <w:rPr>
          <w:rFonts w:hint="default" w:ascii="Times New Roman" w:hAnsi="Times New Roman" w:eastAsia="宋体" w:cs="Times New Roman"/>
          <w:color w:val="auto"/>
          <w:sz w:val="24"/>
          <w:szCs w:val="24"/>
          <w:u w:val="none" w:color="auto"/>
        </w:rPr>
        <w:t>, Q</w:t>
      </w:r>
      <w:r>
        <w:rPr>
          <w:rFonts w:hint="default" w:ascii="Times New Roman" w:hAnsi="Times New Roman" w:eastAsia="宋体" w:cs="Times New Roman"/>
          <w:color w:val="auto"/>
          <w:position w:val="-1"/>
          <w:sz w:val="24"/>
          <w:szCs w:val="24"/>
          <w:u w:val="none" w:color="auto"/>
          <w:vertAlign w:val="subscript"/>
        </w:rPr>
        <w:t>2</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15"/>
          <w:w w:val="101"/>
          <w:sz w:val="24"/>
          <w:szCs w:val="24"/>
          <w:u w:val="none" w:color="auto"/>
        </w:rPr>
        <w:t xml:space="preserve"> </w:t>
      </w:r>
      <w:r>
        <w:rPr>
          <w:rFonts w:hint="default" w:ascii="Times New Roman" w:hAnsi="Times New Roman" w:eastAsia="宋体" w:cs="Times New Roman"/>
          <w:color w:val="auto"/>
          <w:sz w:val="24"/>
          <w:szCs w:val="24"/>
          <w:u w:val="none" w:color="auto"/>
        </w:rPr>
        <w:t>..., Q</w:t>
      </w:r>
      <w:r>
        <w:rPr>
          <w:rFonts w:hint="default" w:ascii="Times New Roman" w:hAnsi="Times New Roman" w:eastAsia="宋体" w:cs="Times New Roman"/>
          <w:color w:val="auto"/>
          <w:spacing w:val="-51"/>
          <w:sz w:val="24"/>
          <w:szCs w:val="24"/>
          <w:u w:val="none" w:color="auto"/>
        </w:rPr>
        <w:t xml:space="preserve"> </w:t>
      </w:r>
      <w:r>
        <w:rPr>
          <w:rFonts w:hint="default" w:ascii="Times New Roman" w:hAnsi="Times New Roman" w:eastAsia="宋体" w:cs="Times New Roman"/>
          <w:color w:val="auto"/>
          <w:sz w:val="24"/>
          <w:szCs w:val="24"/>
          <w:u w:val="none" w:color="auto"/>
        </w:rPr>
        <w:t>n——每种危险物质</w:t>
      </w:r>
      <w:r>
        <w:rPr>
          <w:rFonts w:hint="default" w:ascii="Times New Roman" w:hAnsi="Times New Roman" w:eastAsia="宋体" w:cs="Times New Roman"/>
          <w:color w:val="auto"/>
          <w:spacing w:val="-1"/>
          <w:sz w:val="24"/>
          <w:szCs w:val="24"/>
          <w:u w:val="none" w:color="auto"/>
        </w:rPr>
        <w:t>的临界量, t。</w:t>
      </w:r>
    </w:p>
    <w:p w14:paraId="0EBB2793">
      <w:pPr>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当</w:t>
      </w:r>
      <w:r>
        <w:rPr>
          <w:rFonts w:hint="default" w:ascii="Times New Roman" w:hAnsi="Times New Roman" w:eastAsia="宋体" w:cs="Times New Roman"/>
          <w:color w:val="auto"/>
          <w:spacing w:val="-37"/>
          <w:sz w:val="24"/>
          <w:szCs w:val="24"/>
          <w:u w:val="none" w:color="auto"/>
        </w:rPr>
        <w:t xml:space="preserve"> </w:t>
      </w:r>
      <w:r>
        <w:rPr>
          <w:rFonts w:hint="default" w:ascii="Times New Roman" w:hAnsi="Times New Roman" w:eastAsia="宋体" w:cs="Times New Roman"/>
          <w:color w:val="auto"/>
          <w:spacing w:val="1"/>
          <w:sz w:val="24"/>
          <w:szCs w:val="24"/>
          <w:u w:val="none" w:color="auto"/>
        </w:rPr>
        <w:t>Q&lt;1  时,</w:t>
      </w:r>
      <w:r>
        <w:rPr>
          <w:rFonts w:hint="default" w:ascii="Times New Roman" w:hAnsi="Times New Roman" w:eastAsia="宋体" w:cs="Times New Roman"/>
          <w:color w:val="auto"/>
          <w:spacing w:val="27"/>
          <w:sz w:val="24"/>
          <w:szCs w:val="24"/>
          <w:u w:val="none" w:color="auto"/>
        </w:rPr>
        <w:t xml:space="preserve"> </w:t>
      </w:r>
      <w:r>
        <w:rPr>
          <w:rFonts w:hint="default" w:ascii="Times New Roman" w:hAnsi="Times New Roman" w:eastAsia="宋体" w:cs="Times New Roman"/>
          <w:color w:val="auto"/>
          <w:spacing w:val="1"/>
          <w:sz w:val="24"/>
          <w:szCs w:val="24"/>
          <w:u w:val="none" w:color="auto"/>
        </w:rPr>
        <w:t>该项目环境风险潜势为</w:t>
      </w:r>
      <w:r>
        <w:rPr>
          <w:rFonts w:hint="default" w:ascii="Times New Roman" w:hAnsi="Times New Roman" w:eastAsia="宋体" w:cs="Times New Roman"/>
          <w:color w:val="auto"/>
          <w:spacing w:val="-47"/>
          <w:sz w:val="24"/>
          <w:szCs w:val="24"/>
          <w:u w:val="none" w:color="auto"/>
        </w:rPr>
        <w:t xml:space="preserve"> </w:t>
      </w:r>
      <w:r>
        <w:rPr>
          <w:rFonts w:hint="default" w:ascii="Times New Roman" w:hAnsi="Times New Roman" w:eastAsia="宋体" w:cs="Times New Roman"/>
          <w:color w:val="auto"/>
          <w:spacing w:val="1"/>
          <w:sz w:val="24"/>
          <w:szCs w:val="24"/>
          <w:u w:val="none" w:color="auto"/>
        </w:rPr>
        <w:t>I。</w:t>
      </w:r>
    </w:p>
    <w:p w14:paraId="2BB4FBEE">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pacing w:val="-1"/>
          <w:sz w:val="24"/>
          <w:szCs w:val="24"/>
          <w:u w:val="single" w:color="auto"/>
        </w:rPr>
        <w:t>当</w:t>
      </w:r>
      <w:r>
        <w:rPr>
          <w:rFonts w:hint="default" w:ascii="Times New Roman" w:hAnsi="Times New Roman" w:eastAsia="宋体" w:cs="Times New Roman"/>
          <w:color w:val="auto"/>
          <w:spacing w:val="-30"/>
          <w:sz w:val="24"/>
          <w:szCs w:val="24"/>
          <w:u w:val="single" w:color="auto"/>
        </w:rPr>
        <w:t xml:space="preserve"> </w:t>
      </w:r>
      <w:r>
        <w:rPr>
          <w:rFonts w:hint="default" w:ascii="Times New Roman" w:hAnsi="Times New Roman" w:eastAsia="宋体" w:cs="Times New Roman"/>
          <w:color w:val="auto"/>
          <w:spacing w:val="-1"/>
          <w:sz w:val="24"/>
          <w:szCs w:val="24"/>
          <w:u w:val="single" w:color="auto"/>
        </w:rPr>
        <w:t>Q≥1</w:t>
      </w:r>
      <w:r>
        <w:rPr>
          <w:rFonts w:hint="default" w:ascii="Times New Roman" w:hAnsi="Times New Roman" w:eastAsia="宋体" w:cs="Times New Roman"/>
          <w:color w:val="auto"/>
          <w:spacing w:val="26"/>
          <w:w w:val="101"/>
          <w:sz w:val="24"/>
          <w:szCs w:val="24"/>
          <w:u w:val="single" w:color="auto"/>
        </w:rPr>
        <w:t xml:space="preserve"> </w:t>
      </w:r>
      <w:r>
        <w:rPr>
          <w:rFonts w:hint="default" w:ascii="Times New Roman" w:hAnsi="Times New Roman" w:eastAsia="宋体" w:cs="Times New Roman"/>
          <w:color w:val="auto"/>
          <w:spacing w:val="-1"/>
          <w:sz w:val="24"/>
          <w:szCs w:val="24"/>
          <w:u w:val="single" w:color="auto"/>
        </w:rPr>
        <w:t>时,</w:t>
      </w:r>
      <w:r>
        <w:rPr>
          <w:rFonts w:hint="default" w:ascii="Times New Roman" w:hAnsi="Times New Roman" w:eastAsia="宋体" w:cs="Times New Roman"/>
          <w:color w:val="auto"/>
          <w:spacing w:val="28"/>
          <w:sz w:val="24"/>
          <w:szCs w:val="24"/>
          <w:u w:val="single" w:color="auto"/>
        </w:rPr>
        <w:t xml:space="preserve"> </w:t>
      </w:r>
      <w:r>
        <w:rPr>
          <w:rFonts w:hint="default" w:ascii="Times New Roman" w:hAnsi="Times New Roman" w:eastAsia="宋体" w:cs="Times New Roman"/>
          <w:color w:val="auto"/>
          <w:spacing w:val="-1"/>
          <w:sz w:val="24"/>
          <w:szCs w:val="24"/>
          <w:u w:val="single" w:color="auto"/>
        </w:rPr>
        <w:t>将</w:t>
      </w:r>
      <w:r>
        <w:rPr>
          <w:rFonts w:hint="default" w:ascii="Times New Roman" w:hAnsi="Times New Roman" w:eastAsia="宋体" w:cs="Times New Roman"/>
          <w:color w:val="auto"/>
          <w:spacing w:val="-48"/>
          <w:sz w:val="24"/>
          <w:szCs w:val="24"/>
          <w:u w:val="single" w:color="auto"/>
        </w:rPr>
        <w:t xml:space="preserve"> </w:t>
      </w:r>
      <w:r>
        <w:rPr>
          <w:rFonts w:hint="default" w:ascii="Times New Roman" w:hAnsi="Times New Roman" w:eastAsia="宋体" w:cs="Times New Roman"/>
          <w:color w:val="auto"/>
          <w:spacing w:val="-1"/>
          <w:sz w:val="24"/>
          <w:szCs w:val="24"/>
          <w:u w:val="single" w:color="auto"/>
        </w:rPr>
        <w:t>Q</w:t>
      </w:r>
      <w:r>
        <w:rPr>
          <w:rFonts w:hint="default" w:ascii="Times New Roman" w:hAnsi="Times New Roman" w:eastAsia="宋体" w:cs="Times New Roman"/>
          <w:color w:val="auto"/>
          <w:spacing w:val="15"/>
          <w:sz w:val="24"/>
          <w:szCs w:val="24"/>
          <w:u w:val="single" w:color="auto"/>
        </w:rPr>
        <w:t xml:space="preserve"> </w:t>
      </w:r>
      <w:r>
        <w:rPr>
          <w:rFonts w:hint="default" w:ascii="Times New Roman" w:hAnsi="Times New Roman" w:eastAsia="宋体" w:cs="Times New Roman"/>
          <w:color w:val="auto"/>
          <w:spacing w:val="-1"/>
          <w:sz w:val="24"/>
          <w:szCs w:val="24"/>
          <w:u w:val="single" w:color="auto"/>
        </w:rPr>
        <w:t>值划分为:</w:t>
      </w:r>
      <w:r>
        <w:rPr>
          <w:rFonts w:hint="default" w:ascii="Times New Roman" w:hAnsi="Times New Roman" w:eastAsia="宋体" w:cs="Times New Roman"/>
          <w:color w:val="auto"/>
          <w:spacing w:val="32"/>
          <w:sz w:val="24"/>
          <w:szCs w:val="24"/>
          <w:u w:val="single" w:color="auto"/>
        </w:rPr>
        <w:t xml:space="preserve"> </w:t>
      </w:r>
      <w:r>
        <w:rPr>
          <w:rFonts w:hint="default" w:ascii="Times New Roman" w:hAnsi="Times New Roman" w:eastAsia="宋体" w:cs="Times New Roman"/>
          <w:color w:val="auto"/>
          <w:spacing w:val="-1"/>
          <w:sz w:val="24"/>
          <w:szCs w:val="24"/>
          <w:u w:val="single" w:color="auto"/>
        </w:rPr>
        <w:t>(1) 1≤Q&lt;10;</w:t>
      </w:r>
      <w:r>
        <w:rPr>
          <w:rFonts w:hint="default" w:ascii="Times New Roman" w:hAnsi="Times New Roman" w:eastAsia="宋体" w:cs="Times New Roman"/>
          <w:color w:val="auto"/>
          <w:spacing w:val="31"/>
          <w:sz w:val="24"/>
          <w:szCs w:val="24"/>
          <w:u w:val="single" w:color="auto"/>
        </w:rPr>
        <w:t xml:space="preserve"> </w:t>
      </w:r>
      <w:r>
        <w:rPr>
          <w:rFonts w:hint="default" w:ascii="Times New Roman" w:hAnsi="Times New Roman" w:eastAsia="宋体" w:cs="Times New Roman"/>
          <w:color w:val="auto"/>
          <w:spacing w:val="-1"/>
          <w:sz w:val="24"/>
          <w:szCs w:val="24"/>
          <w:u w:val="single" w:color="auto"/>
        </w:rPr>
        <w:t>(2) 10≤Q&lt;100;</w:t>
      </w:r>
      <w:r>
        <w:rPr>
          <w:rFonts w:hint="default" w:ascii="Times New Roman" w:hAnsi="Times New Roman" w:eastAsia="宋体" w:cs="Times New Roman"/>
          <w:color w:val="auto"/>
          <w:spacing w:val="30"/>
          <w:sz w:val="24"/>
          <w:szCs w:val="24"/>
          <w:u w:val="single" w:color="auto"/>
        </w:rPr>
        <w:t xml:space="preserve"> </w:t>
      </w:r>
      <w:r>
        <w:rPr>
          <w:rFonts w:hint="default" w:ascii="Times New Roman" w:hAnsi="Times New Roman" w:eastAsia="宋体" w:cs="Times New Roman"/>
          <w:color w:val="auto"/>
          <w:spacing w:val="-1"/>
          <w:sz w:val="24"/>
          <w:szCs w:val="24"/>
          <w:u w:val="single" w:color="auto"/>
        </w:rPr>
        <w:t>(3) Q≥100。</w:t>
      </w:r>
      <w:r>
        <w:rPr>
          <w:rFonts w:hint="default" w:ascii="Times New Roman" w:hAnsi="Times New Roman" w:eastAsia="宋体" w:cs="Times New Roman"/>
          <w:color w:val="auto"/>
          <w:sz w:val="24"/>
          <w:szCs w:val="24"/>
          <w:u w:val="single" w:color="auto"/>
        </w:rPr>
        <w:t xml:space="preserve"> </w:t>
      </w:r>
      <w:r>
        <w:rPr>
          <w:rFonts w:hint="default" w:ascii="Times New Roman" w:hAnsi="Times New Roman" w:eastAsia="宋体" w:cs="Times New Roman"/>
          <w:color w:val="auto"/>
          <w:spacing w:val="2"/>
          <w:sz w:val="24"/>
          <w:szCs w:val="24"/>
          <w:u w:val="single" w:color="auto"/>
        </w:rPr>
        <w:t>经核算,</w:t>
      </w:r>
      <w:r>
        <w:rPr>
          <w:rFonts w:hint="default" w:ascii="Times New Roman" w:hAnsi="Times New Roman" w:eastAsia="宋体" w:cs="Times New Roman"/>
          <w:color w:val="auto"/>
          <w:spacing w:val="44"/>
          <w:sz w:val="24"/>
          <w:szCs w:val="24"/>
          <w:u w:val="single" w:color="auto"/>
        </w:rPr>
        <w:t xml:space="preserve"> </w:t>
      </w:r>
      <w:r>
        <w:rPr>
          <w:rFonts w:hint="default" w:ascii="Times New Roman" w:hAnsi="Times New Roman" w:eastAsia="宋体" w:cs="Times New Roman"/>
          <w:color w:val="auto"/>
          <w:spacing w:val="2"/>
          <w:sz w:val="24"/>
          <w:szCs w:val="24"/>
          <w:u w:val="single" w:color="auto"/>
        </w:rPr>
        <w:t>Q 值为</w:t>
      </w:r>
      <w:r>
        <w:rPr>
          <w:rFonts w:hint="default" w:ascii="Times New Roman" w:hAnsi="Times New Roman" w:eastAsia="宋体" w:cs="Times New Roman"/>
          <w:color w:val="auto"/>
          <w:spacing w:val="-46"/>
          <w:sz w:val="24"/>
          <w:szCs w:val="24"/>
          <w:u w:val="single" w:color="auto"/>
        </w:rPr>
        <w:t xml:space="preserve"> </w:t>
      </w:r>
      <w:r>
        <w:rPr>
          <w:rFonts w:hint="eastAsia" w:ascii="Times New Roman" w:hAnsi="Times New Roman" w:eastAsia="宋体" w:cs="Times New Roman"/>
          <w:color w:val="auto"/>
          <w:spacing w:val="2"/>
          <w:sz w:val="24"/>
          <w:szCs w:val="24"/>
          <w:u w:val="single" w:color="auto"/>
          <w:lang w:val="en-US" w:eastAsia="zh-CN"/>
        </w:rPr>
        <w:t>0.6634</w:t>
      </w:r>
      <w:r>
        <w:rPr>
          <w:rFonts w:hint="default" w:ascii="Times New Roman" w:hAnsi="Times New Roman" w:eastAsia="宋体" w:cs="Times New Roman"/>
          <w:color w:val="auto"/>
          <w:spacing w:val="2"/>
          <w:sz w:val="24"/>
          <w:szCs w:val="24"/>
          <w:u w:val="single" w:color="auto"/>
        </w:rPr>
        <w:t>。</w:t>
      </w:r>
    </w:p>
    <w:p w14:paraId="64AD2C6D">
      <w:pPr>
        <w:pStyle w:val="6"/>
        <w:bidi w:val="0"/>
        <w:rPr>
          <w:color w:val="auto"/>
          <w:u w:val="none" w:color="auto"/>
        </w:rPr>
      </w:pPr>
      <w:r>
        <w:rPr>
          <w:rFonts w:ascii="Times New Roman" w:hAnsi="Times New Roman" w:eastAsia="Times New Roman" w:cs="Times New Roman"/>
          <w:b/>
          <w:bCs/>
          <w:color w:val="auto"/>
          <w:spacing w:val="2"/>
          <w:sz w:val="21"/>
          <w:szCs w:val="21"/>
          <w:u w:val="none" w:color="auto"/>
        </w:rPr>
        <w:t xml:space="preserve"> </w:t>
      </w:r>
      <w:r>
        <w:rPr>
          <w:rFonts w:ascii="宋体" w:hAnsi="宋体" w:eastAsia="宋体" w:cs="宋体"/>
          <w:b/>
          <w:bCs/>
          <w:color w:val="auto"/>
          <w:spacing w:val="2"/>
          <w:sz w:val="21"/>
          <w:szCs w:val="21"/>
          <w:u w:val="none" w:color="auto"/>
        </w:rPr>
        <w:t>项目危险物质数量与临界量比值</w:t>
      </w:r>
      <w:r>
        <w:rPr>
          <w:rFonts w:ascii="宋体" w:hAnsi="宋体" w:eastAsia="宋体" w:cs="宋体"/>
          <w:color w:val="auto"/>
          <w:spacing w:val="2"/>
          <w:sz w:val="21"/>
          <w:szCs w:val="21"/>
          <w:u w:val="none" w:color="auto"/>
        </w:rPr>
        <w:t xml:space="preserve"> </w:t>
      </w:r>
      <w:r>
        <w:rPr>
          <w:rFonts w:ascii="宋体" w:hAnsi="宋体" w:eastAsia="宋体" w:cs="宋体"/>
          <w:b/>
          <w:bCs/>
          <w:color w:val="auto"/>
          <w:spacing w:val="2"/>
          <w:sz w:val="21"/>
          <w:szCs w:val="21"/>
          <w:u w:val="none" w:color="auto"/>
        </w:rPr>
        <w:t>(</w:t>
      </w:r>
      <w:r>
        <w:rPr>
          <w:rFonts w:ascii="Times New Roman" w:hAnsi="Times New Roman" w:eastAsia="Times New Roman" w:cs="Times New Roman"/>
          <w:b/>
          <w:bCs/>
          <w:color w:val="auto"/>
          <w:spacing w:val="2"/>
          <w:sz w:val="21"/>
          <w:szCs w:val="21"/>
          <w:u w:val="none" w:color="auto"/>
        </w:rPr>
        <w:t>Q</w:t>
      </w:r>
      <w:r>
        <w:rPr>
          <w:rFonts w:ascii="宋体" w:hAnsi="宋体" w:eastAsia="宋体" w:cs="宋体"/>
          <w:b/>
          <w:bCs/>
          <w:color w:val="auto"/>
          <w:spacing w:val="2"/>
          <w:sz w:val="21"/>
          <w:szCs w:val="21"/>
          <w:u w:val="none" w:color="auto"/>
        </w:rPr>
        <w:t>)统计</w:t>
      </w:r>
    </w:p>
    <w:tbl>
      <w:tblPr>
        <w:tblStyle w:val="3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1692"/>
        <w:gridCol w:w="1750"/>
        <w:gridCol w:w="1599"/>
        <w:gridCol w:w="1358"/>
        <w:gridCol w:w="1103"/>
      </w:tblGrid>
      <w:tr w14:paraId="30253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17" w:type="dxa"/>
            <w:vAlign w:val="center"/>
          </w:tcPr>
          <w:p w14:paraId="4B13867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序号</w:t>
            </w:r>
          </w:p>
        </w:tc>
        <w:tc>
          <w:tcPr>
            <w:tcW w:w="1692" w:type="dxa"/>
            <w:vAlign w:val="center"/>
          </w:tcPr>
          <w:p w14:paraId="0BB6B93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w:t>
            </w:r>
          </w:p>
          <w:p w14:paraId="31461A98">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物质</w:t>
            </w:r>
          </w:p>
        </w:tc>
        <w:tc>
          <w:tcPr>
            <w:tcW w:w="1750" w:type="dxa"/>
            <w:vAlign w:val="center"/>
          </w:tcPr>
          <w:p w14:paraId="270243C0">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CAS号</w:t>
            </w:r>
          </w:p>
        </w:tc>
        <w:tc>
          <w:tcPr>
            <w:tcW w:w="1599" w:type="dxa"/>
            <w:vAlign w:val="center"/>
          </w:tcPr>
          <w:p w14:paraId="264A49D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最大存</w:t>
            </w:r>
          </w:p>
          <w:p w14:paraId="38A390B6">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在总量/t</w:t>
            </w:r>
          </w:p>
        </w:tc>
        <w:tc>
          <w:tcPr>
            <w:tcW w:w="1358" w:type="dxa"/>
            <w:vAlign w:val="center"/>
          </w:tcPr>
          <w:p w14:paraId="58FD484D">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储存临</w:t>
            </w:r>
          </w:p>
          <w:p w14:paraId="70EECB3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界量t</w:t>
            </w:r>
          </w:p>
        </w:tc>
        <w:tc>
          <w:tcPr>
            <w:tcW w:w="1103" w:type="dxa"/>
            <w:vAlign w:val="center"/>
          </w:tcPr>
          <w:p w14:paraId="702891A5">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Q/q</w:t>
            </w:r>
          </w:p>
        </w:tc>
      </w:tr>
      <w:tr w14:paraId="46592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3AD9FF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w:t>
            </w:r>
          </w:p>
        </w:tc>
        <w:tc>
          <w:tcPr>
            <w:tcW w:w="1692" w:type="dxa"/>
            <w:vAlign w:val="center"/>
          </w:tcPr>
          <w:p w14:paraId="184AA6EE">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油漆</w:t>
            </w:r>
            <w:r>
              <w:rPr>
                <w:rFonts w:hint="eastAsia" w:ascii="Times New Roman" w:hAnsi="Times New Roman" w:eastAsia="宋体" w:cs="Times New Roman"/>
                <w:color w:val="auto"/>
                <w:szCs w:val="21"/>
                <w:u w:val="single" w:color="auto"/>
              </w:rPr>
              <w:t>）</w:t>
            </w:r>
          </w:p>
        </w:tc>
        <w:tc>
          <w:tcPr>
            <w:tcW w:w="1750" w:type="dxa"/>
            <w:vMerge w:val="restart"/>
            <w:vAlign w:val="center"/>
          </w:tcPr>
          <w:p w14:paraId="7DB4D9EA">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1330-20-7</w:t>
            </w:r>
          </w:p>
        </w:tc>
        <w:tc>
          <w:tcPr>
            <w:tcW w:w="1599" w:type="dxa"/>
            <w:vAlign w:val="center"/>
          </w:tcPr>
          <w:p w14:paraId="3F12798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w:t>
            </w:r>
          </w:p>
        </w:tc>
        <w:tc>
          <w:tcPr>
            <w:tcW w:w="1358" w:type="dxa"/>
            <w:vAlign w:val="center"/>
          </w:tcPr>
          <w:p w14:paraId="109A7CC8">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74B7FDFC">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w:t>
            </w:r>
          </w:p>
        </w:tc>
      </w:tr>
      <w:tr w14:paraId="603D1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17474CDA">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w:t>
            </w:r>
          </w:p>
        </w:tc>
        <w:tc>
          <w:tcPr>
            <w:tcW w:w="1692" w:type="dxa"/>
            <w:vAlign w:val="center"/>
          </w:tcPr>
          <w:p w14:paraId="101CDFE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稀释剂</w:t>
            </w:r>
            <w:r>
              <w:rPr>
                <w:rFonts w:hint="eastAsia" w:ascii="Times New Roman" w:hAnsi="Times New Roman" w:eastAsia="宋体" w:cs="Times New Roman"/>
                <w:color w:val="auto"/>
                <w:szCs w:val="21"/>
                <w:u w:val="single" w:color="auto"/>
              </w:rPr>
              <w:t>）</w:t>
            </w:r>
          </w:p>
        </w:tc>
        <w:tc>
          <w:tcPr>
            <w:tcW w:w="1750" w:type="dxa"/>
            <w:vMerge w:val="continue"/>
            <w:vAlign w:val="center"/>
          </w:tcPr>
          <w:p w14:paraId="1D23116D">
            <w:pPr>
              <w:widowControl/>
              <w:autoSpaceDE w:val="0"/>
              <w:autoSpaceDN w:val="0"/>
              <w:adjustRightInd w:val="0"/>
              <w:snapToGrid w:val="0"/>
              <w:jc w:val="center"/>
              <w:rPr>
                <w:rFonts w:ascii="Times New Roman" w:hAnsi="Times New Roman" w:eastAsia="宋体" w:cs="Times New Roman"/>
                <w:color w:val="auto"/>
                <w:szCs w:val="21"/>
                <w:u w:val="single" w:color="auto"/>
              </w:rPr>
            </w:pPr>
          </w:p>
        </w:tc>
        <w:tc>
          <w:tcPr>
            <w:tcW w:w="1599" w:type="dxa"/>
            <w:vAlign w:val="center"/>
          </w:tcPr>
          <w:p w14:paraId="3EBD0471">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2.75</w:t>
            </w:r>
          </w:p>
        </w:tc>
        <w:tc>
          <w:tcPr>
            <w:tcW w:w="1358" w:type="dxa"/>
            <w:vAlign w:val="center"/>
          </w:tcPr>
          <w:p w14:paraId="441B3C7D">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450BD2D6">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0.275</w:t>
            </w:r>
          </w:p>
        </w:tc>
      </w:tr>
      <w:tr w14:paraId="287BC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13EB9B0F">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1692" w:type="dxa"/>
            <w:vAlign w:val="center"/>
          </w:tcPr>
          <w:p w14:paraId="3D53A7CB">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二甲苯（</w:t>
            </w:r>
            <w:r>
              <w:rPr>
                <w:rFonts w:ascii="Times New Roman" w:hAnsi="Times New Roman" w:eastAsia="宋体" w:cs="Times New Roman"/>
                <w:color w:val="auto"/>
                <w:szCs w:val="21"/>
                <w:u w:val="single" w:color="auto"/>
              </w:rPr>
              <w:t>固化剂</w:t>
            </w:r>
            <w:r>
              <w:rPr>
                <w:rFonts w:hint="eastAsia" w:ascii="Times New Roman" w:hAnsi="Times New Roman" w:eastAsia="宋体" w:cs="Times New Roman"/>
                <w:color w:val="auto"/>
                <w:szCs w:val="21"/>
                <w:u w:val="single" w:color="auto"/>
              </w:rPr>
              <w:t>）</w:t>
            </w:r>
          </w:p>
        </w:tc>
        <w:tc>
          <w:tcPr>
            <w:tcW w:w="1750" w:type="dxa"/>
            <w:vMerge w:val="continue"/>
            <w:vAlign w:val="center"/>
          </w:tcPr>
          <w:p w14:paraId="4DDDD508">
            <w:pPr>
              <w:widowControl/>
              <w:autoSpaceDE w:val="0"/>
              <w:autoSpaceDN w:val="0"/>
              <w:adjustRightInd w:val="0"/>
              <w:snapToGrid w:val="0"/>
              <w:jc w:val="center"/>
              <w:rPr>
                <w:rFonts w:ascii="Times New Roman" w:hAnsi="Times New Roman" w:eastAsia="宋体" w:cs="Times New Roman"/>
                <w:color w:val="auto"/>
                <w:szCs w:val="21"/>
                <w:u w:val="single" w:color="auto"/>
              </w:rPr>
            </w:pPr>
          </w:p>
        </w:tc>
        <w:tc>
          <w:tcPr>
            <w:tcW w:w="1599" w:type="dxa"/>
            <w:vAlign w:val="center"/>
          </w:tcPr>
          <w:p w14:paraId="6636E228">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1.25</w:t>
            </w:r>
          </w:p>
        </w:tc>
        <w:tc>
          <w:tcPr>
            <w:tcW w:w="1358" w:type="dxa"/>
            <w:vAlign w:val="center"/>
          </w:tcPr>
          <w:p w14:paraId="7D6D9D00">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200073ED">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0.125</w:t>
            </w:r>
          </w:p>
        </w:tc>
      </w:tr>
      <w:tr w14:paraId="4FB4F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6409C012">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w:t>
            </w:r>
          </w:p>
        </w:tc>
        <w:tc>
          <w:tcPr>
            <w:tcW w:w="1692" w:type="dxa"/>
            <w:vAlign w:val="center"/>
          </w:tcPr>
          <w:p w14:paraId="622A8489">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甲苯（</w:t>
            </w:r>
            <w:r>
              <w:rPr>
                <w:rFonts w:hint="eastAsia" w:ascii="Times New Roman" w:hAnsi="Times New Roman" w:eastAsia="宋体" w:cs="Times New Roman"/>
                <w:color w:val="auto"/>
                <w:szCs w:val="21"/>
                <w:u w:val="single" w:color="auto"/>
                <w:lang w:val="en-US" w:eastAsia="zh-CN"/>
              </w:rPr>
              <w:t>油漆</w:t>
            </w:r>
            <w:r>
              <w:rPr>
                <w:rFonts w:hint="eastAsia" w:ascii="Times New Roman" w:hAnsi="Times New Roman" w:eastAsia="宋体" w:cs="Times New Roman"/>
                <w:color w:val="auto"/>
                <w:szCs w:val="21"/>
                <w:u w:val="single" w:color="auto"/>
              </w:rPr>
              <w:t>）</w:t>
            </w:r>
          </w:p>
        </w:tc>
        <w:tc>
          <w:tcPr>
            <w:tcW w:w="1750" w:type="dxa"/>
            <w:vAlign w:val="center"/>
          </w:tcPr>
          <w:p w14:paraId="0D802047">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108-88-3</w:t>
            </w:r>
          </w:p>
        </w:tc>
        <w:tc>
          <w:tcPr>
            <w:tcW w:w="1599" w:type="dxa"/>
            <w:vAlign w:val="center"/>
          </w:tcPr>
          <w:p w14:paraId="2FB8AAF5">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0.06</w:t>
            </w:r>
          </w:p>
        </w:tc>
        <w:tc>
          <w:tcPr>
            <w:tcW w:w="1358" w:type="dxa"/>
            <w:vAlign w:val="center"/>
          </w:tcPr>
          <w:p w14:paraId="553EA913">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28FA1459">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0.006</w:t>
            </w:r>
          </w:p>
        </w:tc>
      </w:tr>
      <w:tr w14:paraId="1608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5723398A">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w:t>
            </w:r>
          </w:p>
        </w:tc>
        <w:tc>
          <w:tcPr>
            <w:tcW w:w="1692" w:type="dxa"/>
            <w:vAlign w:val="center"/>
          </w:tcPr>
          <w:p w14:paraId="465DEEE0">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丙烷</w:t>
            </w:r>
          </w:p>
        </w:tc>
        <w:tc>
          <w:tcPr>
            <w:tcW w:w="1750" w:type="dxa"/>
            <w:vAlign w:val="center"/>
          </w:tcPr>
          <w:p w14:paraId="03FF762C">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74-98-6</w:t>
            </w:r>
          </w:p>
        </w:tc>
        <w:tc>
          <w:tcPr>
            <w:tcW w:w="1599" w:type="dxa"/>
            <w:vAlign w:val="center"/>
          </w:tcPr>
          <w:p w14:paraId="48AABD9B">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0.37</w:t>
            </w:r>
          </w:p>
        </w:tc>
        <w:tc>
          <w:tcPr>
            <w:tcW w:w="1358" w:type="dxa"/>
            <w:vAlign w:val="center"/>
          </w:tcPr>
          <w:p w14:paraId="50568F43">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10</w:t>
            </w:r>
          </w:p>
        </w:tc>
        <w:tc>
          <w:tcPr>
            <w:tcW w:w="1103" w:type="dxa"/>
            <w:vAlign w:val="center"/>
          </w:tcPr>
          <w:p w14:paraId="24054E60">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0.037</w:t>
            </w:r>
          </w:p>
        </w:tc>
      </w:tr>
      <w:tr w14:paraId="56598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42915121">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6</w:t>
            </w:r>
          </w:p>
        </w:tc>
        <w:tc>
          <w:tcPr>
            <w:tcW w:w="1692" w:type="dxa"/>
            <w:vAlign w:val="center"/>
          </w:tcPr>
          <w:p w14:paraId="21E9CED8">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氧气</w:t>
            </w:r>
          </w:p>
        </w:tc>
        <w:tc>
          <w:tcPr>
            <w:tcW w:w="1750" w:type="dxa"/>
            <w:vAlign w:val="center"/>
          </w:tcPr>
          <w:p w14:paraId="4D516227">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599" w:type="dxa"/>
            <w:vAlign w:val="center"/>
          </w:tcPr>
          <w:p w14:paraId="2D5B26AF">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58" w:type="dxa"/>
            <w:vAlign w:val="center"/>
          </w:tcPr>
          <w:p w14:paraId="1A73651D">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50</w:t>
            </w:r>
          </w:p>
        </w:tc>
        <w:tc>
          <w:tcPr>
            <w:tcW w:w="1103" w:type="dxa"/>
            <w:vAlign w:val="center"/>
          </w:tcPr>
          <w:p w14:paraId="12CB792A">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0.02</w:t>
            </w:r>
          </w:p>
        </w:tc>
      </w:tr>
      <w:tr w14:paraId="6E874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14:paraId="2C63FADD">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7</w:t>
            </w:r>
          </w:p>
        </w:tc>
        <w:tc>
          <w:tcPr>
            <w:tcW w:w="1692" w:type="dxa"/>
            <w:vAlign w:val="center"/>
          </w:tcPr>
          <w:p w14:paraId="2D3AC98D">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润滑油</w:t>
            </w:r>
          </w:p>
        </w:tc>
        <w:tc>
          <w:tcPr>
            <w:tcW w:w="1750" w:type="dxa"/>
            <w:vAlign w:val="center"/>
          </w:tcPr>
          <w:p w14:paraId="3021B65D">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599" w:type="dxa"/>
            <w:vAlign w:val="center"/>
          </w:tcPr>
          <w:p w14:paraId="5FF5A7B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58" w:type="dxa"/>
            <w:vAlign w:val="center"/>
          </w:tcPr>
          <w:p w14:paraId="1B7B6BDD">
            <w:pPr>
              <w:keepNext w:val="0"/>
              <w:keepLines w:val="0"/>
              <w:widowControl/>
              <w:suppressLineNumbers w:val="0"/>
              <w:jc w:val="center"/>
              <w:textAlignment w:val="center"/>
              <w:rPr>
                <w:rFonts w:ascii="Times New Roman" w:hAnsi="Times New Roman"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2500</w:t>
            </w:r>
          </w:p>
        </w:tc>
        <w:tc>
          <w:tcPr>
            <w:tcW w:w="1103" w:type="dxa"/>
            <w:vAlign w:val="center"/>
          </w:tcPr>
          <w:p w14:paraId="7A13A403">
            <w:pPr>
              <w:keepNext w:val="0"/>
              <w:keepLines w:val="0"/>
              <w:widowControl/>
              <w:suppressLineNumbers w:val="0"/>
              <w:jc w:val="center"/>
              <w:textAlignment w:val="center"/>
              <w:rPr>
                <w:rFonts w:ascii="Times New Roman" w:hAnsi="Times New Roman" w:eastAsia="等线"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0.0004</w:t>
            </w:r>
          </w:p>
        </w:tc>
      </w:tr>
      <w:tr w14:paraId="6665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416" w:type="dxa"/>
            <w:gridSpan w:val="5"/>
            <w:vAlign w:val="center"/>
          </w:tcPr>
          <w:p w14:paraId="4A3561D2">
            <w:pPr>
              <w:widowControl/>
              <w:autoSpaceDE w:val="0"/>
              <w:autoSpaceDN w:val="0"/>
              <w:adjustRightInd w:val="0"/>
              <w:snapToGrid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合计</w:t>
            </w:r>
          </w:p>
        </w:tc>
        <w:tc>
          <w:tcPr>
            <w:tcW w:w="1103" w:type="dxa"/>
            <w:vAlign w:val="center"/>
          </w:tcPr>
          <w:p w14:paraId="4414178D">
            <w:pPr>
              <w:autoSpaceDE w:val="0"/>
              <w:autoSpaceDN w:val="0"/>
              <w:jc w:val="center"/>
              <w:rPr>
                <w:rFonts w:hint="default" w:ascii="Times New Roman" w:hAnsi="Times New Roman" w:eastAsia="等线" w:cs="Times New Roman"/>
                <w:color w:val="auto"/>
                <w:szCs w:val="21"/>
                <w:u w:val="single" w:color="auto"/>
                <w:lang w:val="en-US" w:eastAsia="zh-CN"/>
              </w:rPr>
            </w:pPr>
            <w:r>
              <w:rPr>
                <w:rFonts w:hint="eastAsia" w:ascii="Times New Roman" w:hAnsi="Times New Roman" w:eastAsia="等线" w:cs="Times New Roman"/>
                <w:color w:val="auto"/>
                <w:szCs w:val="21"/>
                <w:u w:val="single" w:color="auto"/>
                <w:lang w:val="en-US" w:eastAsia="zh-CN"/>
              </w:rPr>
              <w:t>0.6634</w:t>
            </w:r>
          </w:p>
        </w:tc>
      </w:tr>
    </w:tbl>
    <w:p w14:paraId="16AE77F2">
      <w:pPr>
        <w:pStyle w:val="4"/>
        <w:bidi w:val="0"/>
        <w:rPr>
          <w:color w:val="auto"/>
          <w:u w:val="none" w:color="auto"/>
        </w:rPr>
      </w:pPr>
      <w:r>
        <w:rPr>
          <w:color w:val="auto"/>
          <w:u w:val="none" w:color="auto"/>
        </w:rPr>
        <w:t>评价等级</w:t>
      </w:r>
    </w:p>
    <w:p w14:paraId="49F9C96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根据《建设项目环境风险评价技术导则》(HJ169-2018)评价等级划分依据(表 6.1-2 所示),本项目的环境风险评价等级为“简单分析”。</w:t>
      </w:r>
    </w:p>
    <w:p w14:paraId="1F110F70">
      <w:pPr>
        <w:pStyle w:val="6"/>
        <w:bidi w:val="0"/>
        <w:rPr>
          <w:color w:val="auto"/>
          <w:u w:val="none" w:color="auto"/>
        </w:rPr>
      </w:pPr>
      <w:r>
        <w:rPr>
          <w:color w:val="auto"/>
          <w:u w:val="none" w:color="auto"/>
        </w:rPr>
        <w:t xml:space="preserve"> 环境风险评价工作等级划分</w:t>
      </w:r>
    </w:p>
    <w:p w14:paraId="07604545">
      <w:pPr>
        <w:spacing w:line="90" w:lineRule="exact"/>
        <w:rPr>
          <w:color w:val="auto"/>
          <w:u w:val="none" w:color="auto"/>
        </w:rPr>
      </w:pPr>
    </w:p>
    <w:tbl>
      <w:tblPr>
        <w:tblStyle w:val="110"/>
        <w:tblW w:w="9061" w:type="dxa"/>
        <w:jc w:val="center"/>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Layout w:type="fixed"/>
        <w:tblCellMar>
          <w:top w:w="0" w:type="dxa"/>
          <w:left w:w="0" w:type="dxa"/>
          <w:bottom w:w="0" w:type="dxa"/>
          <w:right w:w="0" w:type="dxa"/>
        </w:tblCellMar>
      </w:tblPr>
      <w:tblGrid>
        <w:gridCol w:w="3088"/>
        <w:gridCol w:w="1491"/>
        <w:gridCol w:w="1492"/>
        <w:gridCol w:w="1491"/>
        <w:gridCol w:w="1499"/>
      </w:tblGrid>
      <w:tr w14:paraId="027B9B22">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347" w:hRule="atLeast"/>
          <w:jc w:val="center"/>
        </w:trPr>
        <w:tc>
          <w:tcPr>
            <w:tcW w:w="3088" w:type="dxa"/>
            <w:vAlign w:val="top"/>
          </w:tcPr>
          <w:p w14:paraId="044D5128">
            <w:pPr>
              <w:pStyle w:val="155"/>
              <w:spacing w:before="70" w:line="220" w:lineRule="auto"/>
              <w:ind w:left="919"/>
              <w:rPr>
                <w:color w:val="auto"/>
                <w:sz w:val="21"/>
                <w:szCs w:val="21"/>
                <w:u w:val="none" w:color="auto"/>
              </w:rPr>
            </w:pPr>
            <w:r>
              <w:rPr>
                <w:color w:val="auto"/>
                <w:spacing w:val="-1"/>
                <w:sz w:val="21"/>
                <w:szCs w:val="21"/>
                <w:u w:val="none" w:color="auto"/>
              </w:rPr>
              <w:t>环境风险潜势</w:t>
            </w:r>
          </w:p>
        </w:tc>
        <w:tc>
          <w:tcPr>
            <w:tcW w:w="1491" w:type="dxa"/>
            <w:vAlign w:val="top"/>
          </w:tcPr>
          <w:p w14:paraId="73550C43">
            <w:pPr>
              <w:pStyle w:val="155"/>
              <w:spacing w:before="99" w:line="187" w:lineRule="auto"/>
              <w:ind w:left="381"/>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spacing w:val="-4"/>
                <w:sz w:val="21"/>
                <w:szCs w:val="21"/>
                <w:u w:val="none" w:color="auto"/>
              </w:rPr>
              <w:t>IV</w:t>
            </w:r>
            <w:r>
              <w:rPr>
                <w:rFonts w:ascii="Times New Roman" w:hAnsi="Times New Roman" w:eastAsia="Times New Roman" w:cs="Times New Roman"/>
                <w:color w:val="auto"/>
                <w:spacing w:val="-28"/>
                <w:sz w:val="21"/>
                <w:szCs w:val="21"/>
                <w:u w:val="none" w:color="auto"/>
              </w:rPr>
              <w:t xml:space="preserve"> </w:t>
            </w:r>
            <w:r>
              <w:rPr>
                <w:color w:val="auto"/>
                <w:spacing w:val="-4"/>
                <w:sz w:val="21"/>
                <w:szCs w:val="21"/>
                <w:u w:val="none" w:color="auto"/>
              </w:rPr>
              <w:t>、</w:t>
            </w:r>
            <w:r>
              <w:rPr>
                <w:rFonts w:ascii="Times New Roman" w:hAnsi="Times New Roman" w:eastAsia="Times New Roman" w:cs="Times New Roman"/>
                <w:color w:val="auto"/>
                <w:spacing w:val="-4"/>
                <w:sz w:val="21"/>
                <w:szCs w:val="21"/>
                <w:u w:val="none" w:color="auto"/>
              </w:rPr>
              <w:t>IV</w:t>
            </w:r>
            <w:r>
              <w:rPr>
                <w:rFonts w:ascii="Times New Roman" w:hAnsi="Times New Roman" w:eastAsia="Times New Roman" w:cs="Times New Roman"/>
                <w:color w:val="auto"/>
                <w:spacing w:val="-4"/>
                <w:position w:val="6"/>
                <w:sz w:val="13"/>
                <w:szCs w:val="13"/>
                <w:u w:val="none" w:color="auto"/>
              </w:rPr>
              <w:t>+</w:t>
            </w:r>
          </w:p>
        </w:tc>
        <w:tc>
          <w:tcPr>
            <w:tcW w:w="1492" w:type="dxa"/>
            <w:vAlign w:val="top"/>
          </w:tcPr>
          <w:p w14:paraId="55AA6DE7">
            <w:pPr>
              <w:spacing w:before="111" w:line="184" w:lineRule="auto"/>
              <w:ind w:left="644"/>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2"/>
                <w:sz w:val="21"/>
                <w:szCs w:val="21"/>
                <w:u w:val="none" w:color="auto"/>
              </w:rPr>
              <w:t>III</w:t>
            </w:r>
          </w:p>
        </w:tc>
        <w:tc>
          <w:tcPr>
            <w:tcW w:w="1491" w:type="dxa"/>
            <w:vAlign w:val="top"/>
          </w:tcPr>
          <w:p w14:paraId="1A55476B">
            <w:pPr>
              <w:spacing w:before="111" w:line="184" w:lineRule="auto"/>
              <w:ind w:left="680"/>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pacing w:val="-2"/>
                <w:sz w:val="21"/>
                <w:szCs w:val="21"/>
                <w:u w:val="none" w:color="auto"/>
              </w:rPr>
              <w:t>II</w:t>
            </w:r>
          </w:p>
        </w:tc>
        <w:tc>
          <w:tcPr>
            <w:tcW w:w="1499" w:type="dxa"/>
            <w:vAlign w:val="top"/>
          </w:tcPr>
          <w:p w14:paraId="0952350A">
            <w:pPr>
              <w:spacing w:before="111" w:line="184" w:lineRule="auto"/>
              <w:ind w:left="717"/>
              <w:rPr>
                <w:rFonts w:ascii="Times New Roman" w:hAnsi="Times New Roman" w:eastAsia="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I</w:t>
            </w:r>
          </w:p>
        </w:tc>
      </w:tr>
      <w:tr w14:paraId="77972A4A">
        <w:tblPrEx>
          <w:tblBorders>
            <w:top w:val="single" w:color="4C4C4E" w:sz="2" w:space="0"/>
            <w:left w:val="single" w:color="4C4C4E" w:sz="2" w:space="0"/>
            <w:bottom w:val="single" w:color="4C4C4E" w:sz="2" w:space="0"/>
            <w:right w:val="single" w:color="4C4C4E" w:sz="2" w:space="0"/>
            <w:insideH w:val="single" w:color="4C4C4E" w:sz="2" w:space="0"/>
            <w:insideV w:val="single" w:color="4C4C4E" w:sz="2" w:space="0"/>
          </w:tblBorders>
          <w:tblCellMar>
            <w:top w:w="0" w:type="dxa"/>
            <w:left w:w="0" w:type="dxa"/>
            <w:bottom w:w="0" w:type="dxa"/>
            <w:right w:w="0" w:type="dxa"/>
          </w:tblCellMar>
        </w:tblPrEx>
        <w:trPr>
          <w:trHeight w:val="348" w:hRule="atLeast"/>
          <w:jc w:val="center"/>
        </w:trPr>
        <w:tc>
          <w:tcPr>
            <w:tcW w:w="3088" w:type="dxa"/>
            <w:vAlign w:val="top"/>
          </w:tcPr>
          <w:p w14:paraId="7B75D876">
            <w:pPr>
              <w:pStyle w:val="155"/>
              <w:spacing w:before="68" w:line="219" w:lineRule="auto"/>
              <w:ind w:left="918"/>
              <w:rPr>
                <w:color w:val="auto"/>
                <w:sz w:val="21"/>
                <w:szCs w:val="21"/>
                <w:u w:val="none" w:color="auto"/>
              </w:rPr>
            </w:pPr>
            <w:r>
              <w:rPr>
                <w:color w:val="auto"/>
                <w:spacing w:val="-1"/>
                <w:sz w:val="21"/>
                <w:szCs w:val="21"/>
                <w:u w:val="none" w:color="auto"/>
              </w:rPr>
              <w:t>评价工作等级</w:t>
            </w:r>
          </w:p>
        </w:tc>
        <w:tc>
          <w:tcPr>
            <w:tcW w:w="1491" w:type="dxa"/>
            <w:vAlign w:val="top"/>
          </w:tcPr>
          <w:p w14:paraId="05073AAC">
            <w:pPr>
              <w:pStyle w:val="155"/>
              <w:spacing w:before="147" w:line="163" w:lineRule="exact"/>
              <w:ind w:left="649"/>
              <w:rPr>
                <w:color w:val="auto"/>
                <w:sz w:val="21"/>
                <w:szCs w:val="21"/>
                <w:u w:val="none" w:color="auto"/>
              </w:rPr>
            </w:pPr>
            <w:r>
              <w:rPr>
                <w:color w:val="auto"/>
                <w:position w:val="-4"/>
                <w:sz w:val="21"/>
                <w:szCs w:val="21"/>
                <w:u w:val="none" w:color="auto"/>
              </w:rPr>
              <w:t>一</w:t>
            </w:r>
          </w:p>
        </w:tc>
        <w:tc>
          <w:tcPr>
            <w:tcW w:w="1492" w:type="dxa"/>
            <w:vAlign w:val="top"/>
          </w:tcPr>
          <w:p w14:paraId="297F096B">
            <w:pPr>
              <w:pStyle w:val="155"/>
              <w:spacing w:before="107" w:line="179" w:lineRule="auto"/>
              <w:ind w:left="650"/>
              <w:rPr>
                <w:color w:val="auto"/>
                <w:sz w:val="21"/>
                <w:szCs w:val="21"/>
                <w:u w:val="none" w:color="auto"/>
              </w:rPr>
            </w:pPr>
            <w:r>
              <w:rPr>
                <w:color w:val="auto"/>
                <w:sz w:val="21"/>
                <w:szCs w:val="21"/>
                <w:u w:val="none" w:color="auto"/>
              </w:rPr>
              <w:t>二</w:t>
            </w:r>
          </w:p>
        </w:tc>
        <w:tc>
          <w:tcPr>
            <w:tcW w:w="1491" w:type="dxa"/>
            <w:vAlign w:val="top"/>
          </w:tcPr>
          <w:p w14:paraId="58BF5647">
            <w:pPr>
              <w:pStyle w:val="155"/>
              <w:spacing w:before="68" w:line="237" w:lineRule="auto"/>
              <w:ind w:left="646"/>
              <w:rPr>
                <w:color w:val="auto"/>
                <w:sz w:val="21"/>
                <w:szCs w:val="21"/>
                <w:u w:val="none" w:color="auto"/>
              </w:rPr>
            </w:pPr>
            <w:r>
              <w:rPr>
                <w:color w:val="auto"/>
                <w:sz w:val="21"/>
                <w:szCs w:val="21"/>
                <w:u w:val="none" w:color="auto"/>
              </w:rPr>
              <w:t>三</w:t>
            </w:r>
          </w:p>
        </w:tc>
        <w:tc>
          <w:tcPr>
            <w:tcW w:w="1499" w:type="dxa"/>
            <w:vAlign w:val="top"/>
          </w:tcPr>
          <w:p w14:paraId="244F5139">
            <w:pPr>
              <w:pStyle w:val="155"/>
              <w:spacing w:before="68" w:line="220" w:lineRule="auto"/>
              <w:ind w:left="338"/>
              <w:rPr>
                <w:color w:val="auto"/>
                <w:sz w:val="21"/>
                <w:szCs w:val="21"/>
                <w:u w:val="none" w:color="auto"/>
              </w:rPr>
            </w:pPr>
            <w:r>
              <w:rPr>
                <w:color w:val="auto"/>
                <w:spacing w:val="-3"/>
                <w:sz w:val="21"/>
                <w:szCs w:val="21"/>
                <w:u w:val="none" w:color="auto"/>
              </w:rPr>
              <w:t>简单分析</w:t>
            </w:r>
          </w:p>
        </w:tc>
      </w:tr>
    </w:tbl>
    <w:p w14:paraId="37E81FD7">
      <w:pPr>
        <w:pStyle w:val="4"/>
        <w:bidi w:val="0"/>
        <w:rPr>
          <w:color w:val="auto"/>
          <w:u w:val="none" w:color="auto"/>
        </w:rPr>
      </w:pPr>
      <w:r>
        <w:rPr>
          <w:color w:val="auto"/>
          <w:u w:val="none" w:color="auto"/>
        </w:rPr>
        <w:t>环境敏感目标概况</w:t>
      </w:r>
    </w:p>
    <w:p w14:paraId="77031B7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eastAsia" w:ascii="Times New Roman" w:hAnsi="Times New Roman" w:eastAsia="宋体" w:cs="Times New Roman"/>
          <w:color w:val="auto"/>
          <w:spacing w:val="-2"/>
          <w:sz w:val="24"/>
          <w:szCs w:val="24"/>
          <w:u w:val="none" w:color="auto"/>
          <w:lang w:eastAsia="zh-CN"/>
        </w:rPr>
        <w:t>评价</w:t>
      </w:r>
      <w:r>
        <w:rPr>
          <w:rFonts w:hint="eastAsia" w:ascii="Times New Roman" w:hAnsi="Times New Roman" w:eastAsia="宋体" w:cs="Times New Roman"/>
          <w:color w:val="auto"/>
          <w:spacing w:val="-2"/>
          <w:sz w:val="24"/>
          <w:szCs w:val="24"/>
          <w:u w:val="none" w:color="auto"/>
        </w:rPr>
        <w:t>区域各环境保护敏感目标与本项目的位置关系见表1.8-1</w:t>
      </w:r>
      <w:r>
        <w:rPr>
          <w:rFonts w:hint="default" w:ascii="Times New Roman" w:hAnsi="Times New Roman" w:eastAsia="宋体" w:cs="Times New Roman"/>
          <w:color w:val="auto"/>
          <w:spacing w:val="-2"/>
          <w:sz w:val="24"/>
          <w:szCs w:val="24"/>
          <w:u w:val="none" w:color="auto"/>
        </w:rPr>
        <w:t>。</w:t>
      </w:r>
    </w:p>
    <w:p w14:paraId="4E89358E">
      <w:pPr>
        <w:pStyle w:val="4"/>
        <w:bidi w:val="0"/>
        <w:rPr>
          <w:color w:val="auto"/>
          <w:u w:val="none" w:color="auto"/>
        </w:rPr>
      </w:pPr>
      <w:r>
        <w:rPr>
          <w:color w:val="auto"/>
          <w:u w:val="none" w:color="auto"/>
        </w:rPr>
        <w:t>环境风险识别</w:t>
      </w:r>
    </w:p>
    <w:p w14:paraId="697BE613">
      <w:pPr>
        <w:pStyle w:val="5"/>
        <w:bidi w:val="0"/>
        <w:rPr>
          <w:color w:val="auto"/>
          <w:u w:val="single" w:color="auto"/>
        </w:rPr>
      </w:pPr>
      <w:r>
        <w:rPr>
          <w:color w:val="auto"/>
          <w:u w:val="single" w:color="auto"/>
        </w:rPr>
        <w:t>主要危险物质及分布情况</w:t>
      </w:r>
    </w:p>
    <w:p w14:paraId="30C69E60">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single" w:color="auto"/>
        </w:rPr>
      </w:pPr>
      <w:r>
        <w:rPr>
          <w:rFonts w:hint="eastAsia" w:ascii="Times New Roman" w:hAnsi="Times New Roman" w:eastAsia="宋体" w:cs="Times New Roman"/>
          <w:color w:val="auto"/>
          <w:spacing w:val="-2"/>
          <w:sz w:val="24"/>
          <w:szCs w:val="24"/>
          <w:u w:val="single" w:color="auto"/>
        </w:rPr>
        <w:t>本项目主要危险物质为各类油漆、固化剂、稀释剂、丙烷和废矿物油</w:t>
      </w:r>
      <w:r>
        <w:rPr>
          <w:rFonts w:hint="eastAsia" w:ascii="Times New Roman" w:hAnsi="Times New Roman" w:eastAsia="宋体" w:cs="Times New Roman"/>
          <w:color w:val="auto"/>
          <w:spacing w:val="-2"/>
          <w:sz w:val="24"/>
          <w:szCs w:val="24"/>
          <w:u w:val="single" w:color="auto"/>
          <w:lang w:eastAsia="zh-CN"/>
        </w:rPr>
        <w:t>，</w:t>
      </w:r>
      <w:r>
        <w:rPr>
          <w:rFonts w:hint="eastAsia" w:ascii="Times New Roman" w:hAnsi="Times New Roman" w:eastAsia="宋体" w:cs="Times New Roman"/>
          <w:color w:val="auto"/>
          <w:spacing w:val="-2"/>
          <w:sz w:val="24"/>
          <w:szCs w:val="24"/>
          <w:u w:val="single" w:color="auto"/>
        </w:rPr>
        <w:t>分布情况及最大贮存量见表</w:t>
      </w:r>
      <w:r>
        <w:rPr>
          <w:rFonts w:hint="eastAsia" w:ascii="Times New Roman" w:hAnsi="Times New Roman" w:eastAsia="宋体" w:cs="Times New Roman"/>
          <w:color w:val="auto"/>
          <w:spacing w:val="-2"/>
          <w:sz w:val="24"/>
          <w:szCs w:val="24"/>
          <w:u w:val="single" w:color="auto"/>
          <w:lang w:val="en-US" w:eastAsia="zh-CN"/>
        </w:rPr>
        <w:t>4.8-1</w:t>
      </w:r>
      <w:r>
        <w:rPr>
          <w:rFonts w:hint="eastAsia" w:ascii="Times New Roman" w:hAnsi="Times New Roman" w:eastAsia="宋体" w:cs="Times New Roman"/>
          <w:color w:val="auto"/>
          <w:spacing w:val="-2"/>
          <w:sz w:val="24"/>
          <w:szCs w:val="24"/>
          <w:u w:val="single" w:color="auto"/>
        </w:rPr>
        <w:t>。</w:t>
      </w:r>
    </w:p>
    <w:p w14:paraId="38DD7094">
      <w:pPr>
        <w:pStyle w:val="5"/>
        <w:bidi w:val="0"/>
        <w:rPr>
          <w:rFonts w:hint="default"/>
          <w:color w:val="auto"/>
          <w:u w:val="single" w:color="auto"/>
          <w:lang w:val="en-US"/>
        </w:rPr>
      </w:pPr>
      <w:r>
        <w:rPr>
          <w:color w:val="auto"/>
          <w:u w:val="single" w:color="auto"/>
        </w:rPr>
        <w:t>主要危险</w:t>
      </w:r>
      <w:r>
        <w:rPr>
          <w:rFonts w:hint="eastAsia"/>
          <w:color w:val="auto"/>
          <w:u w:val="single" w:color="auto"/>
          <w:lang w:val="en-US" w:eastAsia="zh-CN"/>
        </w:rPr>
        <w:t>单元</w:t>
      </w:r>
    </w:p>
    <w:p w14:paraId="619E1E5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single" w:color="auto"/>
        </w:rPr>
      </w:pPr>
      <w:r>
        <w:rPr>
          <w:rFonts w:hint="eastAsia" w:ascii="Times New Roman" w:hAnsi="Times New Roman" w:eastAsia="宋体" w:cs="Times New Roman"/>
          <w:color w:val="auto"/>
          <w:spacing w:val="-2"/>
          <w:sz w:val="24"/>
          <w:szCs w:val="24"/>
          <w:u w:val="single" w:color="auto"/>
        </w:rPr>
        <w:t>本项目主要危险</w:t>
      </w:r>
      <w:r>
        <w:rPr>
          <w:rFonts w:hint="eastAsia" w:ascii="Times New Roman" w:hAnsi="Times New Roman" w:eastAsia="宋体" w:cs="Times New Roman"/>
          <w:color w:val="auto"/>
          <w:spacing w:val="-2"/>
          <w:sz w:val="24"/>
          <w:szCs w:val="24"/>
          <w:u w:val="single" w:color="auto"/>
          <w:lang w:val="en-US" w:eastAsia="zh-CN"/>
        </w:rPr>
        <w:t>风险单元为有机废气处理系统等，设备故障可能造成废气超标排放；线路故障可能造成火灾、爆炸等。</w:t>
      </w:r>
    </w:p>
    <w:p w14:paraId="2AD37B3F">
      <w:pPr>
        <w:pStyle w:val="5"/>
        <w:bidi w:val="0"/>
        <w:rPr>
          <w:color w:val="auto"/>
          <w:u w:val="none" w:color="auto"/>
        </w:rPr>
      </w:pPr>
      <w:r>
        <w:rPr>
          <w:color w:val="auto"/>
          <w:u w:val="none" w:color="auto"/>
        </w:rPr>
        <w:t>可能影响环境的途经</w:t>
      </w:r>
    </w:p>
    <w:p w14:paraId="18E7286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none" w:color="auto"/>
        </w:rPr>
      </w:pPr>
      <w:r>
        <w:rPr>
          <w:rFonts w:hint="eastAsia" w:ascii="Times New Roman" w:hAnsi="Times New Roman" w:eastAsia="宋体" w:cs="Times New Roman"/>
          <w:color w:val="auto"/>
          <w:spacing w:val="-2"/>
          <w:sz w:val="24"/>
          <w:szCs w:val="24"/>
          <w:u w:val="none" w:color="auto"/>
        </w:rPr>
        <w:t>根据项目危险物质和生产系统危险性识别</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并结合对项目各工艺过程的分析,环境风险类型主要包括危险物质泄漏,以及火灾、爆炸等。</w:t>
      </w:r>
    </w:p>
    <w:p w14:paraId="15E4A8B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none" w:color="auto"/>
        </w:rPr>
      </w:pPr>
      <w:r>
        <w:rPr>
          <w:rFonts w:hint="eastAsia" w:ascii="Times New Roman" w:hAnsi="Times New Roman" w:eastAsia="宋体" w:cs="Times New Roman"/>
          <w:color w:val="auto"/>
          <w:spacing w:val="-2"/>
          <w:sz w:val="24"/>
          <w:szCs w:val="24"/>
          <w:u w:val="none" w:color="auto"/>
        </w:rPr>
        <w:t>1.本项目易于挥发且易燃物料主要为涂料中的有机溶剂。各类涂料均采用专用铁桶包装。在包装桶破损或瓶阀故障情况下发生泄漏</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有机溶剂等会挥发进入大气,影响大气环境质量。</w:t>
      </w:r>
    </w:p>
    <w:p w14:paraId="45641DF6">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none" w:color="auto"/>
        </w:rPr>
      </w:pPr>
      <w:r>
        <w:rPr>
          <w:rFonts w:hint="eastAsia" w:ascii="Times New Roman" w:hAnsi="Times New Roman" w:eastAsia="宋体" w:cs="Times New Roman"/>
          <w:color w:val="auto"/>
          <w:spacing w:val="-2"/>
          <w:sz w:val="24"/>
          <w:szCs w:val="24"/>
          <w:u w:val="none" w:color="auto"/>
        </w:rPr>
        <w:t>2.项目废机油不属于易燃物料</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但属于可燃液体</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泄漏后</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在遇明火的情况下</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会发生火灾、爆炸事故</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燃烧过程产生次生污染物CO</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影响大气环境质量。</w:t>
      </w:r>
    </w:p>
    <w:p w14:paraId="4C2A369C">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u w:val="none" w:color="auto"/>
        </w:rPr>
      </w:pPr>
      <w:r>
        <w:rPr>
          <w:rFonts w:hint="eastAsia" w:ascii="Times New Roman" w:hAnsi="Times New Roman" w:eastAsia="宋体" w:cs="Times New Roman"/>
          <w:color w:val="auto"/>
          <w:spacing w:val="-2"/>
          <w:sz w:val="24"/>
          <w:szCs w:val="24"/>
          <w:u w:val="none" w:color="auto"/>
        </w:rPr>
        <w:t>3.涂料、废机油泄漏后,还会通过破损的防渗层,进入土壤,污染区域土壤、地下水。</w:t>
      </w:r>
    </w:p>
    <w:p w14:paraId="6C3C0E33">
      <w:pPr>
        <w:spacing w:line="338" w:lineRule="auto"/>
        <w:ind w:firstLine="472" w:firstLineChars="200"/>
        <w:rPr>
          <w:rFonts w:ascii="Arial"/>
          <w:color w:val="auto"/>
          <w:sz w:val="21"/>
          <w:u w:val="none" w:color="auto"/>
        </w:rPr>
      </w:pPr>
      <w:r>
        <w:rPr>
          <w:rFonts w:hint="eastAsia" w:ascii="Times New Roman" w:hAnsi="Times New Roman" w:eastAsia="宋体" w:cs="Times New Roman"/>
          <w:color w:val="auto"/>
          <w:spacing w:val="-2"/>
          <w:sz w:val="24"/>
          <w:szCs w:val="24"/>
          <w:u w:val="none" w:color="auto"/>
        </w:rPr>
        <w:t>4.厂区内一旦发生火灾爆炸等事故后,伴随在消防过程中还会产生二次环境污染问题</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主要体现在消防污水如直接进入市政雨水或污水管网进入地表水体或园区水处理厂</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含高浓度污染物的消防排水将对项目附近地表水体造成不利的影响,进入</w:t>
      </w:r>
      <w:r>
        <w:rPr>
          <w:rFonts w:hint="eastAsia" w:ascii="Times New Roman" w:hAnsi="Times New Roman" w:eastAsia="宋体" w:cs="Times New Roman"/>
          <w:color w:val="auto"/>
          <w:spacing w:val="-2"/>
          <w:sz w:val="24"/>
          <w:szCs w:val="24"/>
          <w:u w:val="none" w:color="auto"/>
          <w:lang w:val="en-US" w:eastAsia="zh-CN"/>
        </w:rPr>
        <w:t>大榄坪污水处理厂</w:t>
      </w:r>
      <w:r>
        <w:rPr>
          <w:rFonts w:hint="eastAsia" w:ascii="Times New Roman" w:hAnsi="Times New Roman" w:eastAsia="宋体" w:cs="Times New Roman"/>
          <w:color w:val="auto"/>
          <w:spacing w:val="-2"/>
          <w:sz w:val="24"/>
          <w:szCs w:val="24"/>
          <w:u w:val="none" w:color="auto"/>
        </w:rPr>
        <w:t>则可能因冲击负荷过大</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造成</w:t>
      </w:r>
      <w:r>
        <w:rPr>
          <w:rFonts w:hint="eastAsia" w:ascii="Times New Roman" w:hAnsi="Times New Roman" w:eastAsia="宋体" w:cs="Times New Roman"/>
          <w:color w:val="auto"/>
          <w:spacing w:val="-2"/>
          <w:sz w:val="24"/>
          <w:szCs w:val="24"/>
          <w:u w:val="none" w:color="auto"/>
          <w:lang w:eastAsia="zh-CN"/>
        </w:rPr>
        <w:t>污水处理厂</w:t>
      </w:r>
      <w:r>
        <w:rPr>
          <w:rFonts w:hint="eastAsia" w:ascii="Times New Roman" w:hAnsi="Times New Roman" w:eastAsia="宋体" w:cs="Times New Roman"/>
          <w:color w:val="auto"/>
          <w:spacing w:val="-2"/>
          <w:sz w:val="24"/>
          <w:szCs w:val="24"/>
          <w:u w:val="none" w:color="auto"/>
        </w:rPr>
        <w:t>处理设施的瘫痪</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rPr>
        <w:t>影响污水处理效果</w:t>
      </w:r>
      <w:r>
        <w:rPr>
          <w:rFonts w:ascii="宋体" w:hAnsi="宋体" w:eastAsia="宋体" w:cs="宋体"/>
          <w:color w:val="auto"/>
          <w:spacing w:val="1"/>
          <w:sz w:val="23"/>
          <w:szCs w:val="23"/>
          <w:u w:val="none" w:color="auto"/>
        </w:rPr>
        <w:t>。</w:t>
      </w:r>
    </w:p>
    <w:p w14:paraId="137372B1">
      <w:pPr>
        <w:pStyle w:val="4"/>
        <w:bidi w:val="0"/>
        <w:rPr>
          <w:color w:val="auto"/>
          <w:u w:val="none" w:color="auto"/>
        </w:rPr>
      </w:pPr>
      <w:r>
        <w:rPr>
          <w:color w:val="auto"/>
          <w:u w:val="none" w:color="auto"/>
        </w:rPr>
        <w:t>环境风险分析</w:t>
      </w:r>
    </w:p>
    <w:p w14:paraId="1107AC3B">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(1)物料泄漏</w:t>
      </w:r>
    </w:p>
    <w:p w14:paraId="5A826FDE">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项目使用各种涂料</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含油二甲苯、乙苯、丁醇等,具有易燃性、毒性</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危险废物暂存间储存各类危险废物。上述化学品若在储存、使用过程中操作不当</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可能造成泄漏</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易燃化学品如遇明火可能造成火灾或爆炸事故</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毒性化学品泄漏后挥发可能造成人员中毒事件。本项目化学品贮存量较小</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包装规格较小</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单次泄漏量较小</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且操作人员均为受过培训的专业人员</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lang w:val="en-US" w:eastAsia="zh-CN"/>
        </w:rPr>
        <w:t>涂装车间</w:t>
      </w:r>
      <w:r>
        <w:rPr>
          <w:rFonts w:hint="default" w:ascii="Times New Roman" w:hAnsi="Times New Roman" w:eastAsia="宋体" w:cs="Times New Roman"/>
          <w:color w:val="auto"/>
          <w:spacing w:val="-2"/>
          <w:sz w:val="24"/>
          <w:szCs w:val="24"/>
          <w:u w:val="none" w:color="auto"/>
        </w:rPr>
        <w:t>、危险废物暂存间配备有应急物资</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因此</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发生事故并造成较大危害的可能性较低。</w:t>
      </w:r>
    </w:p>
    <w:p w14:paraId="34586906">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(2)废气非正常排放</w:t>
      </w:r>
    </w:p>
    <w:p w14:paraId="43D222E5">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当出现废气处理措施失效的情况下</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可能造成废气的非正常排放。根据</w:t>
      </w:r>
      <w:r>
        <w:rPr>
          <w:rFonts w:hint="eastAsia" w:ascii="Times New Roman" w:hAnsi="Times New Roman" w:eastAsia="宋体" w:cs="Times New Roman"/>
          <w:color w:val="auto"/>
          <w:spacing w:val="-2"/>
          <w:sz w:val="24"/>
          <w:szCs w:val="24"/>
          <w:u w:val="none" w:color="auto"/>
          <w:lang w:val="en-US" w:eastAsia="zh-CN"/>
        </w:rPr>
        <w:t>4.2.4章节</w:t>
      </w:r>
      <w:r>
        <w:rPr>
          <w:rFonts w:hint="default" w:ascii="Times New Roman" w:hAnsi="Times New Roman" w:eastAsia="宋体" w:cs="Times New Roman"/>
          <w:color w:val="auto"/>
          <w:spacing w:val="-2"/>
          <w:sz w:val="24"/>
          <w:szCs w:val="24"/>
          <w:u w:val="none" w:color="auto"/>
        </w:rPr>
        <w:t>的预测结果可知</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在废气非正常排放情况下</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将造成评价范围内网格点及各敏感点TSP、 PM</w:t>
      </w:r>
      <w:r>
        <w:rPr>
          <w:rFonts w:hint="default" w:ascii="Times New Roman" w:hAnsi="Times New Roman" w:eastAsia="宋体" w:cs="Times New Roman"/>
          <w:color w:val="auto"/>
          <w:spacing w:val="-2"/>
          <w:sz w:val="24"/>
          <w:szCs w:val="24"/>
          <w:u w:val="none" w:color="auto"/>
          <w:vertAlign w:val="subscript"/>
        </w:rPr>
        <w:t>10</w:t>
      </w:r>
      <w:r>
        <w:rPr>
          <w:rFonts w:hint="default" w:ascii="Times New Roman" w:hAnsi="Times New Roman" w:eastAsia="宋体" w:cs="Times New Roman"/>
          <w:color w:val="auto"/>
          <w:spacing w:val="-2"/>
          <w:sz w:val="24"/>
          <w:szCs w:val="24"/>
          <w:u w:val="none" w:color="auto"/>
        </w:rPr>
        <w:t>、</w:t>
      </w:r>
      <w:r>
        <w:rPr>
          <w:rFonts w:hint="eastAsia" w:ascii="Times New Roman" w:hAnsi="Times New Roman" w:eastAsia="宋体" w:cs="Times New Roman"/>
          <w:color w:val="auto"/>
          <w:spacing w:val="-2"/>
          <w:sz w:val="24"/>
          <w:szCs w:val="24"/>
          <w:u w:val="none" w:color="auto"/>
          <w:lang w:val="en-US" w:eastAsia="zh-CN"/>
        </w:rPr>
        <w:t>非甲烷总烃</w:t>
      </w:r>
      <w:r>
        <w:rPr>
          <w:rFonts w:hint="default" w:ascii="Times New Roman" w:hAnsi="Times New Roman" w:eastAsia="宋体" w:cs="Times New Roman"/>
          <w:color w:val="auto"/>
          <w:spacing w:val="-2"/>
          <w:sz w:val="24"/>
          <w:szCs w:val="24"/>
          <w:u w:val="none" w:color="auto"/>
        </w:rPr>
        <w:t>、</w:t>
      </w:r>
      <w:r>
        <w:rPr>
          <w:rFonts w:hint="eastAsia" w:ascii="Times New Roman" w:hAnsi="Times New Roman" w:eastAsia="宋体" w:cs="Times New Roman"/>
          <w:color w:val="auto"/>
          <w:spacing w:val="-2"/>
          <w:sz w:val="24"/>
          <w:szCs w:val="24"/>
          <w:u w:val="none" w:color="auto"/>
          <w:lang w:val="en-US" w:eastAsia="zh-CN"/>
        </w:rPr>
        <w:t>甲苯、</w:t>
      </w:r>
      <w:r>
        <w:rPr>
          <w:rFonts w:hint="default" w:ascii="Times New Roman" w:hAnsi="Times New Roman" w:eastAsia="宋体" w:cs="Times New Roman"/>
          <w:color w:val="auto"/>
          <w:spacing w:val="-2"/>
          <w:sz w:val="24"/>
          <w:szCs w:val="24"/>
          <w:u w:val="none" w:color="auto"/>
        </w:rPr>
        <w:t>二甲苯的1小时浓度贡献值均有所增加</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TSP、PM</w:t>
      </w:r>
      <w:r>
        <w:rPr>
          <w:rFonts w:hint="default" w:ascii="Times New Roman" w:hAnsi="Times New Roman" w:eastAsia="宋体" w:cs="Times New Roman"/>
          <w:color w:val="auto"/>
          <w:spacing w:val="-2"/>
          <w:sz w:val="24"/>
          <w:szCs w:val="24"/>
          <w:u w:val="none" w:color="auto"/>
          <w:vertAlign w:val="subscript"/>
        </w:rPr>
        <w:t>10</w:t>
      </w:r>
      <w:r>
        <w:rPr>
          <w:rFonts w:hint="default" w:ascii="Times New Roman" w:hAnsi="Times New Roman" w:eastAsia="宋体" w:cs="Times New Roman"/>
          <w:color w:val="auto"/>
          <w:spacing w:val="-2"/>
          <w:sz w:val="24"/>
          <w:szCs w:val="24"/>
          <w:u w:val="none" w:color="auto"/>
        </w:rPr>
        <w:t>超标。</w:t>
      </w:r>
    </w:p>
    <w:p w14:paraId="271F3D54">
      <w:pPr>
        <w:pStyle w:val="4"/>
        <w:bidi w:val="0"/>
        <w:rPr>
          <w:color w:val="auto"/>
          <w:u w:val="none" w:color="auto"/>
        </w:rPr>
      </w:pPr>
      <w:r>
        <w:rPr>
          <w:color w:val="auto"/>
          <w:u w:val="none" w:color="auto"/>
        </w:rPr>
        <w:t>环境风险防范措施及应急要求</w:t>
      </w:r>
    </w:p>
    <w:p w14:paraId="4A5F0AC7">
      <w:pPr>
        <w:pStyle w:val="5"/>
        <w:bidi w:val="0"/>
        <w:rPr>
          <w:color w:val="auto"/>
          <w:u w:val="none" w:color="auto"/>
        </w:rPr>
      </w:pPr>
      <w:r>
        <w:rPr>
          <w:color w:val="auto"/>
          <w:u w:val="none" w:color="auto"/>
        </w:rPr>
        <w:t>环境风险管理目标</w:t>
      </w:r>
    </w:p>
    <w:p w14:paraId="20F6E3E7">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环境风险管理目标是采用最低合理可行原则 (ALARP) 管控环境风险, 采取的环境风险防范措施应与社会经济技术发展水平相适应, 运用科学的技术手段和管理方法</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对环境风险进行有效地预防、监控、响应。</w:t>
      </w:r>
    </w:p>
    <w:p w14:paraId="6EED947B">
      <w:pPr>
        <w:pStyle w:val="5"/>
        <w:bidi w:val="0"/>
        <w:rPr>
          <w:color w:val="auto"/>
          <w:u w:val="none" w:color="auto"/>
        </w:rPr>
      </w:pPr>
      <w:r>
        <w:rPr>
          <w:color w:val="auto"/>
          <w:u w:val="none" w:color="auto"/>
        </w:rPr>
        <w:t>环境风险防范措施</w:t>
      </w:r>
    </w:p>
    <w:p w14:paraId="6E28211D">
      <w:pPr>
        <w:keepNext w:val="0"/>
        <w:keepLines w:val="0"/>
        <w:pageBreakBefore w:val="0"/>
        <w:widowControl w:val="0"/>
        <w:kinsoku/>
        <w:wordWrap/>
        <w:overflowPunct/>
        <w:topLinePunct w:val="0"/>
        <w:autoSpaceDE/>
        <w:autoSpaceDN/>
        <w:bidi w:val="0"/>
        <w:adjustRightInd/>
        <w:snapToGrid/>
        <w:spacing w:line="360" w:lineRule="auto"/>
        <w:ind w:left="0" w:right="0" w:firstLine="474" w:firstLineChars="200"/>
        <w:textAlignment w:val="auto"/>
        <w:rPr>
          <w:rFonts w:hint="default" w:ascii="Times New Roman" w:hAnsi="Times New Roman" w:eastAsia="宋体" w:cs="Times New Roman"/>
          <w:b/>
          <w:bCs/>
          <w:color w:val="auto"/>
          <w:spacing w:val="-2"/>
          <w:sz w:val="24"/>
          <w:szCs w:val="24"/>
          <w:u w:val="none" w:color="auto"/>
        </w:rPr>
      </w:pPr>
      <w:r>
        <w:rPr>
          <w:rFonts w:hint="default" w:ascii="Times New Roman" w:hAnsi="Times New Roman" w:eastAsia="宋体" w:cs="Times New Roman"/>
          <w:b/>
          <w:bCs/>
          <w:color w:val="auto"/>
          <w:spacing w:val="-2"/>
          <w:sz w:val="24"/>
          <w:szCs w:val="24"/>
          <w:u w:val="none" w:color="auto"/>
          <w:lang w:val="en-US" w:eastAsia="zh-CN"/>
        </w:rPr>
        <w:t>1、</w:t>
      </w:r>
      <w:r>
        <w:rPr>
          <w:rFonts w:hint="default" w:ascii="Times New Roman" w:hAnsi="Times New Roman" w:eastAsia="宋体" w:cs="Times New Roman"/>
          <w:b/>
          <w:bCs/>
          <w:color w:val="auto"/>
          <w:spacing w:val="-2"/>
          <w:sz w:val="24"/>
          <w:szCs w:val="24"/>
          <w:u w:val="none" w:color="auto"/>
        </w:rPr>
        <w:t>工艺设计、选型防范措施</w:t>
      </w:r>
    </w:p>
    <w:p w14:paraId="5293C8BE">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 工艺设计、选型时, 在满足工艺、质量和经济合理的情况下, 应优先考虑采用 无危险性、无危害性或危险性、危害性较小的化学品。</w:t>
      </w:r>
    </w:p>
    <w:p w14:paraId="20ED832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(2)在确定工艺消耗定额时,应尽可能减少危险化学品的使用量。</w:t>
      </w:r>
    </w:p>
    <w:p w14:paraId="17F68E6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(3)在进行工艺技术改造时,应尽可能考虑危险化学品替代或减量化方案。</w:t>
      </w:r>
    </w:p>
    <w:p w14:paraId="4A56854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lang w:val="en-US" w:eastAsia="zh-CN"/>
        </w:rPr>
        <w:t>2</w:t>
      </w:r>
      <w:r>
        <w:rPr>
          <w:rFonts w:hint="default" w:ascii="Times New Roman" w:hAnsi="Times New Roman" w:eastAsia="宋体" w:cs="Times New Roman"/>
          <w:color w:val="auto"/>
          <w:spacing w:val="-2"/>
          <w:sz w:val="24"/>
          <w:szCs w:val="24"/>
          <w:u w:val="none" w:color="auto"/>
        </w:rPr>
        <w:t>、危险化学品采购防范措施</w:t>
      </w:r>
    </w:p>
    <w:p w14:paraId="27D10D1C">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(1)选择确定供货方时,应将其安全防护措施作为重要条件之一加以考虑。</w:t>
      </w:r>
    </w:p>
    <w:p w14:paraId="6646577B">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(2)要求供货方提供化学品安全技术说明书和化学品安全标签。</w:t>
      </w:r>
    </w:p>
    <w:p w14:paraId="7B0A3A5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(3)要求供货方在厂区提供服务时,遵守公司、工厂有关安全管理制度。</w:t>
      </w:r>
    </w:p>
    <w:p w14:paraId="2A3B5586">
      <w:pPr>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pacing w:val="6"/>
          <w:sz w:val="24"/>
          <w:szCs w:val="24"/>
          <w:u w:val="none" w:color="auto"/>
        </w:rPr>
        <w:t>2</w:t>
      </w:r>
      <w:r>
        <w:rPr>
          <w:rFonts w:hint="default" w:ascii="Times New Roman" w:hAnsi="Times New Roman" w:eastAsia="宋体" w:cs="Times New Roman"/>
          <w:b/>
          <w:bCs/>
          <w:color w:val="auto"/>
          <w:spacing w:val="-21"/>
          <w:sz w:val="24"/>
          <w:szCs w:val="24"/>
          <w:u w:val="none" w:color="auto"/>
        </w:rPr>
        <w:t xml:space="preserve"> </w:t>
      </w:r>
      <w:r>
        <w:rPr>
          <w:rFonts w:hint="default" w:ascii="Times New Roman" w:hAnsi="Times New Roman" w:eastAsia="宋体" w:cs="Times New Roman"/>
          <w:b/>
          <w:bCs/>
          <w:color w:val="auto"/>
          <w:spacing w:val="6"/>
          <w:sz w:val="24"/>
          <w:szCs w:val="24"/>
          <w:u w:val="none" w:color="auto"/>
        </w:rPr>
        <w:t>、危险化学品的贮存、搬运和使用防范措施</w:t>
      </w:r>
    </w:p>
    <w:p w14:paraId="550B0A1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(1)化学品的贮存方式按其特性分为隔离贮存、隔开贮存和分离贮存 3 种。</w:t>
      </w:r>
    </w:p>
    <w:p w14:paraId="4E6F482C">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 化学品应由专人负责管理, 并配备可靠的个人安全防护用品; 管理人员应熟悉 化学品的性能及安全操作方法。</w:t>
      </w:r>
    </w:p>
    <w:p w14:paraId="1008B45E">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(3) 涂料仓库应符合防火、防爆、通风、防晒、防雷等安全要求, 安全防护设施要 保持完好。</w:t>
      </w:r>
    </w:p>
    <w:p w14:paraId="5A4825B1">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(4) 根据化学品性能分区、分类、分库贮存, 并有标识, 各类危险品不得与禁忌物 料混合贮存。</w:t>
      </w:r>
    </w:p>
    <w:p w14:paraId="2E895C4B">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(5)涂料仓库电气设备应符合防火、防爆等安全要求。涂料仓库必须保持通风良 好。各种化学品标识清楚,并有安全标签。化学品应限量贮存,并保持安全距离。</w:t>
      </w:r>
    </w:p>
    <w:p w14:paraId="54FD00F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(6)易燃物品不得与氧化剂混合贮存,具有还原性氧化剂应单独存放。</w:t>
      </w:r>
    </w:p>
    <w:p w14:paraId="5412DDE1">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(7) 遇火、遇热、遇潮能引起燃烧、爆炸或发生化学反应、产生有毒气体的化学品 不得在露天或在潮湿、积水的建筑物中贮存。</w:t>
      </w:r>
    </w:p>
    <w:p w14:paraId="27F90BCD">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(8) 压缩气体应与氧化剂、易燃物品、腐蚀性物品隔离贮存。易燃气体不得与助燃 气体、剧毒气体同贮; 盛装液化气体的容器属压力容器的, 必须有压力表、安全阀、紧 急切断装置,定期检查,不得超装。</w:t>
      </w:r>
    </w:p>
    <w:p w14:paraId="261A8390">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(9)化学品入库时,应严格检验物品质量、数量、包装情况、有无泄漏。</w:t>
      </w:r>
    </w:p>
    <w:p w14:paraId="27FA143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(10) 化学品入库后应采取适当的养护措施, 在贮存期内, 定期检查, 发现其品质 变化、包装破损、渗漏、稳定剂短缺等,应及时处理。</w:t>
      </w:r>
    </w:p>
    <w:p w14:paraId="79960086">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(11) 化学品出入库前均应进行检查验收、登记、验收内容包括: 数量、包装、危 险标志。经核对后方可入库、出库,当物品性质未弄清时不得入库。</w:t>
      </w:r>
    </w:p>
    <w:p w14:paraId="1DB5BF60">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(12)进入化学品贮存区域人员、机动车辆和作业车辆,必须采取防火措施。</w:t>
      </w:r>
    </w:p>
    <w:p w14:paraId="6CCCAF1D">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(13) 修补、换装、清扫、装卸易燃、易爆物料时, 应使用不产生火花的铜制、合 金制或其他工具。</w:t>
      </w:r>
    </w:p>
    <w:p w14:paraId="0D75B2FD">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(14)化学品一律凭领料单发放, 领料单上应有使用部门、数量、物料名称和规格, 并经主管签字。临时领用未用完的学品应送回仓库保管,不得随意放置。</w:t>
      </w:r>
    </w:p>
    <w:p w14:paraId="5EC01F96">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(15) 使用化学品时, 应按照工艺要求及安全技术说明要求进行操作, 并穿戴好个 人防护用品。</w:t>
      </w:r>
    </w:p>
    <w:p w14:paraId="01A95DDF">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(16) 装卸、搬运化学品时, 要做到轻装轻卸。严禁摔、碰、撞、击、拖拉、倾倒</w:t>
      </w:r>
    </w:p>
    <w:p w14:paraId="7D7784F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和滚动。</w:t>
      </w:r>
    </w:p>
    <w:p w14:paraId="2124989C">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(17) 危险化学品储存专用库房的进出库房门, 必须配备两把锁。保管人员各人持 一把锁匙。凡进入仓库工作时,必须双方保管员同时到达库房方可开启、关闭仓库门。 保管员必须妥善保管锁匙。</w:t>
      </w:r>
    </w:p>
    <w:p w14:paraId="7F1EFE01">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(18) 使用或保管化学品的管理人员应对化学品贮存场所、使用情况及安全设施状 况等进行日常安全检查。</w:t>
      </w:r>
    </w:p>
    <w:p w14:paraId="58C79027">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(19)安排专门的工作人员对使用和贮存化学品场所等进行巡查或专项安全检查。</w:t>
      </w:r>
    </w:p>
    <w:p w14:paraId="2EAA2DFF">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2"/>
          <w:sz w:val="24"/>
          <w:szCs w:val="24"/>
          <w:u w:val="none" w:color="auto"/>
        </w:rPr>
        <w:t>(20)根据《挥发性有机物无组织排放控制标准》(GB37822-2019)相关要求</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VOCs物料应储存于密闭的容器、包装袋、储罐、储库、料仓中。盛装VOCs物料的容器或包装袋应存放于室内或存放于设置有雨棚、遮阳和防渗设施的专用场地。盛装VOCs物料的容器或包装袋在非取用状态时应加盖、封口</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保持密闭</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VOCs物料</w:t>
      </w:r>
      <w:r>
        <w:rPr>
          <w:rFonts w:hint="eastAsia" w:ascii="Times New Roman" w:hAnsi="Times New Roman" w:eastAsia="宋体" w:cs="Times New Roman"/>
          <w:color w:val="auto"/>
          <w:spacing w:val="-2"/>
          <w:sz w:val="24"/>
          <w:szCs w:val="24"/>
          <w:u w:val="none" w:color="auto"/>
          <w:lang w:val="en-US" w:eastAsia="zh-CN"/>
        </w:rPr>
        <w:t>容器</w:t>
      </w:r>
      <w:r>
        <w:rPr>
          <w:rFonts w:hint="default" w:ascii="Times New Roman" w:hAnsi="Times New Roman" w:eastAsia="宋体" w:cs="Times New Roman"/>
          <w:color w:val="auto"/>
          <w:spacing w:val="-2"/>
          <w:sz w:val="24"/>
          <w:szCs w:val="24"/>
          <w:u w:val="none" w:color="auto"/>
        </w:rPr>
        <w:t>应密封良好</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涂料仓库应满足标准中对密闭空间的要求。</w:t>
      </w:r>
    </w:p>
    <w:p w14:paraId="27012C3E">
      <w:pPr>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b/>
          <w:bCs/>
          <w:color w:val="auto"/>
          <w:spacing w:val="6"/>
          <w:sz w:val="24"/>
          <w:szCs w:val="24"/>
          <w:u w:val="none" w:color="auto"/>
          <w:lang w:val="en-US" w:eastAsia="zh-CN"/>
        </w:rPr>
        <w:t>3</w:t>
      </w:r>
      <w:r>
        <w:rPr>
          <w:rFonts w:hint="default" w:ascii="Times New Roman" w:hAnsi="Times New Roman" w:eastAsia="宋体" w:cs="Times New Roman"/>
          <w:b/>
          <w:bCs/>
          <w:color w:val="auto"/>
          <w:spacing w:val="6"/>
          <w:sz w:val="24"/>
          <w:szCs w:val="24"/>
          <w:u w:val="none" w:color="auto"/>
        </w:rPr>
        <w:t>、</w:t>
      </w:r>
      <w:r>
        <w:rPr>
          <w:rFonts w:hint="default" w:ascii="Times New Roman" w:hAnsi="Times New Roman" w:eastAsia="宋体" w:cs="Times New Roman"/>
          <w:b/>
          <w:bCs/>
          <w:color w:val="auto"/>
          <w:spacing w:val="5"/>
          <w:sz w:val="24"/>
          <w:szCs w:val="24"/>
          <w:u w:val="none" w:color="auto"/>
        </w:rPr>
        <w:t>危险物料运输事故风险防范措施</w:t>
      </w:r>
    </w:p>
    <w:p w14:paraId="3BD41F2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厂区辅助物料均通过汽车运输进厂。因此加强化学品运输管理, 做好化学品运输事 故风险防范措施至关重要。</w:t>
      </w:r>
    </w:p>
    <w:p w14:paraId="4F87F48F">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厂区物料运输必须采用专用合格车辆, 并配备押运人员, 运输人员及押运人员需持 证上岗, 车辆不得超装、超载, 不得进入化学品运输车辆禁止通行的区域、确需进入禁 止通行区域的, 应当事先向当地公安部门报告, 并按公安部门指定的行车时间和路线进 行运输, 做到文明行车; 在运输车辆明显位置贴示“危险”警示标记; 不断加强对运输 人员及押运人员的技能专业培训。</w:t>
      </w:r>
    </w:p>
    <w:p w14:paraId="4A578C63">
      <w:pPr>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b/>
          <w:bCs/>
          <w:color w:val="auto"/>
          <w:spacing w:val="6"/>
          <w:sz w:val="24"/>
          <w:szCs w:val="24"/>
          <w:u w:val="none" w:color="auto"/>
          <w:lang w:val="en-US" w:eastAsia="zh-CN"/>
        </w:rPr>
        <w:t>4</w:t>
      </w:r>
      <w:r>
        <w:rPr>
          <w:rFonts w:hint="default" w:ascii="Times New Roman" w:hAnsi="Times New Roman" w:eastAsia="宋体" w:cs="Times New Roman"/>
          <w:b/>
          <w:bCs/>
          <w:color w:val="auto"/>
          <w:spacing w:val="6"/>
          <w:sz w:val="24"/>
          <w:szCs w:val="24"/>
          <w:u w:val="none" w:color="auto"/>
        </w:rPr>
        <w:t>、</w:t>
      </w:r>
      <w:r>
        <w:rPr>
          <w:rFonts w:hint="default" w:ascii="Times New Roman" w:hAnsi="Times New Roman" w:eastAsia="宋体" w:cs="Times New Roman"/>
          <w:b/>
          <w:bCs/>
          <w:color w:val="auto"/>
          <w:spacing w:val="5"/>
          <w:sz w:val="24"/>
          <w:szCs w:val="24"/>
          <w:u w:val="none" w:color="auto"/>
        </w:rPr>
        <w:t>生产车间风险防范措施</w:t>
      </w:r>
    </w:p>
    <w:p w14:paraId="643A0B07">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生产车间和仓库设计和规划要以建筑技术设计规定为标准, 达到防火要求, 车间内 要保证气流畅通, 避免高温下引发火灾, 需安装降温设备, 使工厂内物品难以达到燃点,避免火灾的发生。危险性高的物品需根据</w:t>
      </w:r>
      <w:r>
        <w:rPr>
          <w:rFonts w:hint="eastAsia" w:ascii="Times New Roman" w:hAnsi="Times New Roman" w:eastAsia="宋体" w:cs="Times New Roman"/>
          <w:color w:val="auto"/>
          <w:spacing w:val="-2"/>
          <w:sz w:val="24"/>
          <w:szCs w:val="24"/>
          <w:u w:val="none" w:color="auto"/>
          <w:lang w:eastAsia="zh-CN"/>
        </w:rPr>
        <w:t>安全</w:t>
      </w:r>
      <w:r>
        <w:rPr>
          <w:rFonts w:hint="default" w:ascii="Times New Roman" w:hAnsi="Times New Roman" w:eastAsia="宋体" w:cs="Times New Roman"/>
          <w:color w:val="auto"/>
          <w:spacing w:val="-2"/>
          <w:sz w:val="24"/>
          <w:szCs w:val="24"/>
          <w:u w:val="none" w:color="auto"/>
        </w:rPr>
        <w:t>规范予以保存和储藏, 并且要定期进行检 查和清理, 以断绝火源。对堆放原料的仓库隔间做好防火措施, 一旦其中一个隔间起火,火灾不会蔓延到其他胶料堆放隔间。做好工作人员消防培训并配置足够数量的消防栓,同时加强平时维护和保养确保消防设施在发生火灾时能正常使用。加强员工的思想、道德教育,提高员工的责任心和主观能动性, 完善并严格遵守相关操作规程, 加强岗位培训,落实岗位责任制, 加强设备管理, 特别是对易产生有毒物质泄漏的部位加强检查。</w:t>
      </w:r>
    </w:p>
    <w:p w14:paraId="76C10D8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在火灾危险区域内, 选用相应等级的防爆电器和隔爆型仪表。对老化的电线、电缆</w:t>
      </w:r>
      <w:r>
        <w:rPr>
          <w:rFonts w:hint="eastAsia" w:ascii="Times New Roman" w:hAnsi="Times New Roman" w:eastAsia="宋体" w:cs="Times New Roman"/>
          <w:color w:val="auto"/>
          <w:spacing w:val="-2"/>
          <w:sz w:val="24"/>
          <w:szCs w:val="24"/>
          <w:u w:val="none" w:color="auto"/>
          <w:lang w:eastAsia="zh-CN"/>
        </w:rPr>
        <w:t>极有可能</w:t>
      </w:r>
      <w:r>
        <w:rPr>
          <w:rFonts w:hint="default" w:ascii="Times New Roman" w:hAnsi="Times New Roman" w:eastAsia="宋体" w:cs="Times New Roman"/>
          <w:color w:val="auto"/>
          <w:spacing w:val="-2"/>
          <w:sz w:val="24"/>
          <w:szCs w:val="24"/>
          <w:u w:val="none" w:color="auto"/>
        </w:rPr>
        <w:t>发生火灾、爆炸的机械要按时进行安全检查, 易燃品远离电线电缆处。安装灭 火系统和设备,并定期维护。</w:t>
      </w:r>
    </w:p>
    <w:p w14:paraId="5D41FE2B">
      <w:pPr>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b/>
          <w:bCs/>
          <w:color w:val="auto"/>
          <w:spacing w:val="6"/>
          <w:sz w:val="24"/>
          <w:szCs w:val="24"/>
          <w:u w:val="none" w:color="auto"/>
          <w:lang w:val="en-US" w:eastAsia="zh-CN"/>
        </w:rPr>
        <w:t>5</w:t>
      </w:r>
      <w:r>
        <w:rPr>
          <w:rFonts w:hint="default" w:ascii="Times New Roman" w:hAnsi="Times New Roman" w:eastAsia="宋体" w:cs="Times New Roman"/>
          <w:b/>
          <w:bCs/>
          <w:color w:val="auto"/>
          <w:spacing w:val="6"/>
          <w:sz w:val="24"/>
          <w:szCs w:val="24"/>
          <w:u w:val="none" w:color="auto"/>
        </w:rPr>
        <w:t>、</w:t>
      </w:r>
      <w:r>
        <w:rPr>
          <w:rFonts w:hint="default" w:ascii="Times New Roman" w:hAnsi="Times New Roman" w:eastAsia="宋体" w:cs="Times New Roman"/>
          <w:b/>
          <w:bCs/>
          <w:color w:val="auto"/>
          <w:spacing w:val="5"/>
          <w:sz w:val="24"/>
          <w:szCs w:val="24"/>
          <w:u w:val="none" w:color="auto"/>
        </w:rPr>
        <w:t>液体原材料泄漏风险防范措施</w:t>
      </w:r>
    </w:p>
    <w:p w14:paraId="73D63026">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项目使用的液态化学品在生产过程中容易因为设备故障、人为操作不当等原因导致 泄漏,必须采取必要应急措施处置,控制泄漏物扩散范围。应急处理措施如下:</w:t>
      </w:r>
    </w:p>
    <w:p w14:paraId="270202A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(1)一旦发生化学品泄漏事件, 应立即通知应急值班室和所在部门主管或负责人。</w:t>
      </w:r>
    </w:p>
    <w:p w14:paraId="69CC5CBB">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(2)现场设置警示牌和警戒线,防止无关人员靠近。</w:t>
      </w:r>
    </w:p>
    <w:p w14:paraId="087DA2B3">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(3) 使用沙土将泄漏物进行围堵或者覆盖, 同时关闭相应阀门, 堵塞或修补容器或 管道的泄漏口, 以防化学品更多的泄漏; 利用沙土撒在泄漏口周围, 将泄漏口与外部隔 绝开。</w:t>
      </w:r>
    </w:p>
    <w:p w14:paraId="2361BA65">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(4)应急小组人员根据物料的性质,穿戴防护设施,进行现场清理。</w:t>
      </w:r>
    </w:p>
    <w:p w14:paraId="5C540837">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(5)事故处理完毕后,把收集的事故废液和沙土交由具备相关资质和处理能力的 公司运走处理。</w:t>
      </w:r>
    </w:p>
    <w:p w14:paraId="4C6B2E6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b/>
          <w:bCs/>
          <w:color w:val="auto"/>
          <w:spacing w:val="5"/>
          <w:sz w:val="24"/>
          <w:szCs w:val="24"/>
          <w:u w:val="none" w:color="auto"/>
        </w:rPr>
        <w:t>大气环境风险防范措施</w:t>
      </w:r>
    </w:p>
    <w:p w14:paraId="738555EF">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①</w:t>
      </w:r>
      <w:r>
        <w:rPr>
          <w:rFonts w:hint="default" w:ascii="Times New Roman" w:hAnsi="Times New Roman" w:eastAsia="宋体" w:cs="Times New Roman"/>
          <w:color w:val="auto"/>
          <w:kern w:val="0"/>
          <w:sz w:val="24"/>
          <w:szCs w:val="24"/>
          <w:highlight w:val="none"/>
          <w:u w:val="single"/>
        </w:rPr>
        <w:t>制定严格的工艺操作规程，加强监督和管理，提高职工安全意识和环保意识。对</w:t>
      </w:r>
      <w:r>
        <w:rPr>
          <w:rFonts w:hint="default" w:ascii="Times New Roman" w:hAnsi="Times New Roman" w:eastAsia="宋体" w:cs="Times New Roman"/>
          <w:color w:val="auto"/>
          <w:kern w:val="0"/>
          <w:sz w:val="24"/>
          <w:szCs w:val="24"/>
          <w:highlight w:val="none"/>
          <w:u w:val="single"/>
          <w:lang w:val="en-US" w:eastAsia="zh-CN"/>
        </w:rPr>
        <w:t>设备、</w:t>
      </w:r>
      <w:r>
        <w:rPr>
          <w:rFonts w:hint="default" w:ascii="Times New Roman" w:hAnsi="Times New Roman" w:eastAsia="宋体" w:cs="Times New Roman"/>
          <w:color w:val="auto"/>
          <w:kern w:val="0"/>
          <w:sz w:val="24"/>
          <w:szCs w:val="24"/>
          <w:highlight w:val="none"/>
          <w:u w:val="single"/>
        </w:rPr>
        <w:t>管道、阀门、接口处都要定期检查，严禁跑、冒、滴、漏现象的发生。在生产过程中需要作业人员严格按照操作规程进行作业，加强各类控制仪表和报警系统的维护。</w:t>
      </w:r>
    </w:p>
    <w:p w14:paraId="516F1F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u w:val="single"/>
        </w:rPr>
      </w:pPr>
      <w:r>
        <w:rPr>
          <w:rFonts w:hint="default" w:ascii="Times New Roman" w:hAnsi="Times New Roman" w:eastAsia="宋体" w:cs="Times New Roman"/>
          <w:color w:val="auto"/>
          <w:sz w:val="24"/>
          <w:szCs w:val="24"/>
          <w:u w:val="single"/>
          <w:lang w:val="en-US" w:eastAsia="zh-CN"/>
        </w:rPr>
        <w:t>②废气处理系统须按相关标准要求设计、施工和管理，同时，需对各废气处理系统进行定期与不定期检查，及时维修或更换不良部件，上岗操作人员进行岗前培训，使其具备操作资格及应急处理能力。</w:t>
      </w:r>
      <w:r>
        <w:rPr>
          <w:rFonts w:hint="default" w:ascii="Times New Roman" w:hAnsi="Times New Roman" w:eastAsia="宋体" w:cs="Times New Roman"/>
          <w:color w:val="auto"/>
          <w:kern w:val="0"/>
          <w:sz w:val="24"/>
          <w:szCs w:val="24"/>
          <w:highlight w:val="none"/>
          <w:u w:val="single"/>
        </w:rPr>
        <w:t>定期对</w:t>
      </w:r>
      <w:r>
        <w:rPr>
          <w:rFonts w:hint="default" w:ascii="Times New Roman" w:hAnsi="Times New Roman" w:eastAsia="宋体" w:cs="Times New Roman"/>
          <w:color w:val="auto"/>
          <w:kern w:val="0"/>
          <w:sz w:val="24"/>
          <w:szCs w:val="24"/>
          <w:highlight w:val="none"/>
          <w:u w:val="single"/>
          <w:lang w:val="en-US" w:eastAsia="zh-CN"/>
        </w:rPr>
        <w:t>二级活性炭吸附装置</w:t>
      </w:r>
      <w:r>
        <w:rPr>
          <w:rFonts w:hint="default" w:ascii="Times New Roman" w:hAnsi="Times New Roman" w:eastAsia="宋体" w:cs="Times New Roman"/>
          <w:color w:val="auto"/>
          <w:kern w:val="0"/>
          <w:sz w:val="24"/>
          <w:szCs w:val="24"/>
          <w:highlight w:val="none"/>
          <w:u w:val="single"/>
        </w:rPr>
        <w:t>等进行维护，及时</w:t>
      </w:r>
      <w:r>
        <w:rPr>
          <w:rFonts w:hint="default" w:ascii="Times New Roman" w:hAnsi="Times New Roman" w:eastAsia="宋体" w:cs="Times New Roman"/>
          <w:color w:val="auto"/>
          <w:kern w:val="0"/>
          <w:sz w:val="24"/>
          <w:szCs w:val="24"/>
          <w:highlight w:val="none"/>
          <w:u w:val="single"/>
          <w:lang w:val="en-US" w:eastAsia="zh-CN"/>
        </w:rPr>
        <w:t>更换活性炭</w:t>
      </w:r>
      <w:r>
        <w:rPr>
          <w:rFonts w:hint="default" w:ascii="Times New Roman" w:hAnsi="Times New Roman" w:eastAsia="宋体" w:cs="Times New Roman"/>
          <w:color w:val="auto"/>
          <w:kern w:val="0"/>
          <w:sz w:val="24"/>
          <w:szCs w:val="24"/>
          <w:highlight w:val="none"/>
          <w:u w:val="single"/>
        </w:rPr>
        <w:t>。</w:t>
      </w:r>
    </w:p>
    <w:p w14:paraId="4B2E07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③若发生气体泄漏严重或发生火灾、爆炸时，应立即通知车间、调度室紧急停止，并及时通知相邻生产装置区当班人员撤离。</w:t>
      </w:r>
    </w:p>
    <w:p w14:paraId="6F36D775">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b/>
          <w:bCs/>
          <w:color w:val="auto"/>
          <w:spacing w:val="5"/>
          <w:sz w:val="24"/>
          <w:szCs w:val="24"/>
          <w:u w:val="none" w:color="auto"/>
        </w:rPr>
        <w:t>危险废物暂存风险防范措施</w:t>
      </w:r>
    </w:p>
    <w:p w14:paraId="73B6B420">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①危险废物贮存场所必须有符合危险废物识别标志设置技术规范</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HJ1276一2022</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的专用标志</w:t>
      </w:r>
      <w:r>
        <w:rPr>
          <w:rFonts w:hint="eastAsia"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应建有堵截泄漏的裙角, 地面与裙角要用兼顾防渗的材料建造, 防止液体废物意外泄漏造成无组织溢流渗入地下。危险废物贮存场所必须设 置泄漏液体收集装置及气体导出口和气体净化装置, 使整个库房处于微负压状态; 应有 安全照明和观察窗口。</w:t>
      </w:r>
    </w:p>
    <w:p w14:paraId="414FDAA7">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②厂区内应设置截断阀门,发生泄漏时关闭污染物外排途径。</w:t>
      </w:r>
    </w:p>
    <w:p w14:paraId="0BF648C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③废液储存方式分为桶装。桶装废液储存在厂区危废暂存仓库, 仓库设置导 流槽,容积应大于单个废液桶容量,确保桶装废液泄漏能够完全收集。</w:t>
      </w:r>
    </w:p>
    <w:p w14:paraId="6C5A8F61">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④在废液储存区与各仓库,必须按储存的危险废物类别分别建设专用的贮存设施, 贮存设施的地面与裙脚必须用坚固、防渗的材料建造, 建筑材料与危险废物相容(即不 相互反应); 必须有耐腐蚀的硬化地面, 且表面无裂隙。建造径流疏导系统, 保证能防止25年一遇的暴雨不会流到危险废物堆里。</w:t>
      </w:r>
    </w:p>
    <w:p w14:paraId="6282D22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⑤不相容的危险废物必须分开存放, 并设有隔离间, 废物储存应按废物种类及预测贮存数量减少分区</w:t>
      </w:r>
      <w:r>
        <w:rPr>
          <w:rFonts w:hint="eastAsia" w:ascii="Times New Roman" w:hAnsi="Times New Roman" w:eastAsia="宋体" w:cs="Times New Roman"/>
          <w:color w:val="auto"/>
          <w:spacing w:val="-2"/>
          <w:sz w:val="24"/>
          <w:szCs w:val="24"/>
          <w:u w:val="none" w:color="auto"/>
          <w:lang w:eastAsia="zh-CN"/>
        </w:rPr>
        <w:t>贮存</w:t>
      </w:r>
      <w:r>
        <w:rPr>
          <w:rFonts w:hint="default" w:ascii="Times New Roman" w:hAnsi="Times New Roman" w:eastAsia="宋体" w:cs="Times New Roman"/>
          <w:color w:val="auto"/>
          <w:spacing w:val="-2"/>
          <w:sz w:val="24"/>
          <w:szCs w:val="24"/>
          <w:u w:val="none" w:color="auto"/>
        </w:rPr>
        <w:t>。</w:t>
      </w:r>
    </w:p>
    <w:p w14:paraId="188645C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⑥危废暂存仓库应严格按照《建筑设计防火规范》(GB50016-2014) 进行设计,在 总图的布置上应留有足够的防火距离, 仓库与生产车间和交通线路的距离、仓库与其他 建筑物之间的距离应符合规范要求。库房各区应安装气体检测装置, 并进行定时检测, 检测数据输送到控制中心,并设置报警功能。</w:t>
      </w:r>
    </w:p>
    <w:p w14:paraId="0D4DE8D5">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⑦仓库门口应设置10~15cm高的挡水坡, 防止暴雨时有雨水涌进; 堆放货架最底层应距地面至少20cm,易溶性物品必须放在上层,防止水淹溶解; 在仓库、车间外部 设雨水沟,下雨时可收集雨水,防止雨水浸入仓库。</w:t>
      </w:r>
    </w:p>
    <w:p w14:paraId="341282D3">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8、</w:t>
      </w:r>
      <w:r>
        <w:rPr>
          <w:rFonts w:hint="default" w:ascii="Times New Roman" w:hAnsi="Times New Roman" w:eastAsia="宋体" w:cs="Times New Roman"/>
          <w:b/>
          <w:bCs/>
          <w:color w:val="auto"/>
          <w:spacing w:val="5"/>
          <w:sz w:val="24"/>
          <w:szCs w:val="24"/>
          <w:u w:val="none" w:color="auto"/>
        </w:rPr>
        <w:t>地下水污染环境风险防范措施</w:t>
      </w:r>
    </w:p>
    <w:p w14:paraId="6D8E9F37">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(1)污染源头控制措施</w:t>
      </w:r>
    </w:p>
    <w:p w14:paraId="196D833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本项目选择先进、成熟、可靠的工艺技术, 并对产生的废物进行合理的回用和治理,  以尽可能从源头上减少污染物排放。主要包括在工艺、管道、设备、污水储存及处理构 筑物上采取相应措施, 防止和降低污染物跑、冒、滴、漏; 尽量“可视化”, 做到污染物 “早发现、早处理”。</w:t>
      </w:r>
    </w:p>
    <w:p w14:paraId="36DFE60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①输送工艺介质的离心泵和转子泵的轴封应优先选配机械密封, 输送水及液体介质, 可根据具体条件和重要性确定密封型式。</w:t>
      </w:r>
    </w:p>
    <w:p w14:paraId="3023F57D">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②溢流、事故及管道低点排出的液态物料, 应进入密闭的收集系统或其他收集设施。 不得就地排放和排入排水系统。</w:t>
      </w:r>
    </w:p>
    <w:p w14:paraId="4A7B9273">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③装置内应根据生产实际需要设收集罐, 用以收集各取样点、低点排液等少量液体 介质, 并以自流、间断用惰性气体压送或泵送等方式送至相应系统。装置因事故或正常 停工后,应尽量通过正常操作管道将装置内物料送往相应储存区。</w:t>
      </w:r>
    </w:p>
    <w:p w14:paraId="2F04DDEC">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④有毒有害介质设备的设备法兰及接管法兰的密封面和垫片适当提高密封等级, 必 要时采用焊接连接。设备的排净及排空口不采用螺纹密封结构, 且不直接排放。搅拌设 备的轴封选择适当的密封形式。</w:t>
      </w:r>
    </w:p>
    <w:p w14:paraId="7610C76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⑤输送液体的压力管道尽量采用地上敷设, 重力收集管道可采用埋地敷设, 埋地敷 设的排水管道在穿越厂(库) 区干道时采用套管保护。所有穿过污水处理构筑物壁的管 道预先设置防水套管,防水套管的环缝隙采用不透水的柔性材料填塞。</w:t>
      </w:r>
    </w:p>
    <w:p w14:paraId="12472595">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(2)分区防渗措施</w:t>
      </w:r>
    </w:p>
    <w:p w14:paraId="508317C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全厂地面、路面均需进行水泥硬化处理, 生产车间、仓库还需采取专门的防腐防渗 措施,防止废水或废液下渗污染地下水环境。</w:t>
      </w:r>
    </w:p>
    <w:p w14:paraId="40BC02A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none" w:color="auto"/>
        </w:rPr>
      </w:pPr>
      <w:r>
        <w:rPr>
          <w:rFonts w:hint="default" w:ascii="Times New Roman" w:hAnsi="Times New Roman" w:eastAsia="宋体" w:cs="Times New Roman"/>
          <w:color w:val="auto"/>
          <w:spacing w:val="-2"/>
          <w:sz w:val="24"/>
          <w:szCs w:val="24"/>
          <w:u w:val="none" w:color="auto"/>
        </w:rPr>
        <w:t>制定地下水风险或突发事故的应急响应预案,及时采取封堵、截流、疏散等处理措 施。</w:t>
      </w:r>
    </w:p>
    <w:p w14:paraId="2970FEF6">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u w:val="single" w:color="auto"/>
        </w:rPr>
      </w:pPr>
      <w:r>
        <w:rPr>
          <w:rFonts w:hint="default" w:ascii="Times New Roman" w:hAnsi="Times New Roman" w:eastAsia="宋体" w:cs="Times New Roman"/>
          <w:color w:val="auto"/>
          <w:spacing w:val="-2"/>
          <w:sz w:val="24"/>
          <w:szCs w:val="24"/>
          <w:u w:val="single" w:color="auto"/>
        </w:rPr>
        <w:t>(</w:t>
      </w:r>
      <w:r>
        <w:rPr>
          <w:rFonts w:hint="eastAsia" w:ascii="Times New Roman" w:hAnsi="Times New Roman" w:eastAsia="宋体" w:cs="Times New Roman"/>
          <w:color w:val="auto"/>
          <w:spacing w:val="-2"/>
          <w:sz w:val="24"/>
          <w:szCs w:val="24"/>
          <w:u w:val="single" w:color="auto"/>
          <w:lang w:val="en-US" w:eastAsia="zh-CN"/>
        </w:rPr>
        <w:t>3</w:t>
      </w:r>
      <w:r>
        <w:rPr>
          <w:rFonts w:hint="default" w:ascii="Times New Roman" w:hAnsi="Times New Roman" w:eastAsia="宋体" w:cs="Times New Roman"/>
          <w:color w:val="auto"/>
          <w:spacing w:val="-2"/>
          <w:sz w:val="24"/>
          <w:szCs w:val="24"/>
          <w:u w:val="single" w:color="auto"/>
        </w:rPr>
        <w:t>)</w:t>
      </w:r>
      <w:r>
        <w:rPr>
          <w:rFonts w:hint="eastAsia" w:ascii="Times New Roman" w:hAnsi="Times New Roman" w:eastAsia="宋体" w:cs="Times New Roman"/>
          <w:color w:val="auto"/>
          <w:spacing w:val="-2"/>
          <w:sz w:val="24"/>
          <w:szCs w:val="24"/>
          <w:u w:val="single" w:color="auto"/>
          <w:lang w:val="en-US" w:eastAsia="zh-CN"/>
        </w:rPr>
        <w:t>设置监测井</w:t>
      </w:r>
    </w:p>
    <w:p w14:paraId="32102B5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highlight w:val="none"/>
          <w:u w:val="single" w:color="auto"/>
          <w:lang w:val="en-US" w:eastAsia="zh-CN"/>
        </w:rPr>
      </w:pPr>
      <w:r>
        <w:rPr>
          <w:rFonts w:hint="eastAsia" w:ascii="Times New Roman" w:hAnsi="Times New Roman" w:eastAsia="宋体" w:cs="Times New Roman"/>
          <w:color w:val="auto"/>
          <w:spacing w:val="-2"/>
          <w:sz w:val="24"/>
          <w:szCs w:val="24"/>
          <w:highlight w:val="none"/>
          <w:u w:val="single" w:color="auto"/>
          <w:lang w:val="en-US" w:eastAsia="zh-CN"/>
        </w:rPr>
        <w:t>在厂区下游设置监测井（U3）（21.720591°N，108.645798°E），见图3.2-1，定期监测。</w:t>
      </w:r>
    </w:p>
    <w:p w14:paraId="5F28C203">
      <w:pPr>
        <w:spacing w:before="33" w:line="227" w:lineRule="auto"/>
        <w:ind w:left="37"/>
        <w:rPr>
          <w:rFonts w:ascii="宋体" w:hAnsi="宋体" w:eastAsia="宋体" w:cs="宋体"/>
          <w:color w:val="auto"/>
          <w:sz w:val="23"/>
          <w:szCs w:val="23"/>
          <w:u w:val="none" w:color="auto"/>
        </w:rPr>
      </w:pPr>
      <w:r>
        <w:rPr>
          <w:rFonts w:hint="eastAsia" w:ascii="Times New Roman" w:hAnsi="Times New Roman" w:eastAsia="宋体" w:cs="Times New Roman"/>
          <w:color w:val="auto"/>
          <w:sz w:val="24"/>
          <w:szCs w:val="24"/>
          <w:u w:val="none" w:color="auto"/>
          <w:lang w:val="en-US" w:eastAsia="zh-CN"/>
        </w:rPr>
        <w:t>9、</w:t>
      </w:r>
      <w:r>
        <w:rPr>
          <w:rFonts w:ascii="宋体" w:hAnsi="宋体" w:eastAsia="宋体" w:cs="宋体"/>
          <w:b/>
          <w:bCs/>
          <w:color w:val="auto"/>
          <w:spacing w:val="5"/>
          <w:sz w:val="23"/>
          <w:szCs w:val="23"/>
          <w:u w:val="none" w:color="auto"/>
        </w:rPr>
        <w:t>事故废水环境风险防范措施</w:t>
      </w:r>
    </w:p>
    <w:p w14:paraId="60394F19">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项目在生产过程中有涉及量的液体物料（油漆、稀释剂、固化剂泄漏、火灾消防水），为防止此环节发生风险事故时对周围环境及受纳水体产生影响，其环境风险应设立三级应急防控体系： </w:t>
      </w:r>
    </w:p>
    <w:p w14:paraId="7E21A5BF">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（1）一级防控措施 </w:t>
      </w:r>
    </w:p>
    <w:p w14:paraId="32981FAF">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油漆、稀释剂、固化剂原料桶不得露天存放，应储存于阴凉通风仓库内。仓内温度不宜超过30℃，远离火种、热源，防止阳光直射，应与易燃或可燃物分开存放，验收时要注意品名，注意验瓶日期，先进仓的先发用，搬运时轻装轻卸，防止原料桶破损或倾倒，存储区地面采用混凝土防渗层。 </w:t>
      </w:r>
    </w:p>
    <w:p w14:paraId="1787314B">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（2）二级防控措施 </w:t>
      </w:r>
    </w:p>
    <w:p w14:paraId="4E61CE1B">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1）公司将对厂区雨水总排口设置切断措施，防止事故情况下物料经雨水管线进入地表水水体。 </w:t>
      </w:r>
    </w:p>
    <w:p w14:paraId="4D18FF3C">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2）作为终端防控措施，事故水池总容积为</w:t>
      </w:r>
      <w:r>
        <w:rPr>
          <w:rFonts w:hint="eastAsia" w:ascii="Times New Roman" w:hAnsi="Times New Roman" w:eastAsia="宋体" w:cs="Times New Roman"/>
          <w:color w:val="auto"/>
          <w:sz w:val="24"/>
          <w:u w:val="none" w:color="auto"/>
        </w:rPr>
        <w:t>15</w:t>
      </w:r>
      <w:r>
        <w:rPr>
          <w:rFonts w:ascii="Times New Roman" w:hAnsi="Times New Roman" w:eastAsia="宋体" w:cs="Times New Roman"/>
          <w:color w:val="auto"/>
          <w:sz w:val="24"/>
          <w:u w:val="none" w:color="auto"/>
        </w:rPr>
        <w:t>0m</w:t>
      </w:r>
      <w:r>
        <w:rPr>
          <w:rFonts w:ascii="Times New Roman" w:hAnsi="Times New Roman" w:eastAsia="宋体" w:cs="Times New Roman"/>
          <w:color w:val="auto"/>
          <w:sz w:val="24"/>
          <w:u w:val="none" w:color="auto"/>
          <w:vertAlign w:val="superscript"/>
        </w:rPr>
        <w:t>3</w:t>
      </w:r>
      <w:r>
        <w:rPr>
          <w:rFonts w:ascii="Times New Roman" w:hAnsi="Times New Roman" w:eastAsia="宋体" w:cs="Times New Roman"/>
          <w:color w:val="auto"/>
          <w:sz w:val="24"/>
          <w:u w:val="none" w:color="auto"/>
        </w:rPr>
        <w:t>，位于</w:t>
      </w:r>
      <w:r>
        <w:rPr>
          <w:rFonts w:hint="eastAsia" w:ascii="Times New Roman" w:hAnsi="Times New Roman" w:eastAsia="宋体" w:cs="Times New Roman"/>
          <w:color w:val="auto"/>
          <w:sz w:val="24"/>
          <w:u w:val="none" w:color="auto"/>
          <w:lang w:eastAsia="zh-CN"/>
        </w:rPr>
        <w:t>涂装车间</w:t>
      </w:r>
      <w:r>
        <w:rPr>
          <w:rFonts w:ascii="Times New Roman" w:hAnsi="Times New Roman" w:eastAsia="宋体" w:cs="Times New Roman"/>
          <w:color w:val="auto"/>
          <w:sz w:val="24"/>
          <w:u w:val="none" w:color="auto"/>
        </w:rPr>
        <w:t>西</w:t>
      </w:r>
      <w:r>
        <w:rPr>
          <w:rFonts w:hint="eastAsia" w:ascii="Times New Roman" w:hAnsi="Times New Roman" w:eastAsia="宋体" w:cs="Times New Roman"/>
          <w:color w:val="auto"/>
          <w:sz w:val="24"/>
          <w:u w:val="none" w:color="auto"/>
        </w:rPr>
        <w:t>南侧</w:t>
      </w:r>
      <w:r>
        <w:rPr>
          <w:rFonts w:ascii="Times New Roman" w:hAnsi="Times New Roman" w:eastAsia="宋体" w:cs="Times New Roman"/>
          <w:color w:val="auto"/>
          <w:sz w:val="24"/>
          <w:u w:val="none" w:color="auto"/>
        </w:rPr>
        <w:t>。事故水池在风险事故情况下，将</w:t>
      </w:r>
      <w:r>
        <w:rPr>
          <w:rFonts w:hint="eastAsia" w:ascii="Times New Roman" w:hAnsi="Times New Roman" w:eastAsia="宋体" w:cs="Times New Roman"/>
          <w:color w:val="auto"/>
          <w:sz w:val="24"/>
          <w:u w:val="none" w:color="auto"/>
        </w:rPr>
        <w:t>事故</w:t>
      </w:r>
      <w:r>
        <w:rPr>
          <w:rFonts w:ascii="Times New Roman" w:hAnsi="Times New Roman" w:eastAsia="宋体" w:cs="Times New Roman"/>
          <w:color w:val="auto"/>
          <w:sz w:val="24"/>
          <w:u w:val="none" w:color="auto"/>
        </w:rPr>
        <w:t>污水及消防水等引入该事故</w:t>
      </w:r>
      <w:r>
        <w:rPr>
          <w:rFonts w:hint="eastAsia" w:ascii="Times New Roman" w:hAnsi="Times New Roman" w:eastAsia="宋体" w:cs="Times New Roman"/>
          <w:color w:val="auto"/>
          <w:sz w:val="24"/>
          <w:u w:val="none" w:color="auto"/>
          <w:lang w:eastAsia="zh-CN"/>
        </w:rPr>
        <w:t>水池</w:t>
      </w:r>
      <w:r>
        <w:rPr>
          <w:rFonts w:ascii="Times New Roman" w:hAnsi="Times New Roman" w:eastAsia="宋体" w:cs="Times New Roman"/>
          <w:color w:val="auto"/>
          <w:sz w:val="24"/>
          <w:u w:val="none" w:color="auto"/>
        </w:rPr>
        <w:t xml:space="preserve">；如果事故污水进入雨排系统，则随管线流入事故水池，杜绝事故废水外排。 </w:t>
      </w:r>
    </w:p>
    <w:p w14:paraId="3D23F4F2">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（3）三级防控措施 </w:t>
      </w:r>
    </w:p>
    <w:p w14:paraId="4A043213">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项目生产中发生故障不能在短时间内修复，事故水池容积不够的情况下，应当立即停产，同时在雨水的总排口前设置总切断阀，作为事故状态下的储存和调开手段，将污染物控制在厂区内，防止重大事故泄漏污染和污染消防水造成的环境污染，可有效防止工厂外泄对环境和水体的污染。 </w:t>
      </w:r>
    </w:p>
    <w:p w14:paraId="357E926D">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w:t>
      </w:r>
      <w:r>
        <w:rPr>
          <w:rFonts w:hint="eastAsia" w:ascii="Times New Roman" w:hAnsi="Times New Roman" w:eastAsia="宋体" w:cs="Times New Roman"/>
          <w:color w:val="auto"/>
          <w:sz w:val="24"/>
          <w:u w:val="none" w:color="auto"/>
        </w:rPr>
        <w:t>4</w:t>
      </w:r>
      <w:r>
        <w:rPr>
          <w:rFonts w:ascii="Times New Roman" w:hAnsi="Times New Roman" w:eastAsia="宋体" w:cs="Times New Roman"/>
          <w:color w:val="auto"/>
          <w:sz w:val="24"/>
          <w:u w:val="none" w:color="auto"/>
        </w:rPr>
        <w:t xml:space="preserve">）雨水系统设计 </w:t>
      </w:r>
    </w:p>
    <w:p w14:paraId="439DE61B">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项目实施“雨污分流”，但雨水管沟内也应在关键节点闸门、抽水泵、管线与厂区事故池相连，</w:t>
      </w:r>
      <w:r>
        <w:rPr>
          <w:rFonts w:hint="eastAsia" w:ascii="Times New Roman" w:hAnsi="Times New Roman" w:eastAsia="宋体" w:cs="Times New Roman"/>
          <w:color w:val="auto"/>
          <w:sz w:val="24"/>
          <w:u w:val="none" w:color="auto"/>
        </w:rPr>
        <w:t>事故</w:t>
      </w:r>
      <w:r>
        <w:rPr>
          <w:rFonts w:ascii="Times New Roman" w:hAnsi="Times New Roman" w:eastAsia="宋体" w:cs="Times New Roman"/>
          <w:color w:val="auto"/>
          <w:sz w:val="24"/>
          <w:u w:val="none" w:color="auto"/>
        </w:rPr>
        <w:t>废水一旦进入雨水系统，可将废水抽至事故池后再送至</w:t>
      </w:r>
      <w:r>
        <w:rPr>
          <w:rFonts w:hint="eastAsia" w:ascii="Times New Roman" w:hAnsi="Times New Roman" w:eastAsia="宋体" w:cs="Times New Roman"/>
          <w:color w:val="auto"/>
          <w:sz w:val="24"/>
          <w:u w:val="none" w:color="auto"/>
        </w:rPr>
        <w:t>大榄坪</w:t>
      </w:r>
      <w:r>
        <w:rPr>
          <w:rFonts w:ascii="Times New Roman" w:hAnsi="Times New Roman" w:eastAsia="宋体" w:cs="Times New Roman"/>
          <w:color w:val="auto"/>
          <w:sz w:val="24"/>
          <w:u w:val="none" w:color="auto"/>
        </w:rPr>
        <w:t>污水处理</w:t>
      </w:r>
      <w:r>
        <w:rPr>
          <w:rFonts w:hint="eastAsia" w:ascii="Times New Roman" w:hAnsi="Times New Roman" w:eastAsia="宋体" w:cs="Times New Roman"/>
          <w:color w:val="auto"/>
          <w:sz w:val="24"/>
          <w:u w:val="none" w:color="auto"/>
        </w:rPr>
        <w:t>厂</w:t>
      </w:r>
      <w:r>
        <w:rPr>
          <w:rFonts w:ascii="Times New Roman" w:hAnsi="Times New Roman" w:eastAsia="宋体" w:cs="Times New Roman"/>
          <w:color w:val="auto"/>
          <w:sz w:val="24"/>
          <w:u w:val="none" w:color="auto"/>
        </w:rPr>
        <w:t xml:space="preserve">处理，阻断事故废水直接通过雨水系统进入厂外水体，造成污染。 </w:t>
      </w:r>
    </w:p>
    <w:p w14:paraId="7551091E">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 xml:space="preserve">项目厂区三级风险防范措施示意图见下图。 </w:t>
      </w:r>
    </w:p>
    <w:p w14:paraId="38E18AC9">
      <w:pPr>
        <w:rPr>
          <w:rFonts w:ascii="Times New Roman" w:hAnsi="Times New Roman" w:cs="Times New Roman"/>
          <w:color w:val="auto"/>
          <w:u w:val="none" w:color="auto"/>
        </w:rPr>
      </w:pPr>
      <w:r>
        <w:rPr>
          <w:rFonts w:ascii="Times New Roman" w:hAnsi="Times New Roman" w:cs="Times New Roman"/>
          <w:color w:val="auto"/>
          <w:u w:val="none" w:color="auto"/>
        </w:rPr>
        <w:drawing>
          <wp:inline distT="0" distB="0" distL="114300" distR="114300">
            <wp:extent cx="5271135" cy="3756660"/>
            <wp:effectExtent l="0" t="0" r="15240" b="571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82"/>
                    <a:stretch>
                      <a:fillRect/>
                    </a:stretch>
                  </pic:blipFill>
                  <pic:spPr>
                    <a:xfrm>
                      <a:off x="0" y="0"/>
                      <a:ext cx="5271135" cy="3756660"/>
                    </a:xfrm>
                    <a:prstGeom prst="rect">
                      <a:avLst/>
                    </a:prstGeom>
                    <a:noFill/>
                    <a:ln>
                      <a:noFill/>
                    </a:ln>
                  </pic:spPr>
                </pic:pic>
              </a:graphicData>
            </a:graphic>
          </wp:inline>
        </w:drawing>
      </w:r>
    </w:p>
    <w:p w14:paraId="38624D8E">
      <w:pPr>
        <w:widowControl/>
        <w:jc w:val="center"/>
        <w:rPr>
          <w:rFonts w:ascii="Times New Roman" w:hAnsi="Times New Roman" w:eastAsia="宋体" w:cs="Times New Roman"/>
          <w:color w:val="auto"/>
          <w:sz w:val="24"/>
          <w:u w:val="none" w:color="auto"/>
        </w:rPr>
      </w:pPr>
      <w:r>
        <w:rPr>
          <w:rFonts w:ascii="Times New Roman" w:hAnsi="Times New Roman" w:eastAsia="宋体" w:cs="Times New Roman"/>
          <w:b/>
          <w:bCs/>
          <w:color w:val="auto"/>
          <w:kern w:val="0"/>
          <w:sz w:val="24"/>
          <w:szCs w:val="24"/>
          <w:u w:val="none" w:color="auto"/>
          <w:lang w:bidi="ar"/>
        </w:rPr>
        <w:t>图 4.8-</w:t>
      </w:r>
      <w:r>
        <w:rPr>
          <w:rFonts w:hint="eastAsia" w:ascii="Times New Roman" w:hAnsi="Times New Roman" w:eastAsia="宋体" w:cs="Times New Roman"/>
          <w:b/>
          <w:bCs/>
          <w:color w:val="auto"/>
          <w:kern w:val="0"/>
          <w:sz w:val="24"/>
          <w:szCs w:val="24"/>
          <w:u w:val="none" w:color="auto"/>
          <w:lang w:bidi="ar"/>
        </w:rPr>
        <w:t>1</w:t>
      </w:r>
      <w:r>
        <w:rPr>
          <w:rFonts w:ascii="Times New Roman" w:hAnsi="Times New Roman" w:eastAsia="宋体" w:cs="Times New Roman"/>
          <w:b/>
          <w:bCs/>
          <w:color w:val="auto"/>
          <w:kern w:val="0"/>
          <w:sz w:val="24"/>
          <w:szCs w:val="24"/>
          <w:u w:val="none" w:color="auto"/>
          <w:lang w:bidi="ar"/>
        </w:rPr>
        <w:t>全厂事故污水三级防控系统示意图</w:t>
      </w:r>
    </w:p>
    <w:p w14:paraId="24605DCB">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kern w:val="0"/>
          <w:sz w:val="24"/>
          <w:szCs w:val="24"/>
          <w:u w:val="none" w:color="auto"/>
          <w:lang w:bidi="ar"/>
        </w:rPr>
        <w:t>（</w:t>
      </w:r>
      <w:r>
        <w:rPr>
          <w:rFonts w:hint="eastAsia" w:ascii="Times New Roman" w:hAnsi="Times New Roman" w:eastAsia="宋体" w:cs="Times New Roman"/>
          <w:color w:val="auto"/>
          <w:kern w:val="0"/>
          <w:sz w:val="24"/>
          <w:szCs w:val="24"/>
          <w:u w:val="none" w:color="auto"/>
          <w:lang w:bidi="ar"/>
        </w:rPr>
        <w:t>4</w:t>
      </w:r>
      <w:r>
        <w:rPr>
          <w:rFonts w:ascii="Times New Roman" w:hAnsi="Times New Roman" w:eastAsia="宋体" w:cs="Times New Roman"/>
          <w:color w:val="auto"/>
          <w:kern w:val="0"/>
          <w:sz w:val="24"/>
          <w:szCs w:val="24"/>
          <w:u w:val="none" w:color="auto"/>
          <w:lang w:bidi="ar"/>
        </w:rPr>
        <w:t>）事故池容量的确定</w:t>
      </w:r>
    </w:p>
    <w:p w14:paraId="707BF071">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项目事故废水量参考中国石化建标[2006]43号《关于印发&lt;水体污染防控紧急措施设计导则&gt;的通知》中计算公式确定。事故池有效容积计算公式如下：</w:t>
      </w:r>
    </w:p>
    <w:p w14:paraId="5BB15296">
      <w:pPr>
        <w:pStyle w:val="35"/>
        <w:ind w:firstLine="240"/>
        <w:rPr>
          <w:rFonts w:ascii="Times New Roman" w:hAnsi="Times New Roman" w:cs="Times New Roman"/>
          <w:color w:val="auto"/>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总</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1</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3</w:t>
      </w:r>
      <w:r>
        <w:rPr>
          <w:rFonts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vertAlign w:val="subscript"/>
        </w:rPr>
        <w:t>max</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4</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5</w:t>
      </w:r>
    </w:p>
    <w:p w14:paraId="24B43DC4">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式中： </w:t>
      </w:r>
    </w:p>
    <w:p w14:paraId="45BF1133">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1</w:t>
      </w:r>
      <w:r>
        <w:rPr>
          <w:rFonts w:ascii="Times New Roman" w:hAnsi="Times New Roman" w:eastAsia="宋体" w:cs="Times New Roman"/>
          <w:color w:val="auto"/>
          <w:sz w:val="24"/>
          <w:szCs w:val="24"/>
          <w:u w:val="none" w:color="auto"/>
        </w:rPr>
        <w:t>—收集系统范围内发生事故的储罐或装置的物料量，m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，本项目</w:t>
      </w:r>
      <w:r>
        <w:rPr>
          <w:rFonts w:hint="eastAsia" w:ascii="Times New Roman" w:hAnsi="Times New Roman" w:eastAsia="宋体" w:cs="Times New Roman"/>
          <w:color w:val="auto"/>
          <w:sz w:val="24"/>
          <w:szCs w:val="24"/>
          <w:u w:val="none" w:color="auto"/>
        </w:rPr>
        <w:t>油漆、稀释剂和固化剂</w:t>
      </w:r>
      <w:r>
        <w:rPr>
          <w:rFonts w:ascii="Times New Roman" w:hAnsi="Times New Roman" w:eastAsia="宋体" w:cs="Times New Roman"/>
          <w:color w:val="auto"/>
          <w:sz w:val="24"/>
          <w:szCs w:val="24"/>
          <w:u w:val="none" w:color="auto"/>
        </w:rPr>
        <w:t>均在原料桶中存储，</w:t>
      </w:r>
      <w:r>
        <w:rPr>
          <w:rFonts w:hint="eastAsia" w:ascii="Times New Roman" w:hAnsi="Times New Roman" w:eastAsia="宋体" w:cs="Times New Roman"/>
          <w:color w:val="auto"/>
          <w:sz w:val="24"/>
          <w:szCs w:val="24"/>
          <w:u w:val="none" w:color="auto"/>
        </w:rPr>
        <w:t>发生事故时泄漏量约为4</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hint="eastAsia" w:ascii="Times New Roman" w:hAnsi="Times New Roman" w:eastAsia="宋体" w:cs="Times New Roman"/>
          <w:color w:val="auto"/>
          <w:sz w:val="24"/>
          <w:szCs w:val="24"/>
          <w:u w:val="none" w:color="auto"/>
        </w:rPr>
        <w:t>，则</w:t>
      </w: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1</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4</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 xml:space="preserve">； </w:t>
      </w:r>
    </w:p>
    <w:p w14:paraId="243C27A6">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—发生事故的储罐或装置的消防水量，m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 xml:space="preserve">； </w:t>
      </w:r>
    </w:p>
    <w:p w14:paraId="3FEE1623">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发生事故时的消防水量计算公式如下：</w:t>
      </w:r>
    </w:p>
    <w:p w14:paraId="6D81C089">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=ΣQ</w:t>
      </w:r>
      <w:r>
        <w:rPr>
          <w:rFonts w:ascii="Times New Roman" w:hAnsi="Times New Roman" w:eastAsia="宋体" w:cs="Times New Roman"/>
          <w:color w:val="auto"/>
          <w:sz w:val="24"/>
          <w:szCs w:val="24"/>
          <w:u w:val="none" w:color="auto"/>
          <w:vertAlign w:val="subscript"/>
        </w:rPr>
        <w:t>消</w:t>
      </w:r>
      <w:r>
        <w:rPr>
          <w:rFonts w:ascii="Times New Roman" w:hAnsi="Times New Roman" w:eastAsia="宋体" w:cs="Times New Roman"/>
          <w:color w:val="auto"/>
          <w:sz w:val="24"/>
          <w:szCs w:val="24"/>
          <w:u w:val="none" w:color="auto"/>
        </w:rPr>
        <w:t>t</w:t>
      </w:r>
      <w:r>
        <w:rPr>
          <w:rFonts w:ascii="Times New Roman" w:hAnsi="Times New Roman" w:eastAsia="宋体" w:cs="Times New Roman"/>
          <w:color w:val="auto"/>
          <w:sz w:val="24"/>
          <w:szCs w:val="24"/>
          <w:u w:val="none" w:color="auto"/>
          <w:vertAlign w:val="subscript"/>
        </w:rPr>
        <w:t>消</w:t>
      </w:r>
    </w:p>
    <w:p w14:paraId="41F968C8">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Q</w:t>
      </w:r>
      <w:r>
        <w:rPr>
          <w:rFonts w:ascii="Times New Roman" w:hAnsi="Times New Roman" w:eastAsia="宋体" w:cs="Times New Roman"/>
          <w:color w:val="auto"/>
          <w:sz w:val="24"/>
          <w:szCs w:val="24"/>
          <w:u w:val="none" w:color="auto"/>
          <w:vertAlign w:val="subscript"/>
        </w:rPr>
        <w:t>消</w:t>
      </w:r>
      <w:r>
        <w:rPr>
          <w:rFonts w:ascii="Times New Roman" w:hAnsi="Times New Roman" w:eastAsia="宋体" w:cs="Times New Roman"/>
          <w:color w:val="auto"/>
          <w:sz w:val="24"/>
          <w:szCs w:val="24"/>
          <w:u w:val="none" w:color="auto"/>
        </w:rPr>
        <w:t xml:space="preserve">—发生事故的储罐或装置的同时使用的消防设施给水流量，m³/L；根据《建设设计防火规范》（GB50016-2014），消防用水量35L/s计； </w:t>
      </w:r>
    </w:p>
    <w:p w14:paraId="770215C3">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t</w:t>
      </w:r>
      <w:r>
        <w:rPr>
          <w:rFonts w:ascii="Times New Roman" w:hAnsi="Times New Roman" w:eastAsia="宋体" w:cs="Times New Roman"/>
          <w:color w:val="auto"/>
          <w:sz w:val="24"/>
          <w:szCs w:val="24"/>
          <w:u w:val="none" w:color="auto"/>
          <w:vertAlign w:val="subscript"/>
        </w:rPr>
        <w:t>消</w:t>
      </w:r>
      <w:r>
        <w:rPr>
          <w:rFonts w:ascii="Times New Roman" w:hAnsi="Times New Roman" w:eastAsia="宋体" w:cs="Times New Roman"/>
          <w:color w:val="auto"/>
          <w:sz w:val="24"/>
          <w:szCs w:val="24"/>
          <w:u w:val="none" w:color="auto"/>
        </w:rPr>
        <w:t>—消防设施</w:t>
      </w:r>
      <w:r>
        <w:rPr>
          <w:rFonts w:hint="eastAsia" w:ascii="Times New Roman" w:hAnsi="Times New Roman" w:eastAsia="宋体" w:cs="Times New Roman"/>
          <w:color w:val="auto"/>
          <w:sz w:val="24"/>
          <w:szCs w:val="24"/>
          <w:u w:val="none" w:color="auto"/>
          <w:lang w:eastAsia="zh-CN"/>
        </w:rPr>
        <w:t>对于</w:t>
      </w:r>
      <w:r>
        <w:rPr>
          <w:rFonts w:ascii="Times New Roman" w:hAnsi="Times New Roman" w:eastAsia="宋体" w:cs="Times New Roman"/>
          <w:color w:val="auto"/>
          <w:sz w:val="24"/>
          <w:szCs w:val="24"/>
          <w:u w:val="none" w:color="auto"/>
        </w:rPr>
        <w:t>设计消防历史，h，火灾延续时间按</w:t>
      </w:r>
      <w:r>
        <w:rPr>
          <w:rFonts w:hint="eastAsia" w:ascii="Times New Roman" w:hAnsi="Times New Roman" w:eastAsia="宋体" w:cs="Times New Roman"/>
          <w:color w:val="auto"/>
          <w:sz w:val="24"/>
          <w:szCs w:val="24"/>
          <w:u w:val="none" w:color="auto"/>
        </w:rPr>
        <w:t>1</w:t>
      </w:r>
      <w:r>
        <w:rPr>
          <w:rFonts w:ascii="Times New Roman" w:hAnsi="Times New Roman" w:eastAsia="宋体" w:cs="Times New Roman"/>
          <w:color w:val="auto"/>
          <w:sz w:val="24"/>
          <w:szCs w:val="24"/>
          <w:u w:val="none" w:color="auto"/>
        </w:rPr>
        <w:t>h计算，则消防水量为</w:t>
      </w:r>
      <w:r>
        <w:rPr>
          <w:rFonts w:hint="eastAsia" w:ascii="Times New Roman" w:hAnsi="Times New Roman" w:eastAsia="宋体" w:cs="Times New Roman"/>
          <w:color w:val="auto"/>
          <w:sz w:val="24"/>
          <w:szCs w:val="24"/>
          <w:u w:val="none" w:color="auto"/>
        </w:rPr>
        <w:t>126</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。则V</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126</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 xml:space="preserve">。 </w:t>
      </w:r>
    </w:p>
    <w:p w14:paraId="2D1FC550">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3</w:t>
      </w:r>
      <w:r>
        <w:rPr>
          <w:rFonts w:ascii="Times New Roman" w:hAnsi="Times New Roman" w:eastAsia="宋体" w:cs="Times New Roman"/>
          <w:color w:val="auto"/>
          <w:sz w:val="24"/>
          <w:szCs w:val="24"/>
          <w:u w:val="none" w:color="auto"/>
        </w:rPr>
        <w:t>—发生事故时可以转输</w:t>
      </w:r>
      <w:r>
        <w:rPr>
          <w:rFonts w:hint="eastAsia" w:ascii="Times New Roman" w:hAnsi="Times New Roman" w:eastAsia="宋体" w:cs="Times New Roman"/>
          <w:color w:val="auto"/>
          <w:sz w:val="24"/>
          <w:szCs w:val="24"/>
          <w:u w:val="none" w:color="auto"/>
          <w:lang w:eastAsia="zh-CN"/>
        </w:rPr>
        <w:t>到其他</w:t>
      </w:r>
      <w:r>
        <w:rPr>
          <w:rFonts w:ascii="Times New Roman" w:hAnsi="Times New Roman" w:eastAsia="宋体" w:cs="Times New Roman"/>
          <w:color w:val="auto"/>
          <w:sz w:val="24"/>
          <w:szCs w:val="24"/>
          <w:u w:val="none" w:color="auto"/>
        </w:rPr>
        <w:t>储存或处理设施的物料量，m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，本项目取 0m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 xml:space="preserve">； </w:t>
      </w:r>
    </w:p>
    <w:p w14:paraId="4072E559">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4</w:t>
      </w:r>
      <w:r>
        <w:rPr>
          <w:rFonts w:ascii="Times New Roman" w:hAnsi="Times New Roman" w:eastAsia="宋体" w:cs="Times New Roman"/>
          <w:color w:val="auto"/>
          <w:sz w:val="24"/>
          <w:szCs w:val="24"/>
          <w:u w:val="none" w:color="auto"/>
        </w:rPr>
        <w:t>—发生事故</w:t>
      </w:r>
      <w:r>
        <w:rPr>
          <w:rFonts w:hint="eastAsia" w:ascii="Times New Roman" w:hAnsi="Times New Roman" w:eastAsia="宋体" w:cs="Times New Roman"/>
          <w:color w:val="auto"/>
          <w:sz w:val="24"/>
          <w:szCs w:val="24"/>
          <w:u w:val="none" w:color="auto"/>
          <w:lang w:eastAsia="zh-CN"/>
        </w:rPr>
        <w:t>时</w:t>
      </w:r>
      <w:r>
        <w:rPr>
          <w:rFonts w:ascii="Times New Roman" w:hAnsi="Times New Roman" w:eastAsia="宋体" w:cs="Times New Roman"/>
          <w:color w:val="auto"/>
          <w:sz w:val="24"/>
          <w:szCs w:val="24"/>
          <w:u w:val="none" w:color="auto"/>
        </w:rPr>
        <w:t>仍必须进入该收集系统的生产废水量，m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项目无生产废水，则</w:t>
      </w:r>
      <w:r>
        <w:rPr>
          <w:rFonts w:ascii="Times New Roman" w:hAnsi="Times New Roman" w:eastAsia="宋体" w:cs="Times New Roman"/>
          <w:color w:val="auto"/>
          <w:sz w:val="24"/>
          <w:szCs w:val="24"/>
          <w:u w:val="none" w:color="auto"/>
        </w:rPr>
        <w:t xml:space="preserve"> V</w:t>
      </w:r>
      <w:r>
        <w:rPr>
          <w:rFonts w:ascii="Times New Roman" w:hAnsi="Times New Roman" w:eastAsia="宋体" w:cs="Times New Roman"/>
          <w:color w:val="auto"/>
          <w:sz w:val="24"/>
          <w:szCs w:val="24"/>
          <w:u w:val="none" w:color="auto"/>
          <w:vertAlign w:val="subscript"/>
        </w:rPr>
        <w:t>4</w:t>
      </w:r>
      <w:r>
        <w:rPr>
          <w:rFonts w:ascii="Times New Roman" w:hAnsi="Times New Roman" w:eastAsia="宋体" w:cs="Times New Roman"/>
          <w:color w:val="auto"/>
          <w:sz w:val="24"/>
          <w:szCs w:val="24"/>
          <w:u w:val="none" w:color="auto"/>
        </w:rPr>
        <w:t>=0m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 xml:space="preserve">； </w:t>
      </w:r>
    </w:p>
    <w:p w14:paraId="62623F94">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V</w:t>
      </w:r>
      <w:r>
        <w:rPr>
          <w:rFonts w:ascii="Times New Roman" w:hAnsi="Times New Roman" w:eastAsia="宋体" w:cs="Times New Roman"/>
          <w:color w:val="auto"/>
          <w:sz w:val="24"/>
          <w:szCs w:val="24"/>
          <w:u w:val="none" w:color="auto"/>
          <w:vertAlign w:val="subscript"/>
        </w:rPr>
        <w:t>5</w:t>
      </w:r>
      <w:r>
        <w:rPr>
          <w:rFonts w:ascii="Times New Roman" w:hAnsi="Times New Roman" w:eastAsia="宋体" w:cs="Times New Roman"/>
          <w:color w:val="auto"/>
          <w:sz w:val="24"/>
          <w:szCs w:val="24"/>
          <w:u w:val="none" w:color="auto"/>
        </w:rPr>
        <w:t>—发生事故时可能进入该收集系统的降雨量，m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，本项目</w:t>
      </w:r>
      <w:r>
        <w:rPr>
          <w:rFonts w:hint="eastAsia" w:ascii="Times New Roman" w:hAnsi="Times New Roman" w:eastAsia="宋体" w:cs="Times New Roman"/>
          <w:color w:val="auto"/>
          <w:sz w:val="24"/>
          <w:szCs w:val="24"/>
          <w:u w:val="none" w:color="auto"/>
        </w:rPr>
        <w:t>原辅材料均在</w:t>
      </w:r>
      <w:r>
        <w:rPr>
          <w:rFonts w:ascii="Times New Roman" w:hAnsi="Times New Roman" w:eastAsia="宋体" w:cs="Times New Roman"/>
          <w:color w:val="auto"/>
          <w:sz w:val="24"/>
          <w:szCs w:val="24"/>
          <w:u w:val="none" w:color="auto"/>
        </w:rPr>
        <w:t>室内厂房</w:t>
      </w:r>
      <w:r>
        <w:rPr>
          <w:rFonts w:hint="eastAsia" w:ascii="Times New Roman" w:hAnsi="Times New Roman" w:eastAsia="宋体" w:cs="Times New Roman"/>
          <w:color w:val="auto"/>
          <w:sz w:val="24"/>
          <w:szCs w:val="24"/>
          <w:u w:val="none" w:color="auto"/>
        </w:rPr>
        <w:t>储存</w:t>
      </w:r>
      <w:r>
        <w:rPr>
          <w:rFonts w:ascii="Times New Roman" w:hAnsi="Times New Roman" w:eastAsia="宋体" w:cs="Times New Roman"/>
          <w:color w:val="auto"/>
          <w:sz w:val="24"/>
          <w:szCs w:val="24"/>
          <w:u w:val="none" w:color="auto"/>
        </w:rPr>
        <w:t>，不考虑降雨量，则 V</w:t>
      </w:r>
      <w:r>
        <w:rPr>
          <w:rFonts w:ascii="Times New Roman" w:hAnsi="Times New Roman" w:eastAsia="宋体" w:cs="Times New Roman"/>
          <w:color w:val="auto"/>
          <w:sz w:val="24"/>
          <w:szCs w:val="24"/>
          <w:u w:val="none" w:color="auto"/>
          <w:vertAlign w:val="subscript"/>
        </w:rPr>
        <w:t>5</w:t>
      </w:r>
      <w:r>
        <w:rPr>
          <w:rFonts w:ascii="Times New Roman" w:hAnsi="Times New Roman" w:eastAsia="宋体" w:cs="Times New Roman"/>
          <w:color w:val="auto"/>
          <w:sz w:val="24"/>
          <w:szCs w:val="24"/>
          <w:u w:val="none" w:color="auto"/>
        </w:rPr>
        <w:t>=0m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w:t>
      </w:r>
    </w:p>
    <w:p w14:paraId="064497C6">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szCs w:val="24"/>
          <w:u w:val="none" w:color="auto"/>
        </w:rPr>
        <w:t>根据项目各设计参数和《化工建设项目环境保护设计规范》（GB50483-2009）规定方法核实，事故状态下，计算事故应急池容积为</w:t>
      </w:r>
      <w:r>
        <w:rPr>
          <w:rFonts w:hint="eastAsia" w:ascii="Times New Roman" w:hAnsi="Times New Roman" w:eastAsia="宋体" w:cs="Times New Roman"/>
          <w:color w:val="auto"/>
          <w:sz w:val="24"/>
          <w:szCs w:val="24"/>
          <w:u w:val="none" w:color="auto"/>
        </w:rPr>
        <w:t>130</w:t>
      </w:r>
      <w:r>
        <w:rPr>
          <w:rFonts w:ascii="Times New Roman" w:hAnsi="Times New Roman" w:eastAsia="宋体" w:cs="Times New Roman"/>
          <w:color w:val="auto"/>
          <w:sz w:val="24"/>
          <w:szCs w:val="24"/>
          <w:u w:val="none" w:color="auto"/>
        </w:rPr>
        <w:t>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，本次设计事故应急池容积为</w:t>
      </w:r>
      <w:r>
        <w:rPr>
          <w:rFonts w:hint="eastAsia" w:ascii="Times New Roman" w:hAnsi="Times New Roman" w:eastAsia="宋体" w:cs="Times New Roman"/>
          <w:color w:val="auto"/>
          <w:sz w:val="24"/>
          <w:szCs w:val="24"/>
          <w:u w:val="none" w:color="auto"/>
        </w:rPr>
        <w:t>15</w:t>
      </w:r>
      <w:r>
        <w:rPr>
          <w:rFonts w:ascii="Times New Roman" w:hAnsi="Times New Roman" w:eastAsia="宋体" w:cs="Times New Roman"/>
          <w:color w:val="auto"/>
          <w:sz w:val="24"/>
          <w:szCs w:val="24"/>
          <w:u w:val="none" w:color="auto"/>
        </w:rPr>
        <w:t>0m</w:t>
      </w:r>
      <w:r>
        <w:rPr>
          <w:rFonts w:ascii="Times New Roman" w:hAnsi="Times New Roman" w:eastAsia="宋体" w:cs="Times New Roman"/>
          <w:color w:val="auto"/>
          <w:sz w:val="24"/>
          <w:szCs w:val="24"/>
          <w:u w:val="none" w:color="auto"/>
          <w:vertAlign w:val="superscript"/>
        </w:rPr>
        <w:t>3</w:t>
      </w:r>
      <w:r>
        <w:rPr>
          <w:rFonts w:ascii="Times New Roman" w:hAnsi="Times New Roman" w:eastAsia="宋体" w:cs="Times New Roman"/>
          <w:color w:val="auto"/>
          <w:sz w:val="24"/>
          <w:szCs w:val="24"/>
          <w:u w:val="none" w:color="auto"/>
        </w:rPr>
        <w:t>。事故池做好防渗措施。</w:t>
      </w:r>
    </w:p>
    <w:p w14:paraId="58F36375">
      <w:pPr>
        <w:spacing w:before="33" w:line="227" w:lineRule="auto"/>
        <w:ind w:left="37"/>
        <w:rPr>
          <w:rFonts w:ascii="宋体" w:hAnsi="宋体" w:eastAsia="宋体" w:cs="宋体"/>
          <w:b/>
          <w:bCs/>
          <w:color w:val="auto"/>
          <w:spacing w:val="5"/>
          <w:sz w:val="23"/>
          <w:szCs w:val="23"/>
          <w:u w:val="none" w:color="auto"/>
        </w:rPr>
      </w:pPr>
      <w:r>
        <w:rPr>
          <w:rFonts w:hint="eastAsia" w:ascii="宋体" w:hAnsi="宋体" w:eastAsia="宋体" w:cs="宋体"/>
          <w:b/>
          <w:bCs/>
          <w:color w:val="auto"/>
          <w:spacing w:val="5"/>
          <w:sz w:val="23"/>
          <w:szCs w:val="23"/>
          <w:u w:val="none" w:color="auto"/>
          <w:lang w:val="en-US" w:eastAsia="zh-CN"/>
        </w:rPr>
        <w:t>10</w:t>
      </w:r>
      <w:r>
        <w:rPr>
          <w:rFonts w:hint="eastAsia" w:ascii="宋体" w:hAnsi="宋体" w:eastAsia="宋体" w:cs="宋体"/>
          <w:b/>
          <w:bCs/>
          <w:color w:val="auto"/>
          <w:spacing w:val="5"/>
          <w:sz w:val="23"/>
          <w:szCs w:val="23"/>
          <w:u w:val="none" w:color="auto"/>
          <w:lang w:eastAsia="zh-CN"/>
        </w:rPr>
        <w:t>、</w:t>
      </w:r>
      <w:r>
        <w:rPr>
          <w:rFonts w:ascii="宋体" w:hAnsi="宋体" w:eastAsia="宋体" w:cs="宋体"/>
          <w:b/>
          <w:bCs/>
          <w:color w:val="auto"/>
          <w:spacing w:val="5"/>
          <w:sz w:val="23"/>
          <w:szCs w:val="23"/>
          <w:u w:val="none" w:color="auto"/>
        </w:rPr>
        <w:t>火灾、爆炸风险防范措施</w:t>
      </w:r>
    </w:p>
    <w:p w14:paraId="6CF412C7">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(1)设备的安全管理</w:t>
      </w:r>
    </w:p>
    <w:p w14:paraId="04C2627D">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①各</w:t>
      </w:r>
      <w:r>
        <w:rPr>
          <w:rFonts w:hint="eastAsia" w:ascii="Times New Roman" w:hAnsi="Times New Roman" w:eastAsia="宋体" w:cs="Times New Roman"/>
          <w:color w:val="auto"/>
          <w:sz w:val="24"/>
          <w:szCs w:val="24"/>
          <w:u w:val="none" w:color="auto"/>
          <w:lang w:eastAsia="zh-CN"/>
        </w:rPr>
        <w:t>设备</w:t>
      </w:r>
      <w:r>
        <w:rPr>
          <w:rFonts w:ascii="Times New Roman" w:hAnsi="Times New Roman" w:eastAsia="宋体" w:cs="Times New Roman"/>
          <w:color w:val="auto"/>
          <w:sz w:val="24"/>
          <w:szCs w:val="24"/>
          <w:u w:val="none" w:color="auto"/>
        </w:rPr>
        <w:t>人员操作的凌空处均设置保护栏杆;</w:t>
      </w:r>
    </w:p>
    <w:p w14:paraId="3410B1A9">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②电器均严格执行有关规范中有关防雷、接地安全措施和防范各种事故的保护措施;</w:t>
      </w:r>
    </w:p>
    <w:p w14:paraId="7257C51A">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③烟囱设置避雷装置;</w:t>
      </w:r>
    </w:p>
    <w:p w14:paraId="3950899B">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④活性炭吸附床和催化燃烧装置分别设置泄压装置;</w:t>
      </w:r>
    </w:p>
    <w:p w14:paraId="6AFA53CE">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⑤活性炭吸附床和催化燃烧装置连接管道中设置阻火阀, 如果气体温度过高时, 阻 火阀发挥作用,阻止高温气体进入活性炭吸附床,确保安全运行;</w:t>
      </w:r>
    </w:p>
    <w:p w14:paraId="15D23FF4">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⑥设置补冷风机控制温度, 当活性炭吸附床内的温度高于设定值时, 补冷风机会自 动启动,补充冷风,降低吸附床内温度,确保安全运行;</w:t>
      </w:r>
    </w:p>
    <w:p w14:paraId="7F45D2BF">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⑦活性炭吸附箱和催化燃烧装置分别设置超温自动报警、断电和补风降温装置;</w:t>
      </w:r>
    </w:p>
    <w:p w14:paraId="1B107FB2">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⑧高温设备及管道采取隔热保温措施;</w:t>
      </w:r>
    </w:p>
    <w:p w14:paraId="05A3BDBA">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⑨定期对设备、管道进行安全检测, 检测内容、时间、人员应有记录保存。安全检 测应根据设备的安全性、危险性设定检测频次。</w:t>
      </w:r>
    </w:p>
    <w:p w14:paraId="27A8EF6E">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(2) 在设备上设置永久性接地装置, 在装物料作业时防止静电产生, 防止操作人员 带电作业;在危险操作时,操作人员应使用抗静电工作帽和具有导电性的作业鞋。</w:t>
      </w:r>
    </w:p>
    <w:p w14:paraId="2FDF950E">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(3)火源的管理</w:t>
      </w:r>
    </w:p>
    <w:p w14:paraId="1E240CB1">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严禁火源进入仓库及生产车间,对明火严格控制,明火发生源为火柴、打火机等,  维修用火控制, 对设备维修检查, 需进行维修焊接, 应经安全部门确认、准许, 并有记 录在案。汽车、拖拉机等机动车在装置区内行驶,须安装阻火器,必要设备安装防火、 防爆装置。</w:t>
      </w:r>
    </w:p>
    <w:p w14:paraId="1301C2E5">
      <w:pPr>
        <w:pStyle w:val="5"/>
        <w:bidi w:val="0"/>
        <w:rPr>
          <w:color w:val="auto"/>
          <w:u w:val="none" w:color="auto"/>
        </w:rPr>
      </w:pPr>
      <w:r>
        <w:rPr>
          <w:rFonts w:hint="eastAsia"/>
          <w:color w:val="auto"/>
          <w:u w:val="none" w:color="auto"/>
        </w:rPr>
        <w:t>突发环境事件应急预案编制要求</w:t>
      </w:r>
    </w:p>
    <w:p w14:paraId="1F44CC51">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建设单位应按照国家、地方和相关部门要求编制企业突发环境事件应急预案。应急预案主要编制内容要求如下:</w:t>
      </w:r>
    </w:p>
    <w:p w14:paraId="1D42D599">
      <w:pPr>
        <w:widowControl/>
        <w:jc w:val="center"/>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szCs w:val="24"/>
          <w:u w:val="none" w:color="auto"/>
        </w:rPr>
        <w:t>表4.8-4</w:t>
      </w:r>
      <w:r>
        <w:rPr>
          <w:rFonts w:ascii="Times New Roman" w:hAnsi="Times New Roman" w:eastAsia="宋体" w:cs="Times New Roman"/>
          <w:b/>
          <w:color w:val="auto"/>
          <w:kern w:val="0"/>
          <w:szCs w:val="20"/>
          <w:u w:val="none" w:color="auto"/>
        </w:rPr>
        <w:t>环境风险的突发性事故应急预案</w:t>
      </w:r>
    </w:p>
    <w:tbl>
      <w:tblPr>
        <w:tblStyle w:val="37"/>
        <w:tblW w:w="82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94"/>
        <w:gridCol w:w="1602"/>
        <w:gridCol w:w="5980"/>
      </w:tblGrid>
      <w:tr w14:paraId="17579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35579E5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序号</w:t>
            </w:r>
          </w:p>
        </w:tc>
        <w:tc>
          <w:tcPr>
            <w:tcW w:w="1602" w:type="dxa"/>
            <w:vAlign w:val="center"/>
          </w:tcPr>
          <w:p w14:paraId="775EC832">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项目</w:t>
            </w:r>
          </w:p>
        </w:tc>
        <w:tc>
          <w:tcPr>
            <w:tcW w:w="5980" w:type="dxa"/>
            <w:vAlign w:val="center"/>
          </w:tcPr>
          <w:p w14:paraId="4E7B254C">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b/>
                <w:color w:val="auto"/>
                <w:kern w:val="0"/>
                <w:szCs w:val="20"/>
                <w:u w:val="none" w:color="auto"/>
              </w:rPr>
            </w:pPr>
            <w:r>
              <w:rPr>
                <w:rFonts w:ascii="Times New Roman" w:hAnsi="Times New Roman" w:eastAsia="宋体" w:cs="Times New Roman"/>
                <w:b/>
                <w:color w:val="auto"/>
                <w:kern w:val="0"/>
                <w:szCs w:val="20"/>
                <w:u w:val="none" w:color="auto"/>
              </w:rPr>
              <w:t>内容及要求</w:t>
            </w:r>
          </w:p>
        </w:tc>
      </w:tr>
      <w:tr w14:paraId="77518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7941C06E">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w:t>
            </w:r>
          </w:p>
        </w:tc>
        <w:tc>
          <w:tcPr>
            <w:tcW w:w="1602" w:type="dxa"/>
            <w:vAlign w:val="center"/>
          </w:tcPr>
          <w:p w14:paraId="11BB77C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总则</w:t>
            </w:r>
          </w:p>
        </w:tc>
        <w:tc>
          <w:tcPr>
            <w:tcW w:w="5980" w:type="dxa"/>
            <w:vAlign w:val="center"/>
          </w:tcPr>
          <w:p w14:paraId="413CA98F">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p>
        </w:tc>
      </w:tr>
      <w:tr w14:paraId="6F2B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11CED6B8">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2</w:t>
            </w:r>
          </w:p>
        </w:tc>
        <w:tc>
          <w:tcPr>
            <w:tcW w:w="1602" w:type="dxa"/>
            <w:vAlign w:val="center"/>
          </w:tcPr>
          <w:p w14:paraId="4844EF0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危险源情况</w:t>
            </w:r>
          </w:p>
        </w:tc>
        <w:tc>
          <w:tcPr>
            <w:tcW w:w="5980" w:type="dxa"/>
            <w:vAlign w:val="center"/>
          </w:tcPr>
          <w:p w14:paraId="6C279CEB">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详细说明危险源类型、数量、分布及其对环境的风险</w:t>
            </w:r>
          </w:p>
        </w:tc>
      </w:tr>
      <w:tr w14:paraId="7C1CD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6237949E">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3</w:t>
            </w:r>
          </w:p>
        </w:tc>
        <w:tc>
          <w:tcPr>
            <w:tcW w:w="1602" w:type="dxa"/>
            <w:vAlign w:val="center"/>
          </w:tcPr>
          <w:p w14:paraId="52D16E3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应急计划区</w:t>
            </w:r>
          </w:p>
        </w:tc>
        <w:tc>
          <w:tcPr>
            <w:tcW w:w="5980" w:type="dxa"/>
            <w:vAlign w:val="center"/>
          </w:tcPr>
          <w:p w14:paraId="03836121">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储存区、临近地区</w:t>
            </w:r>
          </w:p>
        </w:tc>
      </w:tr>
      <w:tr w14:paraId="76AFB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64395377">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4</w:t>
            </w:r>
          </w:p>
        </w:tc>
        <w:tc>
          <w:tcPr>
            <w:tcW w:w="1602" w:type="dxa"/>
            <w:vAlign w:val="center"/>
          </w:tcPr>
          <w:p w14:paraId="759F70EE">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应急组织</w:t>
            </w:r>
          </w:p>
        </w:tc>
        <w:tc>
          <w:tcPr>
            <w:tcW w:w="5980" w:type="dxa"/>
            <w:vAlign w:val="center"/>
          </w:tcPr>
          <w:p w14:paraId="2B90D3ED">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工厂：公司应急指挥部负责现场全面指挥，专业救援队伍负责事故控制、救援和善后处理</w:t>
            </w:r>
          </w:p>
          <w:p w14:paraId="6B913A3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临近地区：地区指挥部负责工厂附近地区全面指挥、救援、管制和疏散</w:t>
            </w:r>
          </w:p>
        </w:tc>
      </w:tr>
      <w:tr w14:paraId="50336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6A9BD362">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5</w:t>
            </w:r>
          </w:p>
        </w:tc>
        <w:tc>
          <w:tcPr>
            <w:tcW w:w="1602" w:type="dxa"/>
            <w:vAlign w:val="center"/>
          </w:tcPr>
          <w:p w14:paraId="207D9FED">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应急状态分类及事故后评估</w:t>
            </w:r>
          </w:p>
        </w:tc>
        <w:tc>
          <w:tcPr>
            <w:tcW w:w="5980" w:type="dxa"/>
            <w:vAlign w:val="center"/>
          </w:tcPr>
          <w:p w14:paraId="17F7AC6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规定环境风险事故的级别及相应的应急状态分类，以此制定相应的应急响应程序</w:t>
            </w:r>
          </w:p>
        </w:tc>
      </w:tr>
      <w:tr w14:paraId="0E0FC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14C5BD4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6</w:t>
            </w:r>
          </w:p>
        </w:tc>
        <w:tc>
          <w:tcPr>
            <w:tcW w:w="1602" w:type="dxa"/>
            <w:vAlign w:val="center"/>
          </w:tcPr>
          <w:p w14:paraId="4543E315">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应急设施、设备与器材</w:t>
            </w:r>
          </w:p>
        </w:tc>
        <w:tc>
          <w:tcPr>
            <w:tcW w:w="5980" w:type="dxa"/>
            <w:vAlign w:val="center"/>
          </w:tcPr>
          <w:p w14:paraId="6EE7C4BE">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防火灾、爆炸事故的应急设施、设备与材料，主要为消防器材、消防服等；防有毒有害物质外溢、扩散，烧伤、中毒人员急救所用的药品、器材</w:t>
            </w:r>
          </w:p>
        </w:tc>
      </w:tr>
      <w:tr w14:paraId="5A95C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0FCE5145">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7</w:t>
            </w:r>
          </w:p>
        </w:tc>
        <w:tc>
          <w:tcPr>
            <w:tcW w:w="1602" w:type="dxa"/>
            <w:vAlign w:val="center"/>
          </w:tcPr>
          <w:p w14:paraId="3A387886">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应急通讯、通告与交通</w:t>
            </w:r>
          </w:p>
        </w:tc>
        <w:tc>
          <w:tcPr>
            <w:tcW w:w="5980" w:type="dxa"/>
            <w:vAlign w:val="center"/>
          </w:tcPr>
          <w:p w14:paraId="488B84D7">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规定应急状态下的通讯、通告方式和交通保障、管制等</w:t>
            </w:r>
          </w:p>
        </w:tc>
      </w:tr>
      <w:tr w14:paraId="597CC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2B20DF1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8</w:t>
            </w:r>
          </w:p>
        </w:tc>
        <w:tc>
          <w:tcPr>
            <w:tcW w:w="1602" w:type="dxa"/>
            <w:vAlign w:val="center"/>
          </w:tcPr>
          <w:p w14:paraId="2423BDF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应急环境监测及事故后评估</w:t>
            </w:r>
          </w:p>
        </w:tc>
        <w:tc>
          <w:tcPr>
            <w:tcW w:w="5980" w:type="dxa"/>
            <w:vAlign w:val="center"/>
          </w:tcPr>
          <w:p w14:paraId="456A53BB">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由专业人员对环境风险事故现场进行应急监测，对事故性质、严重程度等所造成的和环境危害后果进行评估吸取经验教训，避免再次发生事故，为指挥部门提供决策依据</w:t>
            </w:r>
          </w:p>
        </w:tc>
      </w:tr>
      <w:tr w14:paraId="1C85D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3CE74DE2">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9</w:t>
            </w:r>
          </w:p>
        </w:tc>
        <w:tc>
          <w:tcPr>
            <w:tcW w:w="1602" w:type="dxa"/>
            <w:vAlign w:val="center"/>
          </w:tcPr>
          <w:p w14:paraId="741260DF">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应急防护措施消除泄漏措施及需使用器材</w:t>
            </w:r>
          </w:p>
        </w:tc>
        <w:tc>
          <w:tcPr>
            <w:tcW w:w="5980" w:type="dxa"/>
            <w:vAlign w:val="center"/>
          </w:tcPr>
          <w:p w14:paraId="3F3B4787">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事故现场：控制事故发展，防止扩大、蔓延及连锁反应；清除现场泄漏物，降低危害，相应器材的配备</w:t>
            </w:r>
          </w:p>
          <w:p w14:paraId="5A7CA75F">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临近地区：控制防火区域，控制和消除环境污染的措施及相应的设备配备</w:t>
            </w:r>
          </w:p>
        </w:tc>
      </w:tr>
      <w:tr w14:paraId="61A8E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26193258">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10</w:t>
            </w:r>
          </w:p>
        </w:tc>
        <w:tc>
          <w:tcPr>
            <w:tcW w:w="1602" w:type="dxa"/>
            <w:vAlign w:val="center"/>
          </w:tcPr>
          <w:p w14:paraId="6F489EB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应急剂量控制撤离组织计划医疗救护与保护公众的健康</w:t>
            </w:r>
          </w:p>
        </w:tc>
        <w:tc>
          <w:tcPr>
            <w:tcW w:w="5980" w:type="dxa"/>
            <w:vAlign w:val="center"/>
          </w:tcPr>
          <w:p w14:paraId="2A10C04E">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事故现场：事故处理人员制定毒物的应急剂量、现场及临近装置人员的撤离组织计划和紧急救护方案</w:t>
            </w:r>
          </w:p>
          <w:p w14:paraId="6A4808C4">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临近地区：制定受事故影响的临近地区内人员对毒物的应急剂量、公众的疏散组织计划和紧急救护方案</w:t>
            </w:r>
          </w:p>
        </w:tc>
      </w:tr>
      <w:tr w14:paraId="4DA4E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007FAFC0">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11</w:t>
            </w:r>
          </w:p>
        </w:tc>
        <w:tc>
          <w:tcPr>
            <w:tcW w:w="1602" w:type="dxa"/>
            <w:vAlign w:val="center"/>
          </w:tcPr>
          <w:p w14:paraId="65CC1319">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应急状态终止及恢复措施</w:t>
            </w:r>
          </w:p>
        </w:tc>
        <w:tc>
          <w:tcPr>
            <w:tcW w:w="5980" w:type="dxa"/>
            <w:vAlign w:val="center"/>
          </w:tcPr>
          <w:p w14:paraId="44913581">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事故现场：规定应急状态终止程序，事故现场善后处理，恢复生产措施</w:t>
            </w:r>
          </w:p>
          <w:p w14:paraId="5549E904">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临近地区：解除事故警戒、公众返回和善后恢复措施</w:t>
            </w:r>
          </w:p>
        </w:tc>
      </w:tr>
      <w:tr w14:paraId="7165C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6E7AC967">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12</w:t>
            </w:r>
          </w:p>
        </w:tc>
        <w:tc>
          <w:tcPr>
            <w:tcW w:w="1602" w:type="dxa"/>
            <w:vAlign w:val="center"/>
          </w:tcPr>
          <w:p w14:paraId="40596BAD">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人员培训与演习</w:t>
            </w:r>
          </w:p>
        </w:tc>
        <w:tc>
          <w:tcPr>
            <w:tcW w:w="5980" w:type="dxa"/>
            <w:vAlign w:val="center"/>
          </w:tcPr>
          <w:p w14:paraId="5D181E93">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经济计划制定后，平时安排事故处理人员进行相关知识培训，进行应急处理演习，对工人进行安全卫生教育</w:t>
            </w:r>
          </w:p>
        </w:tc>
      </w:tr>
      <w:tr w14:paraId="3369E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44322DE5">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13</w:t>
            </w:r>
          </w:p>
        </w:tc>
        <w:tc>
          <w:tcPr>
            <w:tcW w:w="1602" w:type="dxa"/>
            <w:vAlign w:val="center"/>
          </w:tcPr>
          <w:p w14:paraId="35434C6B">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公众教育信息发布</w:t>
            </w:r>
          </w:p>
        </w:tc>
        <w:tc>
          <w:tcPr>
            <w:tcW w:w="5980" w:type="dxa"/>
            <w:vAlign w:val="center"/>
          </w:tcPr>
          <w:p w14:paraId="3DC73C8C">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对工厂临近地区公众开展环境风险事故预防教育、应急知识培训并定期发布相关信息</w:t>
            </w:r>
          </w:p>
        </w:tc>
      </w:tr>
      <w:tr w14:paraId="7935C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32A62088">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14</w:t>
            </w:r>
          </w:p>
        </w:tc>
        <w:tc>
          <w:tcPr>
            <w:tcW w:w="1602" w:type="dxa"/>
            <w:vAlign w:val="center"/>
          </w:tcPr>
          <w:p w14:paraId="589858FB">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记录和报告</w:t>
            </w:r>
          </w:p>
        </w:tc>
        <w:tc>
          <w:tcPr>
            <w:tcW w:w="5980" w:type="dxa"/>
            <w:vAlign w:val="center"/>
          </w:tcPr>
          <w:p w14:paraId="01854EB3">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设应急事故专门记录，监理档案和报告制度，设立专门部门负责管理</w:t>
            </w:r>
          </w:p>
        </w:tc>
      </w:tr>
      <w:tr w14:paraId="4FCB5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94" w:type="dxa"/>
            <w:vAlign w:val="center"/>
          </w:tcPr>
          <w:p w14:paraId="5F0C4922">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15</w:t>
            </w:r>
          </w:p>
        </w:tc>
        <w:tc>
          <w:tcPr>
            <w:tcW w:w="1602" w:type="dxa"/>
            <w:vAlign w:val="center"/>
          </w:tcPr>
          <w:p w14:paraId="1F20F9F8">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附件</w:t>
            </w:r>
          </w:p>
        </w:tc>
        <w:tc>
          <w:tcPr>
            <w:tcW w:w="5980" w:type="dxa"/>
            <w:vAlign w:val="center"/>
          </w:tcPr>
          <w:p w14:paraId="77A5C709">
            <w:pPr>
              <w:keepNext/>
              <w:keepLines w:val="0"/>
              <w:pageBreakBefore w:val="0"/>
              <w:widowControl/>
              <w:kinsoku/>
              <w:wordWrap/>
              <w:overflowPunct/>
              <w:topLinePunct w:val="0"/>
              <w:autoSpaceDE w:val="0"/>
              <w:autoSpaceDN w:val="0"/>
              <w:bidi w:val="0"/>
              <w:adjustRightInd/>
              <w:snapToGrid/>
              <w:jc w:val="center"/>
              <w:textAlignment w:val="auto"/>
              <w:rPr>
                <w:rFonts w:ascii="Times New Roman" w:hAnsi="Times New Roman" w:eastAsia="宋体" w:cs="Times New Roman"/>
                <w:color w:val="auto"/>
                <w:kern w:val="0"/>
                <w:szCs w:val="20"/>
                <w:u w:val="none" w:color="auto"/>
              </w:rPr>
            </w:pPr>
            <w:r>
              <w:rPr>
                <w:rFonts w:ascii="Times New Roman" w:hAnsi="Times New Roman" w:eastAsia="宋体" w:cs="Times New Roman"/>
                <w:color w:val="auto"/>
                <w:kern w:val="0"/>
                <w:szCs w:val="20"/>
                <w:u w:val="none" w:color="auto"/>
              </w:rPr>
              <w:t>准备并形成环境风险事故应急处理有关的附件材料</w:t>
            </w:r>
          </w:p>
        </w:tc>
      </w:tr>
    </w:tbl>
    <w:p w14:paraId="6CDF3099">
      <w:pPr>
        <w:pStyle w:val="5"/>
        <w:bidi w:val="0"/>
        <w:rPr>
          <w:color w:val="auto"/>
          <w:u w:val="none" w:color="auto"/>
        </w:rPr>
      </w:pPr>
      <w:r>
        <w:rPr>
          <w:color w:val="auto"/>
          <w:u w:val="none" w:color="auto"/>
        </w:rPr>
        <w:t>环境应急监测方案</w:t>
      </w:r>
    </w:p>
    <w:p w14:paraId="4B0C54A9">
      <w:pPr>
        <w:autoSpaceDE w:val="0"/>
        <w:autoSpaceDN w:val="0"/>
        <w:adjustRightIn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若发生事故，应根据事故波及范围确定监测方案，监测人员应在必要的防护措施和保证安全的情况下进入处理现场采样。此外，监测方案应根据事故的具体情况由指挥部</w:t>
      </w:r>
      <w:r>
        <w:rPr>
          <w:rFonts w:hint="eastAsia" w:ascii="Times New Roman" w:hAnsi="Times New Roman" w:eastAsia="宋体" w:cs="Times New Roman"/>
          <w:color w:val="auto"/>
          <w:kern w:val="0"/>
          <w:sz w:val="24"/>
          <w:szCs w:val="24"/>
          <w:u w:val="none" w:color="auto"/>
          <w:lang w:eastAsia="zh-CN"/>
        </w:rPr>
        <w:t>做</w:t>
      </w:r>
      <w:r>
        <w:rPr>
          <w:rFonts w:ascii="Times New Roman" w:hAnsi="Times New Roman" w:eastAsia="宋体" w:cs="Times New Roman"/>
          <w:color w:val="auto"/>
          <w:kern w:val="0"/>
          <w:sz w:val="24"/>
          <w:szCs w:val="24"/>
          <w:u w:val="none" w:color="auto"/>
        </w:rPr>
        <w:t>调整和安排，事故发生时应急监测方案见表</w:t>
      </w:r>
      <w:r>
        <w:rPr>
          <w:rFonts w:hint="eastAsia" w:ascii="Times New Roman" w:hAnsi="Times New Roman" w:eastAsia="宋体" w:cs="Times New Roman"/>
          <w:color w:val="auto"/>
          <w:kern w:val="0"/>
          <w:sz w:val="24"/>
          <w:szCs w:val="24"/>
          <w:u w:val="none" w:color="auto"/>
        </w:rPr>
        <w:t>4</w:t>
      </w:r>
      <w:r>
        <w:rPr>
          <w:rFonts w:ascii="Times New Roman" w:hAnsi="Times New Roman" w:eastAsia="宋体" w:cs="Times New Roman"/>
          <w:color w:val="auto"/>
          <w:kern w:val="0"/>
          <w:sz w:val="24"/>
          <w:szCs w:val="24"/>
          <w:u w:val="none" w:color="auto"/>
        </w:rPr>
        <w:t>.8-5。</w:t>
      </w:r>
    </w:p>
    <w:p w14:paraId="0B32BC5B">
      <w:pPr>
        <w:autoSpaceDE w:val="0"/>
        <w:autoSpaceDN w:val="0"/>
        <w:adjustRightInd w:val="0"/>
        <w:ind w:firstLine="422" w:firstLineChars="200"/>
        <w:jc w:val="center"/>
        <w:rPr>
          <w:rFonts w:ascii="Times New Roman" w:hAnsi="Times New Roman" w:eastAsia="宋体" w:cs="Times New Roman"/>
          <w:b/>
          <w:bCs/>
          <w:color w:val="auto"/>
          <w:kern w:val="0"/>
          <w:szCs w:val="24"/>
          <w:u w:val="none" w:color="auto"/>
        </w:rPr>
      </w:pPr>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4</w:t>
      </w:r>
      <w:r>
        <w:rPr>
          <w:rFonts w:ascii="Times New Roman" w:hAnsi="Times New Roman" w:eastAsia="宋体" w:cs="Times New Roman"/>
          <w:b/>
          <w:bCs/>
          <w:color w:val="auto"/>
          <w:kern w:val="0"/>
          <w:szCs w:val="24"/>
          <w:u w:val="none" w:color="auto"/>
        </w:rPr>
        <w:t>.8-5</w:t>
      </w:r>
      <w:r>
        <w:rPr>
          <w:rFonts w:hint="eastAsia" w:ascii="Times New Roman" w:hAnsi="Times New Roman" w:eastAsia="宋体" w:cs="Times New Roman"/>
          <w:b/>
          <w:bCs/>
          <w:color w:val="auto"/>
          <w:kern w:val="0"/>
          <w:szCs w:val="24"/>
          <w:u w:val="none" w:color="auto"/>
        </w:rPr>
        <w:t xml:space="preserve">   </w:t>
      </w:r>
      <w:r>
        <w:rPr>
          <w:rFonts w:ascii="Times New Roman" w:hAnsi="Times New Roman" w:eastAsia="宋体" w:cs="Times New Roman"/>
          <w:b/>
          <w:bCs/>
          <w:color w:val="auto"/>
          <w:kern w:val="0"/>
          <w:szCs w:val="24"/>
          <w:u w:val="none" w:color="auto"/>
        </w:rPr>
        <w:t>事故应急监测方案</w:t>
      </w:r>
    </w:p>
    <w:tbl>
      <w:tblPr>
        <w:tblStyle w:val="97"/>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2128"/>
        <w:gridCol w:w="4591"/>
      </w:tblGrid>
      <w:tr w14:paraId="56D98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619A28CD">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项目</w:t>
            </w:r>
          </w:p>
        </w:tc>
        <w:tc>
          <w:tcPr>
            <w:tcW w:w="6719" w:type="dxa"/>
            <w:gridSpan w:val="2"/>
            <w:vAlign w:val="center"/>
          </w:tcPr>
          <w:p w14:paraId="0D1BC251">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监测制度</w:t>
            </w:r>
          </w:p>
        </w:tc>
      </w:tr>
      <w:tr w14:paraId="120AB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restart"/>
            <w:vAlign w:val="center"/>
          </w:tcPr>
          <w:p w14:paraId="5936ABA2">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大气应急监测</w:t>
            </w:r>
          </w:p>
        </w:tc>
        <w:tc>
          <w:tcPr>
            <w:tcW w:w="2128" w:type="dxa"/>
            <w:vAlign w:val="center"/>
          </w:tcPr>
          <w:p w14:paraId="290E5949">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监测因子</w:t>
            </w:r>
          </w:p>
        </w:tc>
        <w:tc>
          <w:tcPr>
            <w:tcW w:w="4591" w:type="dxa"/>
          </w:tcPr>
          <w:p w14:paraId="40EB32FB">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选择风险事故污染因子</w:t>
            </w:r>
            <w:r>
              <w:rPr>
                <w:rFonts w:hint="eastAsia" w:ascii="Times New Roman" w:hAnsi="Times New Roman" w:eastAsia="宋体" w:cs="Times New Roman"/>
                <w:color w:val="auto"/>
                <w:kern w:val="0"/>
                <w:szCs w:val="21"/>
                <w:u w:val="none" w:color="auto"/>
              </w:rPr>
              <w:t>颗粒物、甲苯、二甲苯、非甲烷总烃</w:t>
            </w:r>
          </w:p>
        </w:tc>
      </w:tr>
      <w:tr w14:paraId="0055A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6E76ADA3">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4AD1EB0C">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监测频率</w:t>
            </w:r>
          </w:p>
        </w:tc>
        <w:tc>
          <w:tcPr>
            <w:tcW w:w="4591" w:type="dxa"/>
          </w:tcPr>
          <w:p w14:paraId="0F489B7B">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按照事故持续时间决定监测时间，事故发生及处理过程中进行随时监测，过后20分钟一次直到应急结束</w:t>
            </w:r>
          </w:p>
        </w:tc>
      </w:tr>
      <w:tr w14:paraId="1573A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5CA281E7">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7348B4C6">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监测布点</w:t>
            </w:r>
          </w:p>
        </w:tc>
        <w:tc>
          <w:tcPr>
            <w:tcW w:w="4591" w:type="dxa"/>
          </w:tcPr>
          <w:p w14:paraId="0FDE5EAD">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按事故发生时的主导风向的下风向</w:t>
            </w:r>
          </w:p>
        </w:tc>
      </w:tr>
      <w:tr w14:paraId="76F94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4F13187F">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52E15F28">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采样分析、数据处理</w:t>
            </w:r>
          </w:p>
        </w:tc>
        <w:tc>
          <w:tcPr>
            <w:tcW w:w="4591" w:type="dxa"/>
          </w:tcPr>
          <w:p w14:paraId="00CE749E">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按照《空气和废气监测分析方法》、《环境监测技术规范》的有关规定进行。</w:t>
            </w:r>
          </w:p>
        </w:tc>
      </w:tr>
      <w:tr w14:paraId="79D85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restart"/>
            <w:vAlign w:val="center"/>
          </w:tcPr>
          <w:p w14:paraId="7CCC9126">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水环境应急监测</w:t>
            </w:r>
          </w:p>
        </w:tc>
        <w:tc>
          <w:tcPr>
            <w:tcW w:w="2128" w:type="dxa"/>
            <w:vAlign w:val="center"/>
          </w:tcPr>
          <w:p w14:paraId="0E502EE4">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监测项目</w:t>
            </w:r>
          </w:p>
        </w:tc>
        <w:tc>
          <w:tcPr>
            <w:tcW w:w="4591" w:type="dxa"/>
          </w:tcPr>
          <w:p w14:paraId="33FB9AE7">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根据事故范围选择适当的监测因子。选择pH、COD、氨氮等作为监测因子</w:t>
            </w:r>
          </w:p>
        </w:tc>
      </w:tr>
      <w:tr w14:paraId="68393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6418AA3D">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631C61FB">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监测布点</w:t>
            </w:r>
          </w:p>
        </w:tc>
        <w:tc>
          <w:tcPr>
            <w:tcW w:w="4591" w:type="dxa"/>
          </w:tcPr>
          <w:p w14:paraId="56ED1D35">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可根据事故废水的去向布点监测，布置在厂区总排口等。</w:t>
            </w:r>
          </w:p>
        </w:tc>
      </w:tr>
      <w:tr w14:paraId="48BDE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3259B3FB">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5A2B47B5">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监测频率</w:t>
            </w:r>
          </w:p>
        </w:tc>
        <w:tc>
          <w:tcPr>
            <w:tcW w:w="4591" w:type="dxa"/>
          </w:tcPr>
          <w:p w14:paraId="1214FC91">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按照事故持续时间决定监测时间，事故发生及处理过程中进行随时监测，过后20分钟一次直到应急结束。</w:t>
            </w:r>
          </w:p>
        </w:tc>
      </w:tr>
      <w:tr w14:paraId="13A50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Merge w:val="continue"/>
            <w:vAlign w:val="center"/>
          </w:tcPr>
          <w:p w14:paraId="0F2C0043">
            <w:pPr>
              <w:autoSpaceDE w:val="0"/>
              <w:autoSpaceDN w:val="0"/>
              <w:adjustRightInd w:val="0"/>
              <w:jc w:val="center"/>
              <w:rPr>
                <w:rFonts w:ascii="Times New Roman" w:hAnsi="Times New Roman" w:eastAsia="宋体" w:cs="Times New Roman"/>
                <w:color w:val="auto"/>
                <w:kern w:val="0"/>
                <w:szCs w:val="21"/>
                <w:u w:val="none" w:color="auto"/>
              </w:rPr>
            </w:pPr>
          </w:p>
        </w:tc>
        <w:tc>
          <w:tcPr>
            <w:tcW w:w="2128" w:type="dxa"/>
            <w:vAlign w:val="center"/>
          </w:tcPr>
          <w:p w14:paraId="4D2AEDDB">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采样分析、数据处理</w:t>
            </w:r>
          </w:p>
        </w:tc>
        <w:tc>
          <w:tcPr>
            <w:tcW w:w="4591" w:type="dxa"/>
          </w:tcPr>
          <w:p w14:paraId="4952A99B">
            <w:pPr>
              <w:autoSpaceDE w:val="0"/>
              <w:autoSpaceDN w:val="0"/>
              <w:adjustRightInd w:val="0"/>
              <w:jc w:val="center"/>
              <w:rPr>
                <w:rFonts w:ascii="Times New Roman" w:hAnsi="Times New Roman" w:eastAsia="宋体" w:cs="Times New Roman"/>
                <w:color w:val="auto"/>
                <w:kern w:val="0"/>
                <w:szCs w:val="21"/>
                <w:u w:val="none" w:color="auto"/>
              </w:rPr>
            </w:pPr>
            <w:r>
              <w:rPr>
                <w:rFonts w:ascii="Times New Roman" w:hAnsi="Times New Roman" w:eastAsia="宋体" w:cs="Times New Roman"/>
                <w:color w:val="auto"/>
                <w:kern w:val="0"/>
                <w:szCs w:val="21"/>
                <w:u w:val="none" w:color="auto"/>
              </w:rPr>
              <w:t>按照《环境水质监测质量保证手册》、《水和废水监测分析方法》的有关规定进行</w:t>
            </w:r>
          </w:p>
        </w:tc>
      </w:tr>
    </w:tbl>
    <w:p w14:paraId="3D49FDCF">
      <w:pPr>
        <w:autoSpaceDE w:val="0"/>
        <w:autoSpaceDN w:val="0"/>
        <w:adjustRightInd w:val="0"/>
        <w:spacing w:line="360" w:lineRule="auto"/>
        <w:ind w:firstLine="480" w:firstLineChars="200"/>
        <w:jc w:val="left"/>
        <w:rPr>
          <w:color w:val="auto"/>
          <w:u w:val="none" w:color="auto"/>
        </w:rPr>
      </w:pPr>
      <w:r>
        <w:rPr>
          <w:rFonts w:ascii="Times New Roman" w:hAnsi="Times New Roman" w:eastAsia="宋体" w:cs="Times New Roman"/>
          <w:color w:val="auto"/>
          <w:kern w:val="0"/>
          <w:sz w:val="24"/>
          <w:szCs w:val="24"/>
          <w:u w:val="none" w:color="auto"/>
        </w:rPr>
        <w:t>企业应制定详细的应急监测计划，配备必要的应急监测设备、人员，具备事故状况下应急监测的能力。</w:t>
      </w:r>
    </w:p>
    <w:p w14:paraId="12ACF18B">
      <w:pPr>
        <w:pStyle w:val="5"/>
        <w:bidi w:val="0"/>
        <w:rPr>
          <w:color w:val="auto"/>
          <w:u w:val="none" w:color="auto"/>
        </w:rPr>
      </w:pPr>
      <w:r>
        <w:rPr>
          <w:color w:val="auto"/>
          <w:u w:val="none" w:color="auto"/>
        </w:rPr>
        <w:t>与区域风险应急救援预案的联动</w:t>
      </w:r>
    </w:p>
    <w:p w14:paraId="04ACE566">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积极配合当地政府建设和完善环境风险预警体系、环境风险防控工程、环境应急保障体系，并建立本建设项目与工业区、周边企业、村镇、政府等之间的应急联动机制，做好企业突发环境事件应急预案与区域相关部门的应急预案相衔接，并加强区域应急物资调配管理，构建区域环境风险联控机制。 </w:t>
      </w:r>
    </w:p>
    <w:p w14:paraId="5FC34FE1">
      <w:pPr>
        <w:autoSpaceDE w:val="0"/>
        <w:autoSpaceDN w:val="0"/>
        <w:adjustRightInd w:val="0"/>
        <w:spacing w:line="360" w:lineRule="auto"/>
        <w:ind w:firstLine="480" w:firstLineChars="200"/>
        <w:jc w:val="left"/>
        <w:rPr>
          <w:rFonts w:ascii="Times New Roman" w:hAnsi="Times New Roman" w:eastAsia="宋体" w:cs="Times New Roman"/>
          <w:b/>
          <w:color w:val="auto"/>
          <w:kern w:val="0"/>
          <w:szCs w:val="24"/>
          <w:u w:val="none" w:color="auto"/>
        </w:rPr>
      </w:pPr>
      <w:r>
        <w:rPr>
          <w:rFonts w:ascii="Times New Roman" w:hAnsi="Times New Roman" w:eastAsia="宋体" w:cs="Times New Roman"/>
          <w:color w:val="auto"/>
          <w:sz w:val="24"/>
          <w:szCs w:val="24"/>
          <w:u w:val="none" w:color="auto"/>
        </w:rPr>
        <w:t>项目生产事故发生后，应根据事故类别，执行其制定的环境风险应急预案，并根据风险事故的类型和等级，充分发挥与区域有关部门的分级响应联动机制，如废水事故排放应急预案。而对于超出本预案规定的适用范围的其他事故，或者事故扩大升级，演变为较大、重大、特别重大事故，超出公司的应对能力时，建设单位应立即通知钦北区政府及其他相关管理部门，降低环境风险影响。</w:t>
      </w:r>
    </w:p>
    <w:p w14:paraId="26F5D890">
      <w:pPr>
        <w:pStyle w:val="4"/>
        <w:bidi w:val="0"/>
        <w:rPr>
          <w:color w:val="auto"/>
          <w:u w:val="none" w:color="auto"/>
        </w:rPr>
      </w:pPr>
      <w:r>
        <w:rPr>
          <w:color w:val="auto"/>
          <w:u w:val="none" w:color="auto"/>
        </w:rPr>
        <w:t>环境风险评价结论</w:t>
      </w:r>
    </w:p>
    <w:p w14:paraId="4124A533">
      <w:pPr>
        <w:autoSpaceDE w:val="0"/>
        <w:autoSpaceDN w:val="0"/>
        <w:adjustRightInd w:val="0"/>
        <w:spacing w:line="360" w:lineRule="auto"/>
        <w:ind w:firstLine="480" w:firstLineChars="200"/>
        <w:jc w:val="left"/>
        <w:rPr>
          <w:rFonts w:hint="default" w:ascii="Times New Roman" w:hAnsi="Times New Roman" w:eastAsia="宋体"/>
          <w:color w:val="auto"/>
          <w:szCs w:val="24"/>
          <w:u w:val="none" w:color="auto"/>
        </w:rPr>
      </w:pPr>
      <w:r>
        <w:rPr>
          <w:rFonts w:ascii="Times New Roman" w:hAnsi="Times New Roman" w:eastAsia="宋体" w:cs="Times New Roman"/>
          <w:color w:val="auto"/>
          <w:kern w:val="0"/>
          <w:sz w:val="24"/>
          <w:szCs w:val="24"/>
          <w:u w:val="none" w:color="auto"/>
        </w:rPr>
        <w:t>项目生产所用原料、产品涉及多种化学品，属于《建设项目环境风险评价技术导则》（HJ 167-2018）危险物质的有油漆、稀释剂、固化剂、丙烷等。在项目运行过程中，风险事故发生概率低，建设单位从工程和管理上实行严格的防范措施，做好安全生产和环境保护工作，能有效预防风险事故发生，将风险降低到最小，在可接受的范围内；制定操作性强的应急预案，可降低事故对环境的影响。</w:t>
      </w:r>
    </w:p>
    <w:p w14:paraId="6E7CDAEC">
      <w:pPr>
        <w:pStyle w:val="35"/>
        <w:autoSpaceDE w:val="0"/>
        <w:autoSpaceDN w:val="0"/>
        <w:ind w:firstLine="210"/>
        <w:rPr>
          <w:rFonts w:ascii="Times New Roman" w:hAnsi="Times New Roman" w:cs="Times New Roman"/>
          <w:color w:val="auto"/>
          <w:u w:val="none" w:color="auto"/>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C92813A">
      <w:pPr>
        <w:pStyle w:val="2"/>
        <w:bidi w:val="0"/>
        <w:rPr>
          <w:color w:val="auto"/>
          <w:u w:val="none" w:color="auto"/>
        </w:rPr>
      </w:pPr>
      <w:bookmarkStart w:id="246" w:name="_Toc530130473"/>
      <w:bookmarkStart w:id="247" w:name="_Toc23194"/>
      <w:bookmarkStart w:id="248" w:name="_Toc3728268"/>
      <w:r>
        <w:rPr>
          <w:color w:val="auto"/>
          <w:u w:val="none" w:color="auto"/>
        </w:rPr>
        <w:t>污染防治措施</w:t>
      </w:r>
      <w:bookmarkEnd w:id="246"/>
      <w:r>
        <w:rPr>
          <w:color w:val="auto"/>
          <w:u w:val="none" w:color="auto"/>
        </w:rPr>
        <w:t>及其可行性分析</w:t>
      </w:r>
      <w:bookmarkEnd w:id="247"/>
      <w:bookmarkEnd w:id="248"/>
    </w:p>
    <w:p w14:paraId="09D1C0C9">
      <w:pPr>
        <w:autoSpaceDE w:val="0"/>
        <w:autoSpaceDN w:val="0"/>
        <w:snapToGrid w:val="0"/>
        <w:spacing w:before="312" w:beforeLines="100" w:line="360" w:lineRule="auto"/>
        <w:jc w:val="left"/>
        <w:outlineLvl w:val="1"/>
        <w:rPr>
          <w:rFonts w:ascii="Times New Roman" w:hAnsi="Times New Roman" w:eastAsia="宋体" w:cs="Times New Roman"/>
          <w:b/>
          <w:color w:val="auto"/>
          <w:kern w:val="0"/>
          <w:sz w:val="32"/>
          <w:szCs w:val="32"/>
          <w:u w:val="none" w:color="auto"/>
        </w:rPr>
      </w:pPr>
      <w:bookmarkStart w:id="249" w:name="_Toc3728269"/>
      <w:bookmarkStart w:id="250" w:name="_Toc27662"/>
      <w:r>
        <w:rPr>
          <w:rFonts w:hint="eastAsia" w:ascii="Times New Roman" w:hAnsi="Times New Roman" w:eastAsia="宋体" w:cs="Times New Roman"/>
          <w:b/>
          <w:color w:val="auto"/>
          <w:kern w:val="0"/>
          <w:sz w:val="32"/>
          <w:szCs w:val="32"/>
          <w:u w:val="none" w:color="auto"/>
        </w:rPr>
        <w:t>5</w:t>
      </w:r>
      <w:r>
        <w:rPr>
          <w:rFonts w:ascii="Times New Roman" w:hAnsi="Times New Roman" w:eastAsia="宋体" w:cs="Times New Roman"/>
          <w:b/>
          <w:color w:val="auto"/>
          <w:kern w:val="0"/>
          <w:sz w:val="32"/>
          <w:szCs w:val="32"/>
          <w:u w:val="none" w:color="auto"/>
        </w:rPr>
        <w:t>.1施工期污染防治措施</w:t>
      </w:r>
      <w:bookmarkEnd w:id="249"/>
      <w:bookmarkEnd w:id="250"/>
    </w:p>
    <w:p w14:paraId="486938B8">
      <w:pPr>
        <w:adjustRightInd w:val="0"/>
        <w:snapToGrid w:val="0"/>
        <w:spacing w:before="156" w:beforeLines="50" w:line="360" w:lineRule="auto"/>
        <w:outlineLvl w:val="2"/>
        <w:rPr>
          <w:rFonts w:ascii="Times New Roman" w:hAnsi="Times New Roman" w:eastAsia="宋体" w:cs="Times New Roman"/>
          <w:b/>
          <w:bCs/>
          <w:color w:val="auto"/>
          <w:sz w:val="28"/>
          <w:szCs w:val="28"/>
          <w:u w:val="none" w:color="auto"/>
        </w:rPr>
      </w:pPr>
      <w:bookmarkStart w:id="251" w:name="_Toc234730924"/>
      <w:bookmarkStart w:id="252" w:name="_Toc233000235"/>
      <w:bookmarkStart w:id="253" w:name="_Toc232990419"/>
      <w:bookmarkStart w:id="254" w:name="_Toc231556540"/>
      <w:bookmarkStart w:id="255" w:name="_Toc231555762"/>
      <w:bookmarkStart w:id="256" w:name="_Toc231556642"/>
      <w:r>
        <w:rPr>
          <w:rFonts w:ascii="Times New Roman" w:hAnsi="Times New Roman" w:eastAsia="宋体" w:cs="Times New Roman"/>
          <w:b/>
          <w:bCs/>
          <w:color w:val="auto"/>
          <w:sz w:val="28"/>
          <w:szCs w:val="28"/>
          <w:u w:val="none" w:color="auto"/>
        </w:rPr>
        <w:t>5.1.1 大气污染防治措施</w:t>
      </w:r>
    </w:p>
    <w:p w14:paraId="1FDA8E4E">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项目施工期间对周围环境空气影响最大的污染物是扬尘和</w:t>
      </w:r>
      <w:r>
        <w:rPr>
          <w:rFonts w:hint="eastAsia" w:ascii="Times New Roman" w:hAnsi="Times New Roman" w:eastAsia="宋体" w:cs="Times New Roman"/>
          <w:color w:val="auto"/>
          <w:sz w:val="24"/>
          <w:u w:val="none" w:color="auto"/>
        </w:rPr>
        <w:t>车辆</w:t>
      </w:r>
      <w:r>
        <w:rPr>
          <w:rFonts w:ascii="Times New Roman" w:hAnsi="Times New Roman" w:eastAsia="宋体" w:cs="Times New Roman"/>
          <w:color w:val="auto"/>
          <w:sz w:val="24"/>
          <w:u w:val="none" w:color="auto"/>
        </w:rPr>
        <w:t>尾气，为防止对周边环境造成污染，拟采取的污染防治措施如下：</w:t>
      </w:r>
    </w:p>
    <w:p w14:paraId="7164F778">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（1）在施工场地进出口处放置防尘垫，运输车辆进入场地后应减速慢行，以减少扬尘。</w:t>
      </w:r>
    </w:p>
    <w:p w14:paraId="0A0B0387">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（2）运输车辆应覆盖</w:t>
      </w:r>
      <w:r>
        <w:rPr>
          <w:rFonts w:hint="eastAsia" w:ascii="Times New Roman" w:hAnsi="Times New Roman" w:eastAsia="宋体" w:cs="Times New Roman"/>
          <w:color w:val="auto"/>
          <w:sz w:val="24"/>
          <w:u w:val="none" w:color="auto"/>
          <w:lang w:eastAsia="zh-CN"/>
        </w:rPr>
        <w:t>苫布</w:t>
      </w:r>
      <w:r>
        <w:rPr>
          <w:rFonts w:ascii="Times New Roman" w:hAnsi="Times New Roman" w:eastAsia="宋体" w:cs="Times New Roman"/>
          <w:color w:val="auto"/>
          <w:sz w:val="24"/>
          <w:u w:val="none" w:color="auto"/>
        </w:rPr>
        <w:t>，避免在运输过程中材料的抛洒，并且选择对周围环境影响较小的运输路线。</w:t>
      </w:r>
    </w:p>
    <w:p w14:paraId="339E3643">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（3）设置施工围栏、绿化，防止施工粉尘散逸至周围敏感点处。</w:t>
      </w:r>
    </w:p>
    <w:p w14:paraId="3D641ECE">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（4）项目场地在干燥天气，适当洒水，抑制扬尘的产生。</w:t>
      </w:r>
    </w:p>
    <w:p w14:paraId="48F136F9">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（5）一边施工一边洒水，抑制扬尘产生。同时设置2m高的围栏，防止施工粉尘散逸。</w:t>
      </w:r>
    </w:p>
    <w:p w14:paraId="53E5B982">
      <w:pPr>
        <w:spacing w:line="360" w:lineRule="auto"/>
        <w:ind w:firstLine="600" w:firstLineChars="25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严格按照以上措施的要求进行作业，项目施工场地扬尘对周边大气环境影响将会大大降低，同时其对环境的影响也将随施工的结束而消失。</w:t>
      </w:r>
    </w:p>
    <w:p w14:paraId="6522C633">
      <w:pPr>
        <w:adjustRightInd w:val="0"/>
        <w:snapToGrid w:val="0"/>
        <w:spacing w:before="156" w:beforeLines="50" w:line="360" w:lineRule="auto"/>
        <w:outlineLvl w:val="2"/>
        <w:rPr>
          <w:rFonts w:ascii="Times New Roman" w:hAnsi="Times New Roman" w:eastAsia="宋体" w:cs="Times New Roman"/>
          <w:b/>
          <w:bCs/>
          <w:color w:val="auto"/>
          <w:sz w:val="28"/>
          <w:szCs w:val="28"/>
          <w:u w:val="none" w:color="auto"/>
        </w:rPr>
      </w:pPr>
      <w:r>
        <w:rPr>
          <w:rFonts w:ascii="Times New Roman" w:hAnsi="Times New Roman" w:eastAsia="宋体" w:cs="Times New Roman"/>
          <w:b/>
          <w:bCs/>
          <w:color w:val="auto"/>
          <w:sz w:val="28"/>
          <w:szCs w:val="28"/>
          <w:u w:val="none" w:color="auto"/>
        </w:rPr>
        <w:t>5.1.2 水污染防治措施</w:t>
      </w:r>
    </w:p>
    <w:p w14:paraId="34BF8669">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为减小施工期对附近环境的影响，施工期应采取以下防治措施：</w:t>
      </w:r>
    </w:p>
    <w:p w14:paraId="147F113F">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（1）严格工程施工中的用水管理，减少用水量进而相应减少废水量。</w:t>
      </w:r>
    </w:p>
    <w:p w14:paraId="57A8B77F">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（2）施工人员的生活污水收集后通过化粪池处理后排入园区管网，对环境影响较小。</w:t>
      </w:r>
    </w:p>
    <w:p w14:paraId="426904AE">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（3）施工现场设立沉淀池，施工废水经沉淀后取上清液循环使用，实现废水零排放。</w:t>
      </w:r>
    </w:p>
    <w:p w14:paraId="46EAA6ED">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4）为减少雨天在项目施工场地形成的地面径流对周围环境的影响，项目在施工场地内开挖临时雨水排水沟，在雨水排水口设置沉淀池，对场地内的雨水径流进行沉淀处理，并在排水口设置滤布，拦截大的块状物以及泥沙，上清液直接用于施工场地洒水降尘。</w:t>
      </w:r>
    </w:p>
    <w:p w14:paraId="0C4FA6C7">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采取以上措施后，可有效做好施工污水的防治，因此，施工场地对周围地表水环境的影响较小，经济可行。</w:t>
      </w:r>
    </w:p>
    <w:p w14:paraId="51E1E164">
      <w:pPr>
        <w:adjustRightInd w:val="0"/>
        <w:snapToGrid w:val="0"/>
        <w:spacing w:before="156" w:beforeLines="50" w:line="360" w:lineRule="auto"/>
        <w:outlineLvl w:val="2"/>
        <w:rPr>
          <w:rFonts w:ascii="Times New Roman" w:hAnsi="Times New Roman" w:eastAsia="宋体" w:cs="Times New Roman"/>
          <w:b/>
          <w:bCs/>
          <w:color w:val="auto"/>
          <w:sz w:val="28"/>
          <w:szCs w:val="28"/>
          <w:u w:val="none" w:color="auto"/>
        </w:rPr>
      </w:pPr>
      <w:r>
        <w:rPr>
          <w:rFonts w:ascii="Times New Roman" w:hAnsi="Times New Roman" w:eastAsia="宋体" w:cs="Times New Roman"/>
          <w:b/>
          <w:bCs/>
          <w:color w:val="auto"/>
          <w:sz w:val="28"/>
          <w:szCs w:val="28"/>
          <w:u w:val="none" w:color="auto"/>
        </w:rPr>
        <w:t>5.1.3 噪声污染防治措施</w:t>
      </w:r>
    </w:p>
    <w:bookmarkEnd w:id="251"/>
    <w:bookmarkEnd w:id="252"/>
    <w:bookmarkEnd w:id="253"/>
    <w:bookmarkEnd w:id="254"/>
    <w:bookmarkEnd w:id="255"/>
    <w:bookmarkEnd w:id="256"/>
    <w:p w14:paraId="4C4E8428">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施工期主要噪声是场地施工、装修、设备安装噪声对周边的环境影响较大，但施工期产生的噪声对环境的影响是暂时的，随着施工期结束，影响随之消失。为了减轻施工噪声对周边环境的影响，应做好以下噪声污染的控制措施。</w:t>
      </w:r>
    </w:p>
    <w:p w14:paraId="65BCC01D">
      <w:pPr>
        <w:spacing w:line="360" w:lineRule="auto"/>
        <w:ind w:firstLine="480" w:firstLineChars="200"/>
        <w:rPr>
          <w:rStyle w:val="139"/>
          <w:rFonts w:hint="default" w:ascii="Times New Roman" w:hAnsi="Times New Roman" w:cs="Times New Roman"/>
          <w:color w:val="auto"/>
          <w:u w:val="none" w:color="auto"/>
        </w:rPr>
      </w:pPr>
      <w:r>
        <w:rPr>
          <w:rFonts w:ascii="Times New Roman" w:hAnsi="Times New Roman" w:eastAsia="宋体" w:cs="Times New Roman"/>
          <w:color w:val="auto"/>
          <w:sz w:val="24"/>
          <w:u w:val="none" w:color="auto"/>
        </w:rPr>
        <w:t>（1）</w:t>
      </w:r>
      <w:r>
        <w:rPr>
          <w:rStyle w:val="139"/>
          <w:rFonts w:hint="default" w:ascii="Times New Roman" w:hAnsi="Times New Roman" w:cs="Times New Roman"/>
          <w:color w:val="auto"/>
          <w:u w:val="none" w:color="auto"/>
        </w:rPr>
        <w:t>选用低噪声施工设备，对产生高噪声的设备如电锯，在其外加盖易拆移、隔声效果好的隔声屏障，将施工噪声所造成的影响减少到最低程度。</w:t>
      </w:r>
    </w:p>
    <w:p w14:paraId="64F1C948">
      <w:pPr>
        <w:spacing w:line="360" w:lineRule="auto"/>
        <w:ind w:firstLine="480" w:firstLineChars="200"/>
        <w:rPr>
          <w:rStyle w:val="139"/>
          <w:rFonts w:hint="default" w:ascii="Times New Roman" w:hAnsi="Times New Roman" w:cs="Times New Roman"/>
          <w:color w:val="auto"/>
          <w:u w:val="none" w:color="auto"/>
        </w:rPr>
      </w:pPr>
      <w:r>
        <w:rPr>
          <w:rStyle w:val="139"/>
          <w:rFonts w:hint="default" w:ascii="Times New Roman" w:hAnsi="Times New Roman" w:cs="Times New Roman"/>
          <w:color w:val="auto"/>
          <w:u w:val="none" w:color="auto"/>
        </w:rPr>
        <w:t>（2）合理安排施工计划，禁止在夜间（</w:t>
      </w:r>
      <w:r>
        <w:rPr>
          <w:rStyle w:val="140"/>
          <w:rFonts w:eastAsia="宋体"/>
          <w:color w:val="auto"/>
          <w:u w:val="none" w:color="auto"/>
        </w:rPr>
        <w:t>22:00~</w:t>
      </w:r>
      <w:r>
        <w:rPr>
          <w:rStyle w:val="139"/>
          <w:rFonts w:hint="default" w:ascii="Times New Roman" w:hAnsi="Times New Roman" w:cs="Times New Roman"/>
          <w:color w:val="auto"/>
          <w:u w:val="none" w:color="auto"/>
        </w:rPr>
        <w:t>次日</w:t>
      </w:r>
      <w:r>
        <w:rPr>
          <w:rStyle w:val="140"/>
          <w:rFonts w:eastAsia="宋体"/>
          <w:color w:val="auto"/>
          <w:u w:val="none" w:color="auto"/>
        </w:rPr>
        <w:t>06:00</w:t>
      </w:r>
      <w:r>
        <w:rPr>
          <w:rStyle w:val="139"/>
          <w:rFonts w:hint="default" w:ascii="Times New Roman" w:hAnsi="Times New Roman" w:cs="Times New Roman"/>
          <w:color w:val="auto"/>
          <w:u w:val="none" w:color="auto"/>
        </w:rPr>
        <w:t>）及午间（</w:t>
      </w:r>
      <w:r>
        <w:rPr>
          <w:rStyle w:val="140"/>
          <w:rFonts w:eastAsia="宋体"/>
          <w:color w:val="auto"/>
          <w:u w:val="none" w:color="auto"/>
        </w:rPr>
        <w:t>12:00~14:30</w:t>
      </w:r>
      <w:r>
        <w:rPr>
          <w:rStyle w:val="139"/>
          <w:rFonts w:hint="default" w:ascii="Times New Roman" w:hAnsi="Times New Roman" w:cs="Times New Roman"/>
          <w:color w:val="auto"/>
          <w:u w:val="none" w:color="auto"/>
        </w:rPr>
        <w:t>）进行有噪声污染的建筑施工作业（抢修、抢险作业除外），若是工程需要必须在晚上施工，要上报有关部门批准同意后方可进行，并公告附近居民。</w:t>
      </w:r>
    </w:p>
    <w:p w14:paraId="48D18D0C">
      <w:pPr>
        <w:spacing w:line="360" w:lineRule="auto"/>
        <w:ind w:firstLine="480" w:firstLineChars="200"/>
        <w:rPr>
          <w:rFonts w:ascii="Times New Roman" w:hAnsi="Times New Roman" w:eastAsia="宋体" w:cs="Times New Roman"/>
          <w:color w:val="auto"/>
          <w:sz w:val="24"/>
          <w:u w:val="none" w:color="auto"/>
        </w:rPr>
      </w:pPr>
      <w:r>
        <w:rPr>
          <w:rStyle w:val="139"/>
          <w:rFonts w:hint="default" w:ascii="Times New Roman" w:hAnsi="Times New Roman" w:cs="Times New Roman"/>
          <w:color w:val="auto"/>
          <w:u w:val="none" w:color="auto"/>
        </w:rPr>
        <w:t>（3）对位置相对固定的高噪声机械设备，尽量在工棚内操作，不能进入棚内的，可采取</w:t>
      </w:r>
      <w:r>
        <w:rPr>
          <w:rStyle w:val="139"/>
          <w:rFonts w:hint="eastAsia" w:ascii="Times New Roman" w:hAnsi="Times New Roman" w:eastAsia="宋体" w:cs="Times New Roman"/>
          <w:color w:val="auto"/>
          <w:u w:val="none" w:color="auto"/>
          <w:lang w:eastAsia="zh-CN"/>
        </w:rPr>
        <w:t>围挡</w:t>
      </w:r>
      <w:r>
        <w:rPr>
          <w:rStyle w:val="139"/>
          <w:rFonts w:hint="default" w:ascii="Times New Roman" w:hAnsi="Times New Roman" w:cs="Times New Roman"/>
          <w:color w:val="auto"/>
          <w:u w:val="none" w:color="auto"/>
        </w:rPr>
        <w:t>之类的单面声屏障。</w:t>
      </w:r>
    </w:p>
    <w:p w14:paraId="68E3CF60">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（4）</w:t>
      </w:r>
      <w:r>
        <w:rPr>
          <w:rStyle w:val="139"/>
          <w:rFonts w:hint="default" w:ascii="Times New Roman" w:hAnsi="Times New Roman" w:cs="Times New Roman"/>
          <w:color w:val="auto"/>
          <w:u w:val="none" w:color="auto"/>
        </w:rPr>
        <w:t>加强运输车辆的管理，按规定组织车辆运输，合理规定运输通道。施工场地内道路应尽量保持平坦，减少由于道路不平而引起的车辆颠簸噪声；在环境敏感点</w:t>
      </w:r>
      <w:r>
        <w:rPr>
          <w:rStyle w:val="141"/>
          <w:rFonts w:ascii="Times New Roman" w:hAnsi="Times New Roman" w:eastAsia="宋体" w:cs="Times New Roman"/>
          <w:color w:val="auto"/>
          <w:u w:val="none" w:color="auto"/>
        </w:rPr>
        <w:t>100m</w:t>
      </w:r>
      <w:r>
        <w:rPr>
          <w:rStyle w:val="139"/>
          <w:rFonts w:hint="default" w:ascii="Times New Roman" w:hAnsi="Times New Roman" w:cs="Times New Roman"/>
          <w:color w:val="auto"/>
          <w:u w:val="none" w:color="auto"/>
        </w:rPr>
        <w:t>范围内车辆行驶速度应限制在</w:t>
      </w:r>
      <w:r>
        <w:rPr>
          <w:rStyle w:val="141"/>
          <w:rFonts w:ascii="Times New Roman" w:hAnsi="Times New Roman" w:eastAsia="宋体" w:cs="Times New Roman"/>
          <w:color w:val="auto"/>
          <w:u w:val="none" w:color="auto"/>
        </w:rPr>
        <w:t>10km/h</w:t>
      </w:r>
      <w:r>
        <w:rPr>
          <w:rStyle w:val="139"/>
          <w:rFonts w:hint="default" w:ascii="Times New Roman" w:hAnsi="Times New Roman" w:cs="Times New Roman"/>
          <w:color w:val="auto"/>
          <w:u w:val="none" w:color="auto"/>
        </w:rPr>
        <w:t>以内，以降低车辆运输噪声。</w:t>
      </w:r>
    </w:p>
    <w:p w14:paraId="781D3D5B">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采取以上措施后，施工场界噪声基本满足</w:t>
      </w:r>
      <w:r>
        <w:rPr>
          <w:rFonts w:hint="eastAsia" w:ascii="Times New Roman" w:hAnsi="Times New Roman" w:eastAsia="宋体" w:cs="Times New Roman"/>
          <w:color w:val="auto"/>
          <w:sz w:val="24"/>
          <w:u w:val="none" w:color="auto"/>
        </w:rPr>
        <w:t>《建筑施工场界环境噪声排放标准》（GB2523-2011）</w:t>
      </w:r>
      <w:r>
        <w:rPr>
          <w:rFonts w:ascii="Times New Roman" w:hAnsi="Times New Roman" w:eastAsia="宋体" w:cs="Times New Roman"/>
          <w:color w:val="auto"/>
          <w:sz w:val="24"/>
          <w:u w:val="none" w:color="auto"/>
        </w:rPr>
        <w:t>要求。</w:t>
      </w:r>
    </w:p>
    <w:p w14:paraId="4AFD8DC4">
      <w:pPr>
        <w:adjustRightInd w:val="0"/>
        <w:snapToGrid w:val="0"/>
        <w:spacing w:before="156" w:beforeLines="50" w:line="360" w:lineRule="auto"/>
        <w:outlineLvl w:val="2"/>
        <w:rPr>
          <w:rFonts w:ascii="Times New Roman" w:hAnsi="Times New Roman" w:eastAsia="宋体" w:cs="Times New Roman"/>
          <w:b/>
          <w:bCs/>
          <w:color w:val="auto"/>
          <w:sz w:val="28"/>
          <w:szCs w:val="28"/>
          <w:u w:val="none" w:color="auto"/>
        </w:rPr>
      </w:pPr>
      <w:r>
        <w:rPr>
          <w:rFonts w:ascii="Times New Roman" w:hAnsi="Times New Roman" w:eastAsia="宋体" w:cs="Times New Roman"/>
          <w:b/>
          <w:bCs/>
          <w:color w:val="auto"/>
          <w:sz w:val="28"/>
          <w:szCs w:val="28"/>
          <w:u w:val="none" w:color="auto"/>
        </w:rPr>
        <w:t xml:space="preserve">5.1.4 </w:t>
      </w:r>
      <w:r>
        <w:rPr>
          <w:rFonts w:hint="eastAsia" w:ascii="Times New Roman" w:hAnsi="Times New Roman" w:eastAsia="宋体" w:cs="Times New Roman"/>
          <w:b/>
          <w:bCs/>
          <w:color w:val="auto"/>
          <w:sz w:val="28"/>
          <w:szCs w:val="28"/>
          <w:u w:val="none" w:color="auto"/>
        </w:rPr>
        <w:t>固体废物</w:t>
      </w:r>
      <w:r>
        <w:rPr>
          <w:rFonts w:ascii="Times New Roman" w:hAnsi="Times New Roman" w:eastAsia="宋体" w:cs="Times New Roman"/>
          <w:b/>
          <w:bCs/>
          <w:color w:val="auto"/>
          <w:sz w:val="28"/>
          <w:szCs w:val="28"/>
          <w:u w:val="none" w:color="auto"/>
        </w:rPr>
        <w:t>污染防治措施</w:t>
      </w:r>
    </w:p>
    <w:p w14:paraId="520B2C88">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建筑垃圾：严格建筑垃圾的管理，施工中尽量综合利用。不能回收利用的建筑垃圾收集</w:t>
      </w:r>
      <w:r>
        <w:rPr>
          <w:rFonts w:hint="eastAsia" w:ascii="Times New Roman" w:hAnsi="Times New Roman" w:eastAsia="宋体" w:cs="Times New Roman"/>
          <w:color w:val="auto"/>
          <w:sz w:val="24"/>
          <w:u w:val="none" w:color="auto"/>
        </w:rPr>
        <w:t>至</w:t>
      </w:r>
      <w:r>
        <w:rPr>
          <w:rFonts w:ascii="Times New Roman" w:hAnsi="Times New Roman" w:eastAsia="宋体" w:cs="Times New Roman"/>
          <w:color w:val="auto"/>
          <w:sz w:val="24"/>
          <w:u w:val="none" w:color="auto"/>
        </w:rPr>
        <w:t>固定地点集中暂存，尽量缩短暂存的时间，同时做好建筑垃圾暂存点的防护工作，避免风吹、雨淋散失或流失，及时将建筑垃圾送至</w:t>
      </w:r>
      <w:r>
        <w:rPr>
          <w:rFonts w:hint="eastAsia" w:ascii="Times New Roman" w:hAnsi="Times New Roman" w:eastAsia="宋体" w:cs="Times New Roman"/>
          <w:color w:val="auto"/>
          <w:sz w:val="24"/>
          <w:u w:val="none" w:color="auto"/>
        </w:rPr>
        <w:t>市政管理部门</w:t>
      </w:r>
      <w:r>
        <w:rPr>
          <w:rFonts w:ascii="Times New Roman" w:hAnsi="Times New Roman" w:eastAsia="宋体" w:cs="Times New Roman"/>
          <w:color w:val="auto"/>
          <w:sz w:val="24"/>
          <w:u w:val="none" w:color="auto"/>
        </w:rPr>
        <w:t>指定地点</w:t>
      </w:r>
      <w:r>
        <w:rPr>
          <w:rFonts w:hint="eastAsia" w:ascii="Times New Roman" w:hAnsi="Times New Roman" w:eastAsia="宋体" w:cs="Times New Roman"/>
          <w:color w:val="auto"/>
          <w:sz w:val="24"/>
          <w:u w:val="none" w:color="auto"/>
        </w:rPr>
        <w:t>处理</w:t>
      </w:r>
      <w:r>
        <w:rPr>
          <w:rFonts w:ascii="Times New Roman" w:hAnsi="Times New Roman" w:eastAsia="宋体" w:cs="Times New Roman"/>
          <w:color w:val="auto"/>
          <w:sz w:val="24"/>
          <w:u w:val="none" w:color="auto"/>
        </w:rPr>
        <w:t>。</w:t>
      </w:r>
    </w:p>
    <w:p w14:paraId="413DD45F">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生活垃圾：</w:t>
      </w:r>
      <w:r>
        <w:rPr>
          <w:rStyle w:val="139"/>
          <w:rFonts w:hint="default" w:ascii="Times New Roman" w:hAnsi="Times New Roman" w:cs="Times New Roman"/>
          <w:color w:val="auto"/>
          <w:u w:val="none" w:color="auto"/>
        </w:rPr>
        <w:t>施工现场禁止将生活垃圾乱丢乱放，任意倾倒，也不能混合在建筑垃圾中用于</w:t>
      </w:r>
      <w:r>
        <w:rPr>
          <w:rStyle w:val="139"/>
          <w:rFonts w:hint="eastAsia" w:ascii="Times New Roman" w:hAnsi="Times New Roman" w:eastAsia="宋体" w:cs="Times New Roman"/>
          <w:color w:val="auto"/>
          <w:u w:val="none" w:color="auto"/>
          <w:lang w:eastAsia="zh-CN"/>
        </w:rPr>
        <w:t>其他</w:t>
      </w:r>
      <w:r>
        <w:rPr>
          <w:rStyle w:val="139"/>
          <w:rFonts w:hint="default" w:ascii="Times New Roman" w:hAnsi="Times New Roman" w:cs="Times New Roman"/>
          <w:color w:val="auto"/>
          <w:u w:val="none" w:color="auto"/>
        </w:rPr>
        <w:t>工地的填土。在施工现场，施工单位要设立桶装生活垃圾桶，集中收集后由市政环卫部门清运处理。</w:t>
      </w:r>
    </w:p>
    <w:p w14:paraId="6E937462">
      <w:pPr>
        <w:autoSpaceDE w:val="0"/>
        <w:autoSpaceDN w:val="0"/>
        <w:snapToGrid w:val="0"/>
        <w:spacing w:before="312" w:beforeLines="100" w:line="360" w:lineRule="auto"/>
        <w:jc w:val="left"/>
        <w:outlineLvl w:val="1"/>
        <w:rPr>
          <w:rFonts w:ascii="Times New Roman" w:hAnsi="Times New Roman" w:eastAsia="宋体" w:cs="Times New Roman"/>
          <w:b/>
          <w:color w:val="auto"/>
          <w:kern w:val="0"/>
          <w:sz w:val="32"/>
          <w:szCs w:val="32"/>
          <w:u w:val="none" w:color="auto"/>
        </w:rPr>
      </w:pPr>
      <w:bookmarkStart w:id="257" w:name="_Toc14889"/>
      <w:bookmarkStart w:id="258" w:name="_Toc3728276"/>
      <w:r>
        <w:rPr>
          <w:rFonts w:hint="eastAsia" w:ascii="Times New Roman" w:hAnsi="Times New Roman" w:eastAsia="宋体" w:cs="Times New Roman"/>
          <w:b/>
          <w:color w:val="auto"/>
          <w:kern w:val="0"/>
          <w:sz w:val="32"/>
          <w:szCs w:val="32"/>
          <w:u w:val="none" w:color="auto"/>
        </w:rPr>
        <w:t>5</w:t>
      </w:r>
      <w:r>
        <w:rPr>
          <w:rFonts w:ascii="Times New Roman" w:hAnsi="Times New Roman" w:eastAsia="宋体" w:cs="Times New Roman"/>
          <w:b/>
          <w:color w:val="auto"/>
          <w:kern w:val="0"/>
          <w:sz w:val="32"/>
          <w:szCs w:val="32"/>
          <w:u w:val="none" w:color="auto"/>
        </w:rPr>
        <w:t>.2运行期污染防治措施</w:t>
      </w:r>
      <w:bookmarkEnd w:id="257"/>
      <w:bookmarkEnd w:id="258"/>
    </w:p>
    <w:p w14:paraId="1FEE4DD1">
      <w:pPr>
        <w:keepNext w:val="0"/>
        <w:keepLines w:val="0"/>
        <w:pageBreakBefore w:val="0"/>
        <w:widowControl w:val="0"/>
        <w:tabs>
          <w:tab w:val="left" w:pos="1288"/>
        </w:tabs>
        <w:kinsoku/>
        <w:wordWrap/>
        <w:overflowPunct/>
        <w:topLinePunct w:val="0"/>
        <w:autoSpaceDE w:val="0"/>
        <w:autoSpaceDN w:val="0"/>
        <w:bidi w:val="0"/>
        <w:adjustRightInd w:val="0"/>
        <w:snapToGrid/>
        <w:spacing w:line="360" w:lineRule="auto"/>
        <w:jc w:val="left"/>
        <w:textAlignment w:val="baseline"/>
        <w:outlineLvl w:val="9"/>
        <w:rPr>
          <w:rFonts w:hint="eastAsia" w:ascii="Times New Roman" w:hAnsi="Times New Roman" w:eastAsia="宋体" w:cs="Times New Roman"/>
          <w:b/>
          <w:color w:val="auto"/>
          <w:kern w:val="0"/>
          <w:sz w:val="28"/>
          <w:szCs w:val="20"/>
          <w:u w:val="none" w:color="auto"/>
        </w:rPr>
      </w:pPr>
      <w:bookmarkStart w:id="259" w:name="_Toc3728277"/>
    </w:p>
    <w:p w14:paraId="016C0AC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.2.1大气污染防治措施</w:t>
      </w:r>
      <w:bookmarkEnd w:id="259"/>
    </w:p>
    <w:p w14:paraId="3313CD2B">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（一）有组织废气</w:t>
      </w:r>
    </w:p>
    <w:p w14:paraId="3B5FFFB3">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1、</w:t>
      </w:r>
      <w:r>
        <w:rPr>
          <w:rFonts w:hint="eastAsia" w:ascii="Times New Roman" w:hAnsi="Times New Roman" w:eastAsia="宋体" w:cs="Times New Roman"/>
          <w:bCs/>
          <w:color w:val="auto"/>
          <w:kern w:val="0"/>
          <w:sz w:val="24"/>
          <w:szCs w:val="20"/>
          <w:u w:val="none" w:color="auto"/>
        </w:rPr>
        <w:t>抛丸和喷砂废气</w:t>
      </w:r>
    </w:p>
    <w:p w14:paraId="2A8829BD">
      <w:pPr>
        <w:autoSpaceDE w:val="0"/>
        <w:autoSpaceDN w:val="0"/>
        <w:spacing w:line="360" w:lineRule="auto"/>
        <w:ind w:firstLine="480" w:firstLineChars="200"/>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项目对构件表面进行抛丸和喷砂处理，用以去除铁锈并增加表面附着力。</w:t>
      </w:r>
    </w:p>
    <w:p w14:paraId="65189095">
      <w:pPr>
        <w:autoSpaceDE w:val="0"/>
        <w:autoSpaceDN w:val="0"/>
        <w:spacing w:line="360" w:lineRule="auto"/>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抛丸和喷砂工序</w:t>
      </w:r>
      <w:r>
        <w:rPr>
          <w:rFonts w:ascii="Times New Roman" w:hAnsi="Times New Roman" w:eastAsia="宋体" w:cs="Times New Roman"/>
          <w:bCs/>
          <w:color w:val="auto"/>
          <w:kern w:val="0"/>
          <w:sz w:val="24"/>
          <w:szCs w:val="20"/>
          <w:u w:val="none" w:color="auto"/>
        </w:rPr>
        <w:t>在</w:t>
      </w:r>
      <w:r>
        <w:rPr>
          <w:rFonts w:hint="eastAsia" w:ascii="Times New Roman" w:hAnsi="Times New Roman" w:eastAsia="宋体" w:cs="Times New Roman"/>
          <w:bCs/>
          <w:color w:val="auto"/>
          <w:kern w:val="0"/>
          <w:sz w:val="24"/>
          <w:szCs w:val="20"/>
          <w:u w:val="none" w:color="auto"/>
        </w:rPr>
        <w:t>密闭</w:t>
      </w:r>
      <w:r>
        <w:rPr>
          <w:rFonts w:ascii="Times New Roman" w:hAnsi="Times New Roman" w:eastAsia="宋体" w:cs="Times New Roman"/>
          <w:bCs/>
          <w:color w:val="auto"/>
          <w:kern w:val="0"/>
          <w:sz w:val="24"/>
          <w:szCs w:val="20"/>
          <w:u w:val="none" w:color="auto"/>
        </w:rPr>
        <w:t>的</w:t>
      </w:r>
      <w:r>
        <w:rPr>
          <w:rFonts w:hint="eastAsia" w:ascii="Times New Roman" w:hAnsi="Times New Roman" w:eastAsia="宋体" w:cs="Times New Roman"/>
          <w:bCs/>
          <w:color w:val="auto"/>
          <w:kern w:val="0"/>
          <w:sz w:val="24"/>
          <w:szCs w:val="20"/>
          <w:u w:val="none" w:color="auto"/>
        </w:rPr>
        <w:t>车间</w:t>
      </w:r>
      <w:r>
        <w:rPr>
          <w:rFonts w:ascii="Times New Roman" w:hAnsi="Times New Roman" w:eastAsia="宋体" w:cs="Times New Roman"/>
          <w:bCs/>
          <w:color w:val="auto"/>
          <w:kern w:val="0"/>
          <w:sz w:val="24"/>
          <w:szCs w:val="20"/>
          <w:u w:val="none" w:color="auto"/>
        </w:rPr>
        <w:t>内进行，</w:t>
      </w:r>
      <w:r>
        <w:rPr>
          <w:rFonts w:ascii="Times New Roman" w:hAnsi="Times New Roman" w:eastAsia="宋体" w:cs="Times New Roman"/>
          <w:color w:val="auto"/>
          <w:sz w:val="24"/>
          <w:szCs w:val="24"/>
          <w:u w:val="none" w:color="auto"/>
        </w:rPr>
        <w:t>抛丸机在密闭状态下工作，产生的粉尘经负压集气系统收集</w:t>
      </w:r>
      <w:r>
        <w:rPr>
          <w:rFonts w:hint="eastAsia" w:ascii="Times New Roman" w:hAnsi="Times New Roman" w:eastAsia="宋体" w:cs="Times New Roman"/>
          <w:color w:val="auto"/>
          <w:sz w:val="24"/>
          <w:szCs w:val="24"/>
          <w:u w:val="none" w:color="auto"/>
        </w:rPr>
        <w:t>；喷砂</w:t>
      </w:r>
      <w:r>
        <w:rPr>
          <w:rFonts w:ascii="Times New Roman" w:hAnsi="Times New Roman" w:eastAsia="宋体" w:cs="Times New Roman"/>
          <w:color w:val="auto"/>
          <w:sz w:val="24"/>
          <w:szCs w:val="24"/>
          <w:u w:val="none" w:color="auto"/>
        </w:rPr>
        <w:t>喷</w:t>
      </w:r>
      <w:r>
        <w:rPr>
          <w:rFonts w:hint="eastAsia" w:ascii="Times New Roman" w:hAnsi="Times New Roman" w:eastAsia="宋体" w:cs="Times New Roman"/>
          <w:color w:val="auto"/>
          <w:sz w:val="24"/>
          <w:szCs w:val="24"/>
          <w:u w:val="none" w:color="auto"/>
        </w:rPr>
        <w:t>枪</w:t>
      </w:r>
      <w:r>
        <w:rPr>
          <w:rFonts w:ascii="Times New Roman" w:hAnsi="Times New Roman" w:eastAsia="宋体" w:cs="Times New Roman"/>
          <w:color w:val="auto"/>
          <w:sz w:val="24"/>
          <w:szCs w:val="24"/>
          <w:u w:val="none" w:color="auto"/>
        </w:rPr>
        <w:t>在密闭状态下工作，产生的粉尘经负压集气系统收集</w:t>
      </w:r>
      <w:r>
        <w:rPr>
          <w:rFonts w:hint="eastAsia" w:ascii="Times New Roman" w:hAnsi="Times New Roman" w:eastAsia="宋体" w:cs="Times New Roman"/>
          <w:color w:val="auto"/>
          <w:sz w:val="24"/>
          <w:szCs w:val="24"/>
          <w:u w:val="none" w:color="auto"/>
        </w:rPr>
        <w:t>；抛丸和喷砂产生的粉尘经</w:t>
      </w:r>
      <w:r>
        <w:rPr>
          <w:rFonts w:ascii="Times New Roman" w:hAnsi="Times New Roman" w:eastAsia="宋体" w:cs="Times New Roman"/>
          <w:color w:val="auto"/>
          <w:sz w:val="24"/>
          <w:szCs w:val="24"/>
          <w:u w:val="none" w:color="auto"/>
        </w:rPr>
        <w:t>负压</w:t>
      </w:r>
      <w:r>
        <w:rPr>
          <w:rFonts w:ascii="Times New Roman" w:hAnsi="Times New Roman" w:eastAsia="宋体" w:cs="Times New Roman"/>
          <w:bCs/>
          <w:color w:val="auto"/>
          <w:kern w:val="0"/>
          <w:sz w:val="24"/>
          <w:szCs w:val="20"/>
          <w:u w:val="none" w:color="auto"/>
        </w:rPr>
        <w:t>收集</w:t>
      </w:r>
      <w:r>
        <w:rPr>
          <w:rFonts w:hint="eastAsia" w:ascii="Times New Roman" w:hAnsi="Times New Roman" w:eastAsia="宋体" w:cs="Times New Roman"/>
          <w:bCs/>
          <w:color w:val="auto"/>
          <w:kern w:val="0"/>
          <w:sz w:val="24"/>
          <w:szCs w:val="20"/>
          <w:u w:val="none" w:color="auto"/>
        </w:rPr>
        <w:t>后</w:t>
      </w:r>
      <w:r>
        <w:rPr>
          <w:rFonts w:ascii="Times New Roman" w:hAnsi="Times New Roman" w:eastAsia="宋体" w:cs="Times New Roman"/>
          <w:bCs/>
          <w:color w:val="auto"/>
          <w:kern w:val="0"/>
          <w:sz w:val="24"/>
          <w:szCs w:val="20"/>
          <w:u w:val="none" w:color="auto"/>
        </w:rPr>
        <w:t>经</w:t>
      </w:r>
      <w:r>
        <w:rPr>
          <w:rFonts w:hint="eastAsia" w:ascii="Times New Roman" w:hAnsi="Times New Roman" w:eastAsia="宋体" w:cs="Times New Roman"/>
          <w:bCs/>
          <w:color w:val="auto"/>
          <w:kern w:val="0"/>
          <w:sz w:val="24"/>
          <w:szCs w:val="20"/>
          <w:u w:val="none" w:color="auto"/>
          <w:lang w:val="en-US" w:eastAsia="zh-CN"/>
        </w:rPr>
        <w:t>旋风除尘器+</w:t>
      </w:r>
      <w:r>
        <w:rPr>
          <w:rFonts w:ascii="Times New Roman" w:hAnsi="Times New Roman" w:eastAsia="宋体" w:cs="Times New Roman"/>
          <w:bCs/>
          <w:color w:val="auto"/>
          <w:kern w:val="0"/>
          <w:sz w:val="24"/>
          <w:szCs w:val="20"/>
          <w:u w:val="none" w:color="auto"/>
        </w:rPr>
        <w:t>滤筒除尘器（收集率</w:t>
      </w:r>
      <w:r>
        <w:rPr>
          <w:rFonts w:hint="eastAsia" w:ascii="Times New Roman" w:hAnsi="Times New Roman" w:eastAsia="宋体" w:cs="Times New Roman"/>
          <w:bCs/>
          <w:color w:val="auto"/>
          <w:kern w:val="0"/>
          <w:sz w:val="24"/>
          <w:szCs w:val="20"/>
          <w:u w:val="none" w:color="auto"/>
        </w:rPr>
        <w:t>取</w:t>
      </w:r>
      <w:r>
        <w:rPr>
          <w:rFonts w:ascii="Times New Roman" w:hAnsi="Times New Roman" w:eastAsia="宋体" w:cs="Times New Roman"/>
          <w:bCs/>
          <w:color w:val="auto"/>
          <w:kern w:val="0"/>
          <w:sz w:val="24"/>
          <w:szCs w:val="20"/>
          <w:u w:val="none" w:color="auto"/>
        </w:rPr>
        <w:t>9</w:t>
      </w:r>
      <w:r>
        <w:rPr>
          <w:rFonts w:hint="eastAsia" w:ascii="Times New Roman" w:hAnsi="Times New Roman" w:eastAsia="宋体" w:cs="Times New Roman"/>
          <w:bCs/>
          <w:color w:val="auto"/>
          <w:kern w:val="0"/>
          <w:sz w:val="24"/>
          <w:szCs w:val="20"/>
          <w:u w:val="none" w:color="auto"/>
          <w:lang w:val="en-US" w:eastAsia="zh-CN"/>
        </w:rPr>
        <w:t>0</w:t>
      </w:r>
      <w:r>
        <w:rPr>
          <w:rFonts w:ascii="Times New Roman" w:hAnsi="Times New Roman" w:eastAsia="宋体" w:cs="Times New Roman"/>
          <w:bCs/>
          <w:color w:val="auto"/>
          <w:kern w:val="0"/>
          <w:sz w:val="24"/>
          <w:szCs w:val="20"/>
          <w:u w:val="none" w:color="auto"/>
        </w:rPr>
        <w:t>%，</w:t>
      </w:r>
      <w:r>
        <w:rPr>
          <w:rFonts w:hint="eastAsia" w:ascii="Times New Roman" w:hAnsi="Times New Roman" w:eastAsia="宋体" w:cs="Times New Roman"/>
          <w:bCs/>
          <w:color w:val="auto"/>
          <w:kern w:val="0"/>
          <w:sz w:val="24"/>
          <w:szCs w:val="20"/>
          <w:u w:val="none" w:color="auto"/>
        </w:rPr>
        <w:t>除尘效率</w:t>
      </w:r>
      <w:r>
        <w:rPr>
          <w:rFonts w:ascii="Times New Roman" w:hAnsi="Times New Roman" w:eastAsia="宋体" w:cs="Times New Roman"/>
          <w:bCs/>
          <w:color w:val="auto"/>
          <w:kern w:val="0"/>
          <w:sz w:val="24"/>
          <w:szCs w:val="20"/>
          <w:u w:val="none" w:color="auto"/>
        </w:rPr>
        <w:t>取9</w:t>
      </w:r>
      <w:r>
        <w:rPr>
          <w:rFonts w:hint="eastAsia" w:ascii="Times New Roman" w:hAnsi="Times New Roman" w:eastAsia="宋体" w:cs="Times New Roman"/>
          <w:bCs/>
          <w:color w:val="auto"/>
          <w:kern w:val="0"/>
          <w:sz w:val="24"/>
          <w:szCs w:val="20"/>
          <w:u w:val="none" w:color="auto"/>
          <w:lang w:val="en-US" w:eastAsia="zh-CN"/>
        </w:rPr>
        <w:t>8</w:t>
      </w:r>
      <w:r>
        <w:rPr>
          <w:rFonts w:ascii="Times New Roman" w:hAnsi="Times New Roman" w:eastAsia="宋体" w:cs="Times New Roman"/>
          <w:bCs/>
          <w:color w:val="auto"/>
          <w:kern w:val="0"/>
          <w:sz w:val="24"/>
          <w:szCs w:val="20"/>
          <w:u w:val="none" w:color="auto"/>
        </w:rPr>
        <w:t>%）</w:t>
      </w:r>
      <w:r>
        <w:rPr>
          <w:rFonts w:hint="eastAsia" w:ascii="Times New Roman" w:hAnsi="Times New Roman" w:eastAsia="宋体" w:cs="Times New Roman"/>
          <w:bCs/>
          <w:color w:val="auto"/>
          <w:kern w:val="0"/>
          <w:sz w:val="24"/>
          <w:szCs w:val="20"/>
          <w:u w:val="none" w:color="auto"/>
        </w:rPr>
        <w:t>处理，达标尾气</w:t>
      </w:r>
      <w:r>
        <w:rPr>
          <w:rFonts w:ascii="Times New Roman" w:hAnsi="Times New Roman" w:eastAsia="宋体" w:cs="Times New Roman"/>
          <w:bCs/>
          <w:color w:val="auto"/>
          <w:kern w:val="0"/>
          <w:sz w:val="24"/>
          <w:szCs w:val="20"/>
          <w:u w:val="none" w:color="auto"/>
        </w:rPr>
        <w:t>通过</w:t>
      </w:r>
      <w:r>
        <w:rPr>
          <w:rFonts w:hint="eastAsia" w:ascii="Times New Roman" w:hAnsi="Times New Roman" w:eastAsia="宋体" w:cs="Times New Roman"/>
          <w:bCs/>
          <w:color w:val="auto"/>
          <w:kern w:val="0"/>
          <w:sz w:val="24"/>
          <w:szCs w:val="20"/>
          <w:u w:val="none" w:color="auto"/>
        </w:rPr>
        <w:t>1根</w:t>
      </w:r>
      <w:r>
        <w:rPr>
          <w:rFonts w:hint="eastAsia" w:ascii="Times New Roman" w:hAnsi="Times New Roman" w:eastAsia="宋体" w:cs="Times New Roman"/>
          <w:bCs/>
          <w:color w:val="auto"/>
          <w:kern w:val="0"/>
          <w:sz w:val="24"/>
          <w:szCs w:val="20"/>
          <w:u w:val="none" w:color="auto"/>
          <w:lang w:eastAsia="zh-CN"/>
        </w:rPr>
        <w:t>30m</w:t>
      </w:r>
      <w:r>
        <w:rPr>
          <w:rFonts w:ascii="Times New Roman" w:hAnsi="Times New Roman" w:eastAsia="宋体" w:cs="Times New Roman"/>
          <w:bCs/>
          <w:color w:val="auto"/>
          <w:kern w:val="0"/>
          <w:sz w:val="24"/>
          <w:szCs w:val="20"/>
          <w:u w:val="none" w:color="auto"/>
        </w:rPr>
        <w:t>高排气筒（</w:t>
      </w:r>
      <w:r>
        <w:rPr>
          <w:rFonts w:hint="eastAsia" w:ascii="Times New Roman" w:hAnsi="Times New Roman" w:eastAsia="宋体" w:cs="Times New Roman"/>
          <w:bCs/>
          <w:color w:val="auto"/>
          <w:kern w:val="0"/>
          <w:sz w:val="24"/>
          <w:szCs w:val="20"/>
          <w:u w:val="none" w:color="auto"/>
          <w:lang w:val="en-US" w:eastAsia="zh-CN"/>
        </w:rPr>
        <w:t>DA001</w:t>
      </w:r>
      <w:r>
        <w:rPr>
          <w:rFonts w:ascii="Times New Roman" w:hAnsi="Times New Roman" w:eastAsia="宋体" w:cs="Times New Roman"/>
          <w:bCs/>
          <w:color w:val="auto"/>
          <w:kern w:val="0"/>
          <w:sz w:val="24"/>
          <w:szCs w:val="20"/>
          <w:u w:val="none" w:color="auto"/>
        </w:rPr>
        <w:t>排气筒）排放</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有组织</w:t>
      </w:r>
      <w:r>
        <w:rPr>
          <w:rFonts w:hint="eastAsia" w:ascii="Times New Roman" w:hAnsi="Times New Roman" w:eastAsia="宋体" w:cs="Times New Roman"/>
          <w:bCs/>
          <w:color w:val="auto"/>
          <w:kern w:val="0"/>
          <w:sz w:val="24"/>
          <w:szCs w:val="20"/>
          <w:u w:val="none" w:color="auto"/>
        </w:rPr>
        <w:t>颗粒物</w:t>
      </w:r>
      <w:r>
        <w:rPr>
          <w:rFonts w:ascii="Times New Roman" w:hAnsi="Times New Roman" w:eastAsia="宋体" w:cs="Times New Roman"/>
          <w:bCs/>
          <w:color w:val="auto"/>
          <w:kern w:val="0"/>
          <w:sz w:val="24"/>
          <w:szCs w:val="20"/>
          <w:u w:val="none" w:color="auto"/>
        </w:rPr>
        <w:t>排放速率为</w:t>
      </w:r>
      <w:r>
        <w:rPr>
          <w:rFonts w:hint="eastAsia" w:ascii="Times New Roman" w:hAnsi="Times New Roman" w:eastAsia="宋体" w:cs="Times New Roman"/>
          <w:bCs/>
          <w:color w:val="auto"/>
          <w:kern w:val="0"/>
          <w:sz w:val="24"/>
          <w:szCs w:val="20"/>
          <w:u w:val="none" w:color="auto"/>
          <w:lang w:val="en-US" w:eastAsia="zh-CN"/>
        </w:rPr>
        <w:t>0.577</w:t>
      </w:r>
      <w:r>
        <w:rPr>
          <w:rFonts w:ascii="Times New Roman" w:hAnsi="Times New Roman" w:eastAsia="宋体" w:cs="Times New Roman"/>
          <w:bCs/>
          <w:color w:val="auto"/>
          <w:kern w:val="0"/>
          <w:sz w:val="24"/>
          <w:szCs w:val="20"/>
          <w:u w:val="none" w:color="auto"/>
        </w:rPr>
        <w:t>kg/h，排放浓度为</w:t>
      </w:r>
      <w:r>
        <w:rPr>
          <w:rFonts w:hint="eastAsia" w:ascii="Times New Roman" w:hAnsi="Times New Roman" w:eastAsia="宋体" w:cs="Times New Roman"/>
          <w:bCs/>
          <w:color w:val="auto"/>
          <w:kern w:val="0"/>
          <w:sz w:val="24"/>
          <w:szCs w:val="20"/>
          <w:u w:val="none" w:color="auto"/>
          <w:lang w:val="en-US" w:eastAsia="zh-CN"/>
        </w:rPr>
        <w:t>9.617</w:t>
      </w:r>
      <w:r>
        <w:rPr>
          <w:rFonts w:ascii="Times New Roman" w:hAnsi="Times New Roman" w:eastAsia="宋体" w:cs="Times New Roman"/>
          <w:bCs/>
          <w:color w:val="auto"/>
          <w:kern w:val="0"/>
          <w:sz w:val="24"/>
          <w:szCs w:val="20"/>
          <w:u w:val="none" w:color="auto"/>
        </w:rPr>
        <w:t>mg/m</w:t>
      </w:r>
      <w:r>
        <w:rPr>
          <w:rFonts w:ascii="Times New Roman" w:hAnsi="Times New Roman" w:eastAsia="宋体" w:cs="Times New Roman"/>
          <w:bCs/>
          <w:color w:val="auto"/>
          <w:kern w:val="0"/>
          <w:sz w:val="24"/>
          <w:szCs w:val="20"/>
          <w:u w:val="none" w:color="auto"/>
          <w:vertAlign w:val="superscript"/>
        </w:rPr>
        <w:t>3</w:t>
      </w:r>
      <w:r>
        <w:rPr>
          <w:rFonts w:ascii="Times New Roman" w:hAnsi="Times New Roman" w:eastAsia="宋体" w:cs="Times New Roman"/>
          <w:bCs/>
          <w:color w:val="auto"/>
          <w:kern w:val="0"/>
          <w:sz w:val="24"/>
          <w:szCs w:val="20"/>
          <w:u w:val="none" w:color="auto"/>
        </w:rPr>
        <w:t xml:space="preserve">，满足《大气污染物综合排放标准》（GB16297-1996）表2中的二级标准要求。 </w:t>
      </w:r>
    </w:p>
    <w:p w14:paraId="661E8179">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滤筒</w:t>
      </w:r>
      <w:r>
        <w:rPr>
          <w:rFonts w:hint="eastAsia" w:ascii="Times New Roman" w:hAnsi="Times New Roman" w:eastAsia="宋体" w:cs="Times New Roman"/>
          <w:bCs/>
          <w:color w:val="auto"/>
          <w:kern w:val="0"/>
          <w:sz w:val="24"/>
          <w:szCs w:val="20"/>
          <w:u w:val="none" w:color="auto"/>
        </w:rPr>
        <w:t>式</w:t>
      </w:r>
      <w:r>
        <w:rPr>
          <w:rFonts w:ascii="Times New Roman" w:hAnsi="Times New Roman" w:eastAsia="宋体" w:cs="Times New Roman"/>
          <w:bCs/>
          <w:color w:val="auto"/>
          <w:kern w:val="0"/>
          <w:sz w:val="24"/>
          <w:szCs w:val="20"/>
          <w:u w:val="none" w:color="auto"/>
        </w:rPr>
        <w:t>除尘器的结构是由进风管、排风管、箱体、灰斗、清灰装置、导流装置、气流分流分布板、滤筒及电控装置组成。其工作原理是：</w:t>
      </w:r>
      <w:r>
        <w:rPr>
          <w:rFonts w:hint="eastAsia" w:ascii="Times New Roman" w:hAnsi="Times New Roman" w:eastAsia="宋体" w:cs="Times New Roman"/>
          <w:bCs/>
          <w:color w:val="auto"/>
          <w:kern w:val="0"/>
          <w:sz w:val="24"/>
          <w:szCs w:val="20"/>
          <w:u w:val="none" w:color="auto"/>
        </w:rPr>
        <w:t>含尘空气由顶部入口进入</w:t>
      </w:r>
      <w:r>
        <w:rPr>
          <w:rFonts w:ascii="Times New Roman" w:hAnsi="Times New Roman" w:eastAsia="宋体" w:cs="Times New Roman"/>
          <w:bCs/>
          <w:color w:val="auto"/>
          <w:kern w:val="0"/>
          <w:sz w:val="24"/>
          <w:szCs w:val="20"/>
          <w:u w:val="none" w:color="auto"/>
        </w:rPr>
        <w:t>滤筒</w:t>
      </w:r>
      <w:r>
        <w:rPr>
          <w:rFonts w:hint="eastAsia" w:ascii="Times New Roman" w:hAnsi="Times New Roman" w:eastAsia="宋体" w:cs="Times New Roman"/>
          <w:bCs/>
          <w:color w:val="auto"/>
          <w:kern w:val="0"/>
          <w:sz w:val="24"/>
          <w:szCs w:val="20"/>
          <w:u w:val="none" w:color="auto"/>
        </w:rPr>
        <w:t>式除尘器，并通过滤筒。粉尘被捕集在过滤筒外表面，清洁空气则经由滤筒中心进入清洁空气室，再经出口排出。滤筒清灰时，固态控制定时器将自动选择一对滤筒进行清灰。控制器将操纵电磁阀，以打开一个空气隔膜阀，高压空气冲入所选滤筒中心，把捕集在滤件表面上的粉尘吹扫一清。粉尘则随主气流所趋，并在重力作用下向下落入尘斗中。</w:t>
      </w:r>
    </w:p>
    <w:p w14:paraId="4D61EF19">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color w:val="auto"/>
          <w:sz w:val="24"/>
          <w:szCs w:val="24"/>
          <w:u w:val="single" w:color="auto"/>
        </w:rPr>
        <w:t>参考《排放源统计调查产排污核算方法和系数手册》</w:t>
      </w:r>
      <w:r>
        <w:rPr>
          <w:rFonts w:hint="eastAsia" w:ascii="Times New Roman" w:hAnsi="Times New Roman" w:eastAsia="宋体" w:cs="Times New Roman"/>
          <w:color w:val="auto"/>
          <w:sz w:val="24"/>
          <w:szCs w:val="24"/>
          <w:u w:val="single" w:color="auto"/>
        </w:rPr>
        <w:t>中“</w:t>
      </w:r>
      <w:r>
        <w:rPr>
          <w:rFonts w:hint="default" w:ascii="Times New Roman" w:hAnsi="Times New Roman" w:eastAsia="宋体" w:cs="Times New Roman"/>
          <w:color w:val="auto"/>
          <w:sz w:val="24"/>
          <w:szCs w:val="24"/>
          <w:u w:val="single" w:color="auto"/>
        </w:rPr>
        <w:t>33 金属制品业、34 通用设备制造业、35 专用设备制造业、36 汽车制造业</w:t>
      </w:r>
      <w:r>
        <w:rPr>
          <w:rFonts w:hint="eastAsia" w:ascii="Times New Roman" w:hAnsi="Times New Roman" w:eastAsia="宋体"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rPr>
        <w:t>06预处理</w:t>
      </w:r>
      <w:r>
        <w:rPr>
          <w:rFonts w:ascii="Times New Roman" w:hAnsi="Times New Roman" w:eastAsia="宋体" w:cs="Times New Roman"/>
          <w:color w:val="auto"/>
          <w:sz w:val="24"/>
          <w:szCs w:val="24"/>
          <w:u w:val="single" w:color="auto"/>
        </w:rPr>
        <w:t>中</w:t>
      </w:r>
      <w:r>
        <w:rPr>
          <w:rFonts w:hint="eastAsia" w:ascii="Times New Roman" w:hAnsi="Times New Roman" w:eastAsia="宋体" w:cs="Times New Roman"/>
          <w:color w:val="auto"/>
          <w:sz w:val="24"/>
          <w:szCs w:val="24"/>
          <w:u w:val="single" w:color="auto"/>
        </w:rPr>
        <w:t>喷砂中</w:t>
      </w:r>
      <w:r>
        <w:rPr>
          <w:rFonts w:hint="eastAsia" w:ascii="Times New Roman" w:hAnsi="Times New Roman" w:eastAsia="宋体" w:cs="Times New Roman"/>
          <w:color w:val="auto"/>
          <w:sz w:val="24"/>
          <w:szCs w:val="24"/>
          <w:u w:val="single" w:color="auto"/>
          <w:lang w:val="en-US" w:eastAsia="zh-CN"/>
        </w:rPr>
        <w:t>单筒（多筒并联）旋风</w:t>
      </w:r>
      <w:r>
        <w:rPr>
          <w:rFonts w:hint="eastAsia" w:ascii="Times New Roman" w:hAnsi="Times New Roman" w:eastAsia="宋体" w:cs="Times New Roman"/>
          <w:color w:val="auto"/>
          <w:sz w:val="24"/>
          <w:szCs w:val="24"/>
          <w:u w:val="single" w:color="auto"/>
        </w:rPr>
        <w:t>的处理效率为</w:t>
      </w:r>
      <w:r>
        <w:rPr>
          <w:rFonts w:hint="eastAsia" w:ascii="Times New Roman" w:hAnsi="Times New Roman" w:eastAsia="宋体" w:cs="Times New Roman"/>
          <w:color w:val="auto"/>
          <w:sz w:val="24"/>
          <w:szCs w:val="24"/>
          <w:u w:val="single" w:color="auto"/>
          <w:lang w:val="en-US" w:eastAsia="zh-CN"/>
        </w:rPr>
        <w:t>60</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rPr>
        <w:t>袋式除尘器的处理效率为95%</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则旋风除尘器+</w:t>
      </w:r>
      <w:r>
        <w:rPr>
          <w:rFonts w:ascii="Times New Roman" w:hAnsi="Times New Roman" w:eastAsia="宋体" w:cs="Times New Roman"/>
          <w:color w:val="auto"/>
          <w:sz w:val="24"/>
          <w:szCs w:val="24"/>
          <w:u w:val="single" w:color="auto"/>
        </w:rPr>
        <w:t>滤筒除尘器</w:t>
      </w:r>
      <w:r>
        <w:rPr>
          <w:rFonts w:hint="eastAsia" w:ascii="Times New Roman" w:hAnsi="Times New Roman" w:eastAsia="宋体" w:cs="Times New Roman"/>
          <w:color w:val="auto"/>
          <w:sz w:val="24"/>
          <w:szCs w:val="24"/>
          <w:u w:val="single" w:color="auto"/>
          <w:lang w:val="en-US" w:eastAsia="zh-CN"/>
        </w:rPr>
        <w:t>处理效率为98%，本项目处理效率取98%。</w:t>
      </w:r>
      <w:r>
        <w:rPr>
          <w:rFonts w:hint="eastAsia" w:ascii="Times New Roman" w:hAnsi="Times New Roman" w:eastAsia="宋体" w:cs="Times New Roman"/>
          <w:bCs/>
          <w:color w:val="auto"/>
          <w:kern w:val="0"/>
          <w:sz w:val="24"/>
          <w:szCs w:val="20"/>
          <w:u w:val="none" w:color="auto"/>
        </w:rPr>
        <w:t>抛丸和喷砂废气经</w:t>
      </w:r>
      <w:r>
        <w:rPr>
          <w:rFonts w:hint="eastAsia" w:ascii="Times New Roman" w:hAnsi="Times New Roman" w:eastAsia="宋体" w:cs="Times New Roman"/>
          <w:bCs/>
          <w:color w:val="auto"/>
          <w:kern w:val="0"/>
          <w:sz w:val="24"/>
          <w:szCs w:val="20"/>
          <w:u w:val="none" w:color="auto"/>
          <w:lang w:val="en-US" w:eastAsia="zh-CN"/>
        </w:rPr>
        <w:t>旋风除尘+</w:t>
      </w:r>
      <w:r>
        <w:rPr>
          <w:rFonts w:hint="eastAsia" w:ascii="Times New Roman" w:hAnsi="Times New Roman" w:eastAsia="宋体" w:cs="Times New Roman"/>
          <w:bCs/>
          <w:color w:val="auto"/>
          <w:kern w:val="0"/>
          <w:sz w:val="24"/>
          <w:szCs w:val="20"/>
          <w:u w:val="none" w:color="auto"/>
        </w:rPr>
        <w:t>滤筒除尘器除尘后</w:t>
      </w:r>
      <w:r>
        <w:rPr>
          <w:rFonts w:ascii="Times New Roman" w:hAnsi="Times New Roman" w:eastAsia="宋体" w:cs="Times New Roman"/>
          <w:bCs/>
          <w:color w:val="auto"/>
          <w:kern w:val="0"/>
          <w:sz w:val="24"/>
          <w:szCs w:val="20"/>
          <w:u w:val="none" w:color="auto"/>
        </w:rPr>
        <w:t>，对周围环境影响较小。</w:t>
      </w:r>
    </w:p>
    <w:p w14:paraId="7BD6A5A0">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2、</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 xml:space="preserve">废气 </w:t>
      </w:r>
    </w:p>
    <w:p w14:paraId="0651633C">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 xml:space="preserve">（1）源头削减及过程控制措施 </w:t>
      </w:r>
    </w:p>
    <w:p w14:paraId="287E2F53">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本项目使用的含VOCs原辅材料均为低VOCs含量原辅材料，且喷漆工艺中采用高压无气喷涂</w:t>
      </w:r>
      <w:r>
        <w:rPr>
          <w:rFonts w:hint="eastAsia" w:ascii="Times New Roman" w:hAnsi="Times New Roman" w:eastAsia="宋体" w:cs="Times New Roman"/>
          <w:bCs/>
          <w:color w:val="auto"/>
          <w:kern w:val="0"/>
          <w:sz w:val="24"/>
          <w:szCs w:val="20"/>
          <w:u w:val="none" w:color="auto"/>
        </w:rPr>
        <w:t>枪</w:t>
      </w:r>
      <w:r>
        <w:rPr>
          <w:rFonts w:ascii="Times New Roman" w:hAnsi="Times New Roman" w:eastAsia="宋体" w:cs="Times New Roman"/>
          <w:bCs/>
          <w:color w:val="auto"/>
          <w:kern w:val="0"/>
          <w:sz w:val="24"/>
          <w:szCs w:val="20"/>
          <w:u w:val="none" w:color="auto"/>
        </w:rPr>
        <w:t>进行喷涂，从源头上削减了原辅材料的损失量，从而减少了VOCs的排放；项目</w:t>
      </w:r>
      <w:r>
        <w:rPr>
          <w:rFonts w:hint="eastAsia" w:ascii="Times New Roman" w:hAnsi="Times New Roman" w:eastAsia="宋体" w:cs="Times New Roman"/>
          <w:bCs/>
          <w:color w:val="auto"/>
          <w:kern w:val="0"/>
          <w:sz w:val="24"/>
          <w:szCs w:val="20"/>
          <w:u w:val="none" w:color="auto"/>
        </w:rPr>
        <w:t>油漆</w:t>
      </w:r>
      <w:r>
        <w:rPr>
          <w:rFonts w:ascii="Times New Roman" w:hAnsi="Times New Roman" w:eastAsia="宋体" w:cs="Times New Roman"/>
          <w:bCs/>
          <w:color w:val="auto"/>
          <w:kern w:val="0"/>
          <w:sz w:val="24"/>
          <w:szCs w:val="20"/>
          <w:u w:val="none" w:color="auto"/>
        </w:rPr>
        <w:t>均密</w:t>
      </w:r>
      <w:r>
        <w:rPr>
          <w:rFonts w:hint="eastAsia" w:ascii="Times New Roman" w:hAnsi="Times New Roman" w:eastAsia="宋体" w:cs="Times New Roman"/>
          <w:bCs/>
          <w:color w:val="auto"/>
          <w:kern w:val="0"/>
          <w:sz w:val="24"/>
          <w:szCs w:val="20"/>
          <w:u w:val="none" w:color="auto"/>
        </w:rPr>
        <w:t>封</w:t>
      </w:r>
      <w:r>
        <w:rPr>
          <w:rFonts w:ascii="Times New Roman" w:hAnsi="Times New Roman" w:eastAsia="宋体" w:cs="Times New Roman"/>
          <w:bCs/>
          <w:color w:val="auto"/>
          <w:kern w:val="0"/>
          <w:sz w:val="24"/>
          <w:szCs w:val="20"/>
          <w:u w:val="none" w:color="auto"/>
        </w:rPr>
        <w:t>储存于</w:t>
      </w:r>
      <w:r>
        <w:rPr>
          <w:rFonts w:hint="eastAsia" w:ascii="Times New Roman" w:hAnsi="Times New Roman" w:eastAsia="宋体" w:cs="Times New Roman"/>
          <w:bCs/>
          <w:color w:val="auto"/>
          <w:kern w:val="0"/>
          <w:sz w:val="24"/>
          <w:szCs w:val="20"/>
          <w:u w:val="none" w:color="auto"/>
          <w:lang w:eastAsia="zh-CN"/>
        </w:rPr>
        <w:t>涂装车间</w:t>
      </w:r>
      <w:r>
        <w:rPr>
          <w:rFonts w:hint="eastAsia" w:ascii="Times New Roman" w:hAnsi="Times New Roman" w:eastAsia="宋体" w:cs="Times New Roman"/>
          <w:bCs/>
          <w:color w:val="auto"/>
          <w:kern w:val="0"/>
          <w:sz w:val="24"/>
          <w:szCs w:val="20"/>
          <w:u w:val="none" w:color="auto"/>
        </w:rPr>
        <w:t>的</w:t>
      </w:r>
      <w:r>
        <w:rPr>
          <w:rFonts w:ascii="Times New Roman" w:hAnsi="Times New Roman" w:eastAsia="宋体" w:cs="Times New Roman"/>
          <w:bCs/>
          <w:color w:val="auto"/>
          <w:kern w:val="0"/>
          <w:sz w:val="24"/>
          <w:szCs w:val="20"/>
          <w:u w:val="none" w:color="auto"/>
        </w:rPr>
        <w:t>油漆</w:t>
      </w:r>
      <w:r>
        <w:rPr>
          <w:rFonts w:hint="eastAsia" w:ascii="Times New Roman" w:hAnsi="Times New Roman" w:eastAsia="宋体" w:cs="Times New Roman"/>
          <w:bCs/>
          <w:color w:val="auto"/>
          <w:kern w:val="0"/>
          <w:sz w:val="24"/>
          <w:szCs w:val="20"/>
          <w:u w:val="none" w:color="auto"/>
        </w:rPr>
        <w:t>储存区</w:t>
      </w:r>
      <w:r>
        <w:rPr>
          <w:rFonts w:ascii="Times New Roman" w:hAnsi="Times New Roman" w:eastAsia="宋体" w:cs="Times New Roman"/>
          <w:bCs/>
          <w:color w:val="auto"/>
          <w:kern w:val="0"/>
          <w:sz w:val="24"/>
          <w:szCs w:val="20"/>
          <w:u w:val="none" w:color="auto"/>
        </w:rPr>
        <w:t>内，</w:t>
      </w:r>
      <w:r>
        <w:rPr>
          <w:rFonts w:hint="eastAsia" w:ascii="Times New Roman" w:hAnsi="Times New Roman" w:eastAsia="宋体" w:cs="Times New Roman"/>
          <w:bCs/>
          <w:color w:val="auto"/>
          <w:kern w:val="0"/>
          <w:sz w:val="24"/>
          <w:szCs w:val="20"/>
          <w:u w:val="none" w:color="auto"/>
        </w:rPr>
        <w:t>油漆</w:t>
      </w:r>
      <w:r>
        <w:rPr>
          <w:rFonts w:ascii="Times New Roman" w:hAnsi="Times New Roman" w:eastAsia="宋体" w:cs="Times New Roman"/>
          <w:bCs/>
          <w:color w:val="auto"/>
          <w:kern w:val="0"/>
          <w:sz w:val="24"/>
          <w:szCs w:val="20"/>
          <w:u w:val="none" w:color="auto"/>
        </w:rPr>
        <w:t>的调配过程在密闭</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内操作，喷漆工序在密闭</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内进行，</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内产生的漆雾和有机废气采用“</w:t>
      </w:r>
      <w:r>
        <w:rPr>
          <w:rFonts w:hint="eastAsia" w:ascii="Times New Roman" w:hAnsi="Times New Roman" w:eastAsia="宋体" w:cs="Times New Roman"/>
          <w:bCs/>
          <w:color w:val="auto"/>
          <w:kern w:val="0"/>
          <w:sz w:val="24"/>
          <w:szCs w:val="20"/>
          <w:u w:val="none" w:color="auto"/>
        </w:rPr>
        <w:t>干式过滤</w:t>
      </w:r>
      <w:r>
        <w:rPr>
          <w:rFonts w:ascii="Times New Roman" w:hAnsi="Times New Roman" w:eastAsia="宋体" w:cs="Times New Roman"/>
          <w:bCs/>
          <w:color w:val="auto"/>
          <w:kern w:val="0"/>
          <w:sz w:val="24"/>
          <w:szCs w:val="20"/>
          <w:u w:val="none" w:color="auto"/>
        </w:rPr>
        <w:t>+活性炭吸附</w:t>
      </w:r>
      <w:r>
        <w:rPr>
          <w:rFonts w:hint="eastAsia" w:ascii="Times New Roman" w:hAnsi="Times New Roman" w:eastAsia="宋体" w:cs="Times New Roman"/>
          <w:bCs/>
          <w:color w:val="auto"/>
          <w:kern w:val="0"/>
          <w:sz w:val="24"/>
          <w:szCs w:val="20"/>
          <w:u w:val="none" w:color="auto"/>
        </w:rPr>
        <w:t>+解吸脱附</w:t>
      </w:r>
      <w:r>
        <w:rPr>
          <w:rFonts w:ascii="Times New Roman" w:hAnsi="Times New Roman" w:eastAsia="宋体" w:cs="Times New Roman"/>
          <w:bCs/>
          <w:color w:val="auto"/>
          <w:kern w:val="0"/>
          <w:sz w:val="24"/>
          <w:szCs w:val="20"/>
          <w:u w:val="none" w:color="auto"/>
        </w:rPr>
        <w:t>+催化燃烧”处理装置处理后</w:t>
      </w:r>
      <w:r>
        <w:rPr>
          <w:rFonts w:hint="eastAsia" w:ascii="Times New Roman" w:hAnsi="Times New Roman" w:eastAsia="宋体" w:cs="Times New Roman"/>
          <w:bCs/>
          <w:color w:val="auto"/>
          <w:kern w:val="0"/>
          <w:sz w:val="24"/>
          <w:szCs w:val="20"/>
          <w:u w:val="none" w:color="auto"/>
        </w:rPr>
        <w:t>通过</w:t>
      </w:r>
      <w:r>
        <w:rPr>
          <w:rFonts w:ascii="Times New Roman" w:hAnsi="Times New Roman" w:eastAsia="宋体" w:cs="Times New Roman"/>
          <w:bCs/>
          <w:color w:val="auto"/>
          <w:kern w:val="0"/>
          <w:sz w:val="24"/>
          <w:szCs w:val="20"/>
          <w:u w:val="none" w:color="auto"/>
        </w:rPr>
        <w:t>一根</w:t>
      </w:r>
      <w:r>
        <w:rPr>
          <w:rFonts w:hint="eastAsia" w:ascii="Times New Roman" w:hAnsi="Times New Roman" w:eastAsia="宋体" w:cs="Times New Roman"/>
          <w:bCs/>
          <w:color w:val="auto"/>
          <w:kern w:val="0"/>
          <w:sz w:val="24"/>
          <w:szCs w:val="20"/>
          <w:u w:val="none" w:color="auto"/>
          <w:lang w:eastAsia="zh-CN"/>
        </w:rPr>
        <w:t>30m</w:t>
      </w:r>
      <w:r>
        <w:rPr>
          <w:rFonts w:ascii="Times New Roman" w:hAnsi="Times New Roman" w:eastAsia="宋体" w:cs="Times New Roman"/>
          <w:bCs/>
          <w:color w:val="auto"/>
          <w:kern w:val="0"/>
          <w:sz w:val="24"/>
          <w:szCs w:val="20"/>
          <w:u w:val="none" w:color="auto"/>
        </w:rPr>
        <w:t>高排气筒（</w:t>
      </w:r>
      <w:r>
        <w:rPr>
          <w:rFonts w:hint="eastAsia" w:ascii="Times New Roman" w:hAnsi="Times New Roman" w:eastAsia="宋体" w:cs="Times New Roman"/>
          <w:bCs/>
          <w:color w:val="auto"/>
          <w:kern w:val="0"/>
          <w:sz w:val="24"/>
          <w:szCs w:val="20"/>
          <w:u w:val="none" w:color="auto"/>
          <w:lang w:val="en-US" w:eastAsia="zh-CN"/>
        </w:rPr>
        <w:t>DA002</w:t>
      </w:r>
      <w:r>
        <w:rPr>
          <w:rFonts w:ascii="Times New Roman" w:hAnsi="Times New Roman" w:eastAsia="宋体" w:cs="Times New Roman"/>
          <w:bCs/>
          <w:color w:val="auto"/>
          <w:kern w:val="0"/>
          <w:sz w:val="24"/>
          <w:szCs w:val="20"/>
          <w:u w:val="none" w:color="auto"/>
        </w:rPr>
        <w:t>排气筒）排放</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工艺流程见下图</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 xml:space="preserve"> </w:t>
      </w:r>
    </w:p>
    <w:p w14:paraId="7A13F71F">
      <w:pPr>
        <w:autoSpaceDE w:val="0"/>
        <w:autoSpaceDN w:val="0"/>
        <w:spacing w:line="360" w:lineRule="auto"/>
        <w:jc w:val="center"/>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drawing>
          <wp:inline distT="0" distB="0" distL="114300" distR="114300">
            <wp:extent cx="5270500" cy="1093470"/>
            <wp:effectExtent l="0" t="0" r="2540" b="3810"/>
            <wp:docPr id="13" name="图片 13" descr="微信截图_202107110753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截图_20210711075319副本"/>
                    <pic:cNvPicPr>
                      <a:picLocks noChangeAspect="1"/>
                    </pic:cNvPicPr>
                  </pic:nvPicPr>
                  <pic:blipFill>
                    <a:blip r:embed="rId83"/>
                    <a:stretch>
                      <a:fillRect/>
                    </a:stretch>
                  </pic:blipFill>
                  <pic:spPr>
                    <a:xfrm>
                      <a:off x="0" y="0"/>
                      <a:ext cx="5270500" cy="1093470"/>
                    </a:xfrm>
                    <a:prstGeom prst="rect">
                      <a:avLst/>
                    </a:prstGeom>
                  </pic:spPr>
                </pic:pic>
              </a:graphicData>
            </a:graphic>
          </wp:inline>
        </w:drawing>
      </w:r>
    </w:p>
    <w:p w14:paraId="743E3B62">
      <w:pPr>
        <w:autoSpaceDE w:val="0"/>
        <w:autoSpaceDN w:val="0"/>
        <w:spacing w:line="360" w:lineRule="auto"/>
        <w:jc w:val="center"/>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图 5.</w:t>
      </w:r>
      <w:r>
        <w:rPr>
          <w:rFonts w:hint="eastAsia" w:ascii="Times New Roman" w:hAnsi="Times New Roman" w:eastAsia="宋体" w:cs="Times New Roman"/>
          <w:bCs/>
          <w:color w:val="auto"/>
          <w:kern w:val="0"/>
          <w:sz w:val="24"/>
          <w:szCs w:val="20"/>
          <w:u w:val="none" w:color="auto"/>
        </w:rPr>
        <w:t>2</w:t>
      </w:r>
      <w:r>
        <w:rPr>
          <w:rFonts w:ascii="Times New Roman" w:hAnsi="Times New Roman" w:eastAsia="宋体" w:cs="Times New Roman"/>
          <w:bCs/>
          <w:color w:val="auto"/>
          <w:kern w:val="0"/>
          <w:sz w:val="24"/>
          <w:szCs w:val="20"/>
          <w:u w:val="none" w:color="auto"/>
        </w:rPr>
        <w:t>-1 喷漆废气</w:t>
      </w:r>
      <w:r>
        <w:rPr>
          <w:rFonts w:hint="eastAsia" w:ascii="Times New Roman" w:hAnsi="Times New Roman" w:eastAsia="宋体" w:cs="Times New Roman"/>
          <w:bCs/>
          <w:color w:val="auto"/>
          <w:kern w:val="0"/>
          <w:sz w:val="24"/>
          <w:szCs w:val="20"/>
          <w:u w:val="none" w:color="auto"/>
        </w:rPr>
        <w:t>治理措施工艺</w:t>
      </w:r>
      <w:r>
        <w:rPr>
          <w:rFonts w:ascii="Times New Roman" w:hAnsi="Times New Roman" w:eastAsia="宋体" w:cs="Times New Roman"/>
          <w:bCs/>
          <w:color w:val="auto"/>
          <w:kern w:val="0"/>
          <w:sz w:val="24"/>
          <w:szCs w:val="20"/>
          <w:u w:val="none" w:color="auto"/>
        </w:rPr>
        <w:t>流程图</w:t>
      </w:r>
    </w:p>
    <w:p w14:paraId="2FF644C9">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single" w:color="auto"/>
        </w:rPr>
      </w:pPr>
      <w:r>
        <w:rPr>
          <w:rFonts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single" w:color="auto"/>
        </w:rPr>
        <w:t xml:space="preserve">2）达标可行性分析 </w:t>
      </w:r>
    </w:p>
    <w:p w14:paraId="46CD5240">
      <w:pPr>
        <w:autoSpaceDE w:val="0"/>
        <w:autoSpaceDN w:val="0"/>
        <w:spacing w:line="360" w:lineRule="auto"/>
        <w:ind w:firstLine="480" w:firstLineChars="200"/>
        <w:rPr>
          <w:rFonts w:ascii="Times New Roman" w:hAnsi="Times New Roman" w:eastAsia="宋体" w:cs="Times New Roman"/>
          <w:bCs/>
          <w:color w:val="auto"/>
          <w:kern w:val="0"/>
          <w:sz w:val="24"/>
          <w:szCs w:val="20"/>
          <w:u w:val="single" w:color="auto"/>
        </w:rPr>
      </w:pPr>
      <w:r>
        <w:rPr>
          <w:rFonts w:hint="eastAsia" w:ascii="Times New Roman" w:hAnsi="Times New Roman" w:eastAsia="宋体" w:cs="Times New Roman"/>
          <w:bCs/>
          <w:color w:val="auto"/>
          <w:kern w:val="0"/>
          <w:sz w:val="24"/>
          <w:szCs w:val="20"/>
          <w:u w:val="single" w:color="auto"/>
        </w:rPr>
        <w:t>项目采用“干式过滤+活性炭吸附+解吸脱附+催化燃烧”工艺处理喷漆废气后，颗粒物排放速率</w:t>
      </w:r>
      <w:r>
        <w:rPr>
          <w:rFonts w:hint="eastAsia" w:ascii="Times New Roman" w:hAnsi="Times New Roman" w:eastAsia="宋体" w:cs="Times New Roman"/>
          <w:bCs/>
          <w:color w:val="auto"/>
          <w:kern w:val="0"/>
          <w:sz w:val="24"/>
          <w:szCs w:val="20"/>
          <w:u w:val="single" w:color="auto"/>
          <w:lang w:val="en-US" w:eastAsia="zh-CN"/>
        </w:rPr>
        <w:t>2.493</w:t>
      </w:r>
      <w:r>
        <w:rPr>
          <w:rFonts w:hint="eastAsia" w:ascii="Times New Roman" w:hAnsi="Times New Roman" w:eastAsia="宋体" w:cs="Times New Roman"/>
          <w:bCs/>
          <w:color w:val="auto"/>
          <w:kern w:val="0"/>
          <w:sz w:val="24"/>
          <w:szCs w:val="20"/>
          <w:u w:val="single" w:color="auto"/>
        </w:rPr>
        <w:t>kg/h，排放浓度为</w:t>
      </w:r>
      <w:r>
        <w:rPr>
          <w:rFonts w:hint="eastAsia" w:ascii="Times New Roman" w:hAnsi="Times New Roman" w:eastAsia="宋体" w:cs="Times New Roman"/>
          <w:bCs/>
          <w:color w:val="auto"/>
          <w:kern w:val="0"/>
          <w:sz w:val="24"/>
          <w:szCs w:val="20"/>
          <w:u w:val="single" w:color="auto"/>
          <w:lang w:val="en-US" w:eastAsia="zh-CN"/>
        </w:rPr>
        <w:t>34.625</w:t>
      </w:r>
      <w:r>
        <w:rPr>
          <w:rFonts w:hint="eastAsia" w:ascii="Times New Roman" w:hAnsi="Times New Roman" w:eastAsia="宋体" w:cs="Times New Roman"/>
          <w:bCs/>
          <w:color w:val="auto"/>
          <w:kern w:val="0"/>
          <w:sz w:val="24"/>
          <w:szCs w:val="20"/>
          <w:u w:val="single" w:color="auto"/>
        </w:rPr>
        <w:t>mg/m</w:t>
      </w:r>
      <w:r>
        <w:rPr>
          <w:rFonts w:hint="eastAsia" w:ascii="Times New Roman" w:hAnsi="Times New Roman" w:eastAsia="宋体" w:cs="Times New Roman"/>
          <w:bCs/>
          <w:color w:val="auto"/>
          <w:kern w:val="0"/>
          <w:sz w:val="24"/>
          <w:szCs w:val="20"/>
          <w:u w:val="single" w:color="auto"/>
          <w:vertAlign w:val="superscript"/>
        </w:rPr>
        <w:t>3</w:t>
      </w:r>
      <w:r>
        <w:rPr>
          <w:rFonts w:hint="eastAsia" w:ascii="Times New Roman" w:hAnsi="Times New Roman" w:eastAsia="宋体" w:cs="Times New Roman"/>
          <w:bCs/>
          <w:color w:val="auto"/>
          <w:kern w:val="0"/>
          <w:sz w:val="24"/>
          <w:szCs w:val="20"/>
          <w:u w:val="single" w:color="auto"/>
        </w:rPr>
        <w:t>；非甲烷总烃排放速率为</w:t>
      </w:r>
      <w:r>
        <w:rPr>
          <w:rFonts w:hint="eastAsia" w:ascii="Times New Roman" w:hAnsi="Times New Roman" w:eastAsia="宋体" w:cs="Times New Roman"/>
          <w:bCs/>
          <w:color w:val="auto"/>
          <w:kern w:val="0"/>
          <w:sz w:val="24"/>
          <w:szCs w:val="20"/>
          <w:u w:val="single" w:color="auto"/>
          <w:lang w:val="en-US" w:eastAsia="zh-CN"/>
        </w:rPr>
        <w:t>0.8543</w:t>
      </w:r>
      <w:r>
        <w:rPr>
          <w:rFonts w:hint="eastAsia" w:ascii="Times New Roman" w:hAnsi="Times New Roman" w:eastAsia="宋体" w:cs="Times New Roman"/>
          <w:bCs/>
          <w:color w:val="auto"/>
          <w:kern w:val="0"/>
          <w:sz w:val="24"/>
          <w:szCs w:val="20"/>
          <w:u w:val="single" w:color="auto"/>
        </w:rPr>
        <w:t>kg/h，排放浓度为</w:t>
      </w:r>
      <w:r>
        <w:rPr>
          <w:rFonts w:hint="eastAsia" w:ascii="Times New Roman" w:hAnsi="Times New Roman" w:eastAsia="宋体" w:cs="Times New Roman"/>
          <w:bCs/>
          <w:color w:val="auto"/>
          <w:kern w:val="0"/>
          <w:sz w:val="24"/>
          <w:szCs w:val="20"/>
          <w:u w:val="single" w:color="auto"/>
          <w:lang w:val="en-US" w:eastAsia="zh-CN"/>
        </w:rPr>
        <w:t>11.865</w:t>
      </w:r>
      <w:r>
        <w:rPr>
          <w:rFonts w:hint="eastAsia" w:ascii="Times New Roman" w:hAnsi="Times New Roman" w:eastAsia="宋体" w:cs="Times New Roman"/>
          <w:bCs/>
          <w:color w:val="auto"/>
          <w:kern w:val="0"/>
          <w:sz w:val="24"/>
          <w:szCs w:val="20"/>
          <w:u w:val="single" w:color="auto"/>
        </w:rPr>
        <w:t>mg/m</w:t>
      </w:r>
      <w:r>
        <w:rPr>
          <w:rFonts w:hint="eastAsia" w:ascii="Times New Roman" w:hAnsi="Times New Roman" w:eastAsia="宋体" w:cs="Times New Roman"/>
          <w:bCs/>
          <w:color w:val="auto"/>
          <w:kern w:val="0"/>
          <w:sz w:val="24"/>
          <w:szCs w:val="20"/>
          <w:u w:val="single" w:color="auto"/>
          <w:vertAlign w:val="superscript"/>
        </w:rPr>
        <w:t>3</w:t>
      </w:r>
      <w:r>
        <w:rPr>
          <w:rFonts w:hint="eastAsia" w:ascii="Times New Roman" w:hAnsi="Times New Roman" w:eastAsia="宋体" w:cs="Times New Roman"/>
          <w:bCs/>
          <w:color w:val="auto"/>
          <w:kern w:val="0"/>
          <w:sz w:val="24"/>
          <w:szCs w:val="20"/>
          <w:u w:val="single" w:color="auto"/>
        </w:rPr>
        <w:t>；甲苯排放速率为0.0</w:t>
      </w:r>
      <w:r>
        <w:rPr>
          <w:rFonts w:hint="eastAsia" w:ascii="Times New Roman" w:hAnsi="Times New Roman" w:eastAsia="宋体" w:cs="Times New Roman"/>
          <w:bCs/>
          <w:color w:val="auto"/>
          <w:kern w:val="0"/>
          <w:sz w:val="24"/>
          <w:szCs w:val="20"/>
          <w:u w:val="single" w:color="auto"/>
          <w:lang w:val="en-US" w:eastAsia="zh-CN"/>
        </w:rPr>
        <w:t>01</w:t>
      </w:r>
      <w:r>
        <w:rPr>
          <w:rFonts w:hint="eastAsia" w:ascii="Times New Roman" w:hAnsi="Times New Roman" w:eastAsia="宋体" w:cs="Times New Roman"/>
          <w:bCs/>
          <w:color w:val="auto"/>
          <w:kern w:val="0"/>
          <w:sz w:val="24"/>
          <w:szCs w:val="20"/>
          <w:u w:val="single" w:color="auto"/>
        </w:rPr>
        <w:t>kg/h，排放浓度为0.</w:t>
      </w:r>
      <w:r>
        <w:rPr>
          <w:rFonts w:hint="eastAsia" w:ascii="Times New Roman" w:hAnsi="Times New Roman" w:eastAsia="宋体" w:cs="Times New Roman"/>
          <w:bCs/>
          <w:color w:val="auto"/>
          <w:kern w:val="0"/>
          <w:sz w:val="24"/>
          <w:szCs w:val="20"/>
          <w:u w:val="single" w:color="auto"/>
          <w:lang w:val="en-US" w:eastAsia="zh-CN"/>
        </w:rPr>
        <w:t>014</w:t>
      </w:r>
      <w:r>
        <w:rPr>
          <w:rFonts w:hint="eastAsia" w:ascii="Times New Roman" w:hAnsi="Times New Roman" w:eastAsia="宋体" w:cs="Times New Roman"/>
          <w:bCs/>
          <w:color w:val="auto"/>
          <w:kern w:val="0"/>
          <w:sz w:val="24"/>
          <w:szCs w:val="20"/>
          <w:u w:val="single" w:color="auto"/>
        </w:rPr>
        <w:t>mg/m</w:t>
      </w:r>
      <w:r>
        <w:rPr>
          <w:rFonts w:hint="eastAsia" w:ascii="Times New Roman" w:hAnsi="Times New Roman" w:eastAsia="宋体" w:cs="Times New Roman"/>
          <w:bCs/>
          <w:color w:val="auto"/>
          <w:kern w:val="0"/>
          <w:sz w:val="24"/>
          <w:szCs w:val="20"/>
          <w:u w:val="single" w:color="auto"/>
          <w:vertAlign w:val="superscript"/>
        </w:rPr>
        <w:t>3</w:t>
      </w:r>
      <w:r>
        <w:rPr>
          <w:rFonts w:hint="eastAsia" w:ascii="Times New Roman" w:hAnsi="Times New Roman" w:eastAsia="宋体" w:cs="Times New Roman"/>
          <w:bCs/>
          <w:color w:val="auto"/>
          <w:kern w:val="0"/>
          <w:sz w:val="24"/>
          <w:szCs w:val="20"/>
          <w:u w:val="single" w:color="auto"/>
        </w:rPr>
        <w:t>；二甲苯排放速率为0.</w:t>
      </w:r>
      <w:r>
        <w:rPr>
          <w:rFonts w:hint="eastAsia" w:ascii="Times New Roman" w:hAnsi="Times New Roman" w:eastAsia="宋体" w:cs="Times New Roman"/>
          <w:bCs/>
          <w:color w:val="auto"/>
          <w:kern w:val="0"/>
          <w:sz w:val="24"/>
          <w:szCs w:val="20"/>
          <w:u w:val="single" w:color="auto"/>
          <w:lang w:val="en-US" w:eastAsia="zh-CN"/>
        </w:rPr>
        <w:t>474</w:t>
      </w:r>
      <w:r>
        <w:rPr>
          <w:rFonts w:hint="eastAsia" w:ascii="Times New Roman" w:hAnsi="Times New Roman" w:eastAsia="宋体" w:cs="Times New Roman"/>
          <w:bCs/>
          <w:color w:val="auto"/>
          <w:kern w:val="0"/>
          <w:sz w:val="24"/>
          <w:szCs w:val="20"/>
          <w:u w:val="single" w:color="auto"/>
        </w:rPr>
        <w:t>kg/h，排放浓度为</w:t>
      </w:r>
      <w:r>
        <w:rPr>
          <w:rFonts w:hint="eastAsia" w:ascii="Times New Roman" w:hAnsi="Times New Roman" w:eastAsia="宋体" w:cs="Times New Roman"/>
          <w:bCs/>
          <w:color w:val="auto"/>
          <w:kern w:val="0"/>
          <w:sz w:val="24"/>
          <w:szCs w:val="20"/>
          <w:u w:val="single" w:color="auto"/>
          <w:lang w:val="en-US" w:eastAsia="zh-CN"/>
        </w:rPr>
        <w:t>6.583</w:t>
      </w:r>
      <w:r>
        <w:rPr>
          <w:rFonts w:hint="eastAsia" w:ascii="Times New Roman" w:hAnsi="Times New Roman" w:eastAsia="宋体" w:cs="Times New Roman"/>
          <w:bCs/>
          <w:color w:val="auto"/>
          <w:kern w:val="0"/>
          <w:sz w:val="24"/>
          <w:szCs w:val="20"/>
          <w:u w:val="single" w:color="auto"/>
        </w:rPr>
        <w:t>mg/m</w:t>
      </w:r>
      <w:r>
        <w:rPr>
          <w:rFonts w:hint="eastAsia" w:ascii="Times New Roman" w:hAnsi="Times New Roman" w:eastAsia="宋体" w:cs="Times New Roman"/>
          <w:bCs/>
          <w:color w:val="auto"/>
          <w:kern w:val="0"/>
          <w:sz w:val="24"/>
          <w:szCs w:val="20"/>
          <w:u w:val="single" w:color="auto"/>
          <w:vertAlign w:val="superscript"/>
        </w:rPr>
        <w:t>3</w:t>
      </w:r>
      <w:r>
        <w:rPr>
          <w:rFonts w:hint="eastAsia" w:ascii="Times New Roman" w:hAnsi="Times New Roman" w:eastAsia="宋体" w:cs="Times New Roman"/>
          <w:bCs/>
          <w:color w:val="auto"/>
          <w:kern w:val="0"/>
          <w:sz w:val="24"/>
          <w:szCs w:val="20"/>
          <w:u w:val="single" w:color="auto"/>
        </w:rPr>
        <w:t>，均</w:t>
      </w:r>
      <w:r>
        <w:rPr>
          <w:rFonts w:ascii="Times New Roman" w:hAnsi="Times New Roman" w:eastAsia="宋体" w:cs="Times New Roman"/>
          <w:bCs/>
          <w:color w:val="auto"/>
          <w:kern w:val="0"/>
          <w:sz w:val="24"/>
          <w:szCs w:val="20"/>
          <w:u w:val="single" w:color="auto"/>
        </w:rPr>
        <w:t>满足《大气污染物综合排放标准》（GB16297-1996）表2中的二级标准要求。</w:t>
      </w:r>
      <w:r>
        <w:rPr>
          <w:rFonts w:hint="eastAsia" w:ascii="Times New Roman" w:hAnsi="Times New Roman" w:eastAsia="宋体" w:cs="Times New Roman"/>
          <w:bCs/>
          <w:color w:val="auto"/>
          <w:kern w:val="0"/>
          <w:sz w:val="24"/>
          <w:szCs w:val="20"/>
          <w:u w:val="single" w:color="auto"/>
        </w:rPr>
        <w:t>项目类比情况详见下表：</w:t>
      </w:r>
    </w:p>
    <w:p w14:paraId="04CF88F5">
      <w:pPr>
        <w:pStyle w:val="65"/>
        <w:spacing w:line="240" w:lineRule="auto"/>
        <w:rPr>
          <w:color w:val="auto"/>
          <w:sz w:val="21"/>
          <w:szCs w:val="21"/>
          <w:u w:val="none" w:color="auto"/>
        </w:rPr>
      </w:pPr>
      <w:r>
        <w:rPr>
          <w:rFonts w:hint="eastAsia"/>
          <w:color w:val="auto"/>
          <w:sz w:val="21"/>
          <w:szCs w:val="21"/>
          <w:u w:val="none" w:color="auto"/>
        </w:rPr>
        <w:t>表5.2-1  项目处理设施与同类型项目对比情况一览表</w:t>
      </w:r>
    </w:p>
    <w:tbl>
      <w:tblPr>
        <w:tblStyle w:val="38"/>
        <w:tblW w:w="82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1667"/>
        <w:gridCol w:w="1047"/>
        <w:gridCol w:w="1013"/>
        <w:gridCol w:w="711"/>
        <w:gridCol w:w="1322"/>
        <w:gridCol w:w="789"/>
      </w:tblGrid>
      <w:tr w14:paraId="7AA63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Align w:val="center"/>
          </w:tcPr>
          <w:p w14:paraId="41AE3910">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项目名称</w:t>
            </w:r>
          </w:p>
        </w:tc>
        <w:tc>
          <w:tcPr>
            <w:tcW w:w="1667" w:type="dxa"/>
            <w:vAlign w:val="center"/>
          </w:tcPr>
          <w:p w14:paraId="7C3D12E7">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eastAsia="zh-CN"/>
              </w:rPr>
              <w:t>涂装车间</w:t>
            </w:r>
            <w:r>
              <w:rPr>
                <w:rFonts w:ascii="Times New Roman" w:hAnsi="Times New Roman" w:eastAsia="宋体" w:cs="Times New Roman"/>
                <w:color w:val="auto"/>
                <w:szCs w:val="21"/>
                <w:u w:val="single" w:color="auto"/>
              </w:rPr>
              <w:t>处</w:t>
            </w:r>
          </w:p>
          <w:p w14:paraId="03DA851B">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理措施</w:t>
            </w:r>
          </w:p>
        </w:tc>
        <w:tc>
          <w:tcPr>
            <w:tcW w:w="1047" w:type="dxa"/>
            <w:vAlign w:val="center"/>
          </w:tcPr>
          <w:p w14:paraId="72A020D0">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监测时间</w:t>
            </w:r>
          </w:p>
        </w:tc>
        <w:tc>
          <w:tcPr>
            <w:tcW w:w="1724" w:type="dxa"/>
            <w:gridSpan w:val="2"/>
            <w:vAlign w:val="center"/>
          </w:tcPr>
          <w:p w14:paraId="52FEE3DD">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进口最大浓度（mg/m</w:t>
            </w:r>
            <w:r>
              <w:rPr>
                <w:rFonts w:ascii="Times New Roman" w:hAnsi="Times New Roman" w:eastAsia="宋体" w:cs="Times New Roman"/>
                <w:color w:val="auto"/>
                <w:szCs w:val="21"/>
                <w:u w:val="single" w:color="auto"/>
                <w:vertAlign w:val="superscript"/>
              </w:rPr>
              <w:t>3</w:t>
            </w:r>
            <w:r>
              <w:rPr>
                <w:rFonts w:ascii="Times New Roman" w:hAnsi="Times New Roman" w:eastAsia="宋体" w:cs="Times New Roman"/>
                <w:color w:val="auto"/>
                <w:szCs w:val="21"/>
                <w:u w:val="single" w:color="auto"/>
              </w:rPr>
              <w:t>）</w:t>
            </w:r>
          </w:p>
        </w:tc>
        <w:tc>
          <w:tcPr>
            <w:tcW w:w="1322" w:type="dxa"/>
            <w:vAlign w:val="center"/>
          </w:tcPr>
          <w:p w14:paraId="79F45530">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最大排放浓度（mg/m</w:t>
            </w:r>
            <w:r>
              <w:rPr>
                <w:rFonts w:ascii="Times New Roman" w:hAnsi="Times New Roman" w:eastAsia="宋体" w:cs="Times New Roman"/>
                <w:color w:val="auto"/>
                <w:szCs w:val="21"/>
                <w:u w:val="single" w:color="auto"/>
                <w:vertAlign w:val="superscript"/>
              </w:rPr>
              <w:t>3</w:t>
            </w:r>
            <w:r>
              <w:rPr>
                <w:rFonts w:ascii="Times New Roman" w:hAnsi="Times New Roman" w:eastAsia="宋体" w:cs="Times New Roman"/>
                <w:color w:val="auto"/>
                <w:szCs w:val="21"/>
                <w:u w:val="single" w:color="auto"/>
              </w:rPr>
              <w:t>）</w:t>
            </w:r>
          </w:p>
        </w:tc>
        <w:tc>
          <w:tcPr>
            <w:tcW w:w="789" w:type="dxa"/>
            <w:vAlign w:val="center"/>
          </w:tcPr>
          <w:p w14:paraId="4EACF3C8">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处理效率</w:t>
            </w:r>
          </w:p>
        </w:tc>
      </w:tr>
      <w:tr w14:paraId="3C5BA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restart"/>
            <w:vAlign w:val="center"/>
          </w:tcPr>
          <w:p w14:paraId="1EBC4C7C">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山东呈祥电气有限公司风塔生产项目竣工环境保护验收报告</w:t>
            </w:r>
          </w:p>
        </w:tc>
        <w:tc>
          <w:tcPr>
            <w:tcW w:w="1667" w:type="dxa"/>
            <w:vMerge w:val="restart"/>
            <w:vAlign w:val="center"/>
          </w:tcPr>
          <w:p w14:paraId="49945980">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干式漆雾过滤装置+活性炭纤维吸附脱附+催化燃烧装置</w:t>
            </w:r>
          </w:p>
        </w:tc>
        <w:tc>
          <w:tcPr>
            <w:tcW w:w="1047" w:type="dxa"/>
            <w:vMerge w:val="restart"/>
            <w:vAlign w:val="center"/>
          </w:tcPr>
          <w:p w14:paraId="3D46C0BC">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2019.12.6-12.7</w:t>
            </w:r>
          </w:p>
        </w:tc>
        <w:tc>
          <w:tcPr>
            <w:tcW w:w="1013" w:type="dxa"/>
            <w:vAlign w:val="center"/>
          </w:tcPr>
          <w:p w14:paraId="7F75F269">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VOC</w:t>
            </w:r>
            <w:r>
              <w:rPr>
                <w:rFonts w:ascii="Times New Roman" w:hAnsi="Times New Roman" w:eastAsia="宋体" w:cs="Times New Roman"/>
                <w:color w:val="auto"/>
                <w:szCs w:val="21"/>
                <w:u w:val="single" w:color="auto"/>
                <w:vertAlign w:val="subscript"/>
              </w:rPr>
              <w:t>S</w:t>
            </w:r>
          </w:p>
        </w:tc>
        <w:tc>
          <w:tcPr>
            <w:tcW w:w="711" w:type="dxa"/>
            <w:vAlign w:val="center"/>
          </w:tcPr>
          <w:p w14:paraId="4D534F49">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96.1</w:t>
            </w:r>
          </w:p>
        </w:tc>
        <w:tc>
          <w:tcPr>
            <w:tcW w:w="1322" w:type="dxa"/>
            <w:vAlign w:val="center"/>
          </w:tcPr>
          <w:p w14:paraId="459DF87D">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4.81</w:t>
            </w:r>
          </w:p>
        </w:tc>
        <w:tc>
          <w:tcPr>
            <w:tcW w:w="789" w:type="dxa"/>
            <w:vAlign w:val="center"/>
          </w:tcPr>
          <w:p w14:paraId="700D9C5D">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95%</w:t>
            </w:r>
          </w:p>
        </w:tc>
      </w:tr>
      <w:tr w14:paraId="6CCEC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continue"/>
            <w:vAlign w:val="center"/>
          </w:tcPr>
          <w:p w14:paraId="328FDCFC">
            <w:pPr>
              <w:pStyle w:val="35"/>
              <w:spacing w:after="0"/>
              <w:ind w:firstLine="0" w:firstLineChars="0"/>
              <w:jc w:val="center"/>
              <w:rPr>
                <w:rFonts w:ascii="Times New Roman" w:hAnsi="Times New Roman" w:eastAsia="宋体" w:cs="Times New Roman"/>
                <w:color w:val="auto"/>
                <w:szCs w:val="21"/>
                <w:u w:val="single" w:color="auto"/>
              </w:rPr>
            </w:pPr>
          </w:p>
        </w:tc>
        <w:tc>
          <w:tcPr>
            <w:tcW w:w="1667" w:type="dxa"/>
            <w:vMerge w:val="continue"/>
            <w:vAlign w:val="center"/>
          </w:tcPr>
          <w:p w14:paraId="4F9F7AED">
            <w:pPr>
              <w:pStyle w:val="35"/>
              <w:spacing w:after="0"/>
              <w:ind w:firstLine="0" w:firstLineChars="0"/>
              <w:jc w:val="center"/>
              <w:rPr>
                <w:rFonts w:ascii="Times New Roman" w:hAnsi="Times New Roman" w:eastAsia="宋体" w:cs="Times New Roman"/>
                <w:color w:val="auto"/>
                <w:szCs w:val="21"/>
                <w:u w:val="single" w:color="auto"/>
              </w:rPr>
            </w:pPr>
          </w:p>
        </w:tc>
        <w:tc>
          <w:tcPr>
            <w:tcW w:w="1047" w:type="dxa"/>
            <w:vMerge w:val="continue"/>
            <w:vAlign w:val="center"/>
          </w:tcPr>
          <w:p w14:paraId="312C247C">
            <w:pPr>
              <w:pStyle w:val="35"/>
              <w:spacing w:after="0"/>
              <w:ind w:firstLine="0" w:firstLineChars="0"/>
              <w:jc w:val="center"/>
              <w:rPr>
                <w:rFonts w:ascii="Times New Roman" w:hAnsi="Times New Roman" w:eastAsia="宋体" w:cs="Times New Roman"/>
                <w:color w:val="auto"/>
                <w:szCs w:val="21"/>
                <w:u w:val="single" w:color="auto"/>
              </w:rPr>
            </w:pPr>
          </w:p>
        </w:tc>
        <w:tc>
          <w:tcPr>
            <w:tcW w:w="1013" w:type="dxa"/>
            <w:vAlign w:val="center"/>
          </w:tcPr>
          <w:p w14:paraId="6705AA86">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颗粒物</w:t>
            </w:r>
          </w:p>
        </w:tc>
        <w:tc>
          <w:tcPr>
            <w:tcW w:w="711" w:type="dxa"/>
            <w:vAlign w:val="center"/>
          </w:tcPr>
          <w:p w14:paraId="3F00AC58">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133</w:t>
            </w:r>
          </w:p>
        </w:tc>
        <w:tc>
          <w:tcPr>
            <w:tcW w:w="1322" w:type="dxa"/>
            <w:vAlign w:val="center"/>
          </w:tcPr>
          <w:p w14:paraId="2B659DFB">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4.8</w:t>
            </w:r>
          </w:p>
        </w:tc>
        <w:tc>
          <w:tcPr>
            <w:tcW w:w="789" w:type="dxa"/>
            <w:vAlign w:val="center"/>
          </w:tcPr>
          <w:p w14:paraId="1DFDEFB9">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96.4%</w:t>
            </w:r>
          </w:p>
        </w:tc>
      </w:tr>
      <w:tr w14:paraId="785EE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continue"/>
            <w:vAlign w:val="center"/>
          </w:tcPr>
          <w:p w14:paraId="204180C7">
            <w:pPr>
              <w:pStyle w:val="35"/>
              <w:spacing w:after="0"/>
              <w:ind w:firstLine="0" w:firstLineChars="0"/>
              <w:jc w:val="center"/>
              <w:rPr>
                <w:rFonts w:ascii="Times New Roman" w:hAnsi="Times New Roman" w:eastAsia="宋体" w:cs="Times New Roman"/>
                <w:color w:val="auto"/>
                <w:szCs w:val="21"/>
                <w:u w:val="single" w:color="auto"/>
              </w:rPr>
            </w:pPr>
          </w:p>
        </w:tc>
        <w:tc>
          <w:tcPr>
            <w:tcW w:w="1667" w:type="dxa"/>
            <w:vMerge w:val="continue"/>
            <w:vAlign w:val="center"/>
          </w:tcPr>
          <w:p w14:paraId="52BBF30A">
            <w:pPr>
              <w:pStyle w:val="35"/>
              <w:spacing w:after="0"/>
              <w:ind w:firstLine="0" w:firstLineChars="0"/>
              <w:jc w:val="center"/>
              <w:rPr>
                <w:rFonts w:ascii="Times New Roman" w:hAnsi="Times New Roman" w:eastAsia="宋体" w:cs="Times New Roman"/>
                <w:color w:val="auto"/>
                <w:szCs w:val="21"/>
                <w:u w:val="single" w:color="auto"/>
              </w:rPr>
            </w:pPr>
          </w:p>
        </w:tc>
        <w:tc>
          <w:tcPr>
            <w:tcW w:w="1047" w:type="dxa"/>
            <w:vMerge w:val="continue"/>
            <w:vAlign w:val="center"/>
          </w:tcPr>
          <w:p w14:paraId="429F66AC">
            <w:pPr>
              <w:pStyle w:val="35"/>
              <w:spacing w:after="0"/>
              <w:ind w:firstLine="0" w:firstLineChars="0"/>
              <w:jc w:val="center"/>
              <w:rPr>
                <w:rFonts w:ascii="Times New Roman" w:hAnsi="Times New Roman" w:eastAsia="宋体" w:cs="Times New Roman"/>
                <w:color w:val="auto"/>
                <w:szCs w:val="21"/>
                <w:u w:val="single" w:color="auto"/>
              </w:rPr>
            </w:pPr>
          </w:p>
        </w:tc>
        <w:tc>
          <w:tcPr>
            <w:tcW w:w="1013" w:type="dxa"/>
            <w:vAlign w:val="center"/>
          </w:tcPr>
          <w:p w14:paraId="6B9A35C9">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二甲苯</w:t>
            </w:r>
          </w:p>
        </w:tc>
        <w:tc>
          <w:tcPr>
            <w:tcW w:w="711" w:type="dxa"/>
            <w:vAlign w:val="center"/>
          </w:tcPr>
          <w:p w14:paraId="6A5AD47D">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0.394</w:t>
            </w:r>
          </w:p>
        </w:tc>
        <w:tc>
          <w:tcPr>
            <w:tcW w:w="1322" w:type="dxa"/>
            <w:vAlign w:val="center"/>
          </w:tcPr>
          <w:p w14:paraId="76B747AA">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0.020</w:t>
            </w:r>
          </w:p>
        </w:tc>
        <w:tc>
          <w:tcPr>
            <w:tcW w:w="789" w:type="dxa"/>
            <w:vAlign w:val="center"/>
          </w:tcPr>
          <w:p w14:paraId="12199B47">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95%</w:t>
            </w:r>
          </w:p>
        </w:tc>
      </w:tr>
      <w:tr w14:paraId="1FA4B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restart"/>
            <w:vAlign w:val="center"/>
          </w:tcPr>
          <w:p w14:paraId="2DFFAD37">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lang w:eastAsia="zh-CN"/>
              </w:rPr>
              <w:t>钦州锦峰海洋重工年产20万吨海洋重装项目</w:t>
            </w:r>
            <w:r>
              <w:rPr>
                <w:rFonts w:ascii="Times New Roman" w:hAnsi="Times New Roman" w:eastAsia="宋体" w:cs="Times New Roman"/>
                <w:color w:val="auto"/>
                <w:szCs w:val="21"/>
                <w:u w:val="single" w:color="auto"/>
              </w:rPr>
              <w:t>竣工环境保护验收监测报告</w:t>
            </w:r>
          </w:p>
        </w:tc>
        <w:tc>
          <w:tcPr>
            <w:tcW w:w="1667" w:type="dxa"/>
            <w:vMerge w:val="restart"/>
            <w:vAlign w:val="center"/>
          </w:tcPr>
          <w:p w14:paraId="4D52B52A">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干式过滤+活性炭吸附+解吸脱附+催化燃烧</w:t>
            </w:r>
          </w:p>
        </w:tc>
        <w:tc>
          <w:tcPr>
            <w:tcW w:w="1047" w:type="dxa"/>
            <w:vMerge w:val="restart"/>
            <w:vAlign w:val="center"/>
          </w:tcPr>
          <w:p w14:paraId="00EAC130">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20</w:t>
            </w:r>
            <w:r>
              <w:rPr>
                <w:rFonts w:hint="eastAsia" w:ascii="Times New Roman" w:hAnsi="Times New Roman" w:eastAsia="宋体" w:cs="Times New Roman"/>
                <w:color w:val="auto"/>
                <w:szCs w:val="21"/>
                <w:u w:val="single" w:color="auto"/>
                <w:lang w:val="en-US" w:eastAsia="zh-CN"/>
              </w:rPr>
              <w:t>24</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lang w:val="en-US" w:eastAsia="zh-CN"/>
              </w:rPr>
              <w:t>11</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lang w:val="en-US" w:eastAsia="zh-CN"/>
              </w:rPr>
              <w:t>5</w:t>
            </w:r>
            <w:r>
              <w:rPr>
                <w:rFonts w:ascii="Times New Roman" w:hAnsi="Times New Roman" w:eastAsia="宋体" w:cs="Times New Roman"/>
                <w:color w:val="auto"/>
                <w:szCs w:val="21"/>
                <w:u w:val="single" w:color="auto"/>
              </w:rPr>
              <w:t>-</w:t>
            </w:r>
            <w:r>
              <w:rPr>
                <w:rFonts w:hint="eastAsia" w:ascii="Times New Roman" w:hAnsi="Times New Roman" w:eastAsia="宋体" w:cs="Times New Roman"/>
                <w:color w:val="auto"/>
                <w:szCs w:val="21"/>
                <w:u w:val="single" w:color="auto"/>
                <w:lang w:val="en-US" w:eastAsia="zh-CN"/>
              </w:rPr>
              <w:t>11</w:t>
            </w:r>
            <w:r>
              <w:rPr>
                <w:rFonts w:ascii="Times New Roman" w:hAnsi="Times New Roman" w:eastAsia="宋体" w:cs="Times New Roman"/>
                <w:color w:val="auto"/>
                <w:szCs w:val="21"/>
                <w:u w:val="single" w:color="auto"/>
              </w:rPr>
              <w:t>.6</w:t>
            </w:r>
          </w:p>
        </w:tc>
        <w:tc>
          <w:tcPr>
            <w:tcW w:w="1013" w:type="dxa"/>
            <w:vAlign w:val="center"/>
          </w:tcPr>
          <w:p w14:paraId="60FCE4C9">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rPr>
              <w:t>颗粒物</w:t>
            </w:r>
          </w:p>
        </w:tc>
        <w:tc>
          <w:tcPr>
            <w:tcW w:w="711" w:type="dxa"/>
            <w:vAlign w:val="center"/>
          </w:tcPr>
          <w:p w14:paraId="717A9BEC">
            <w:pPr>
              <w:pStyle w:val="35"/>
              <w:spacing w:after="0"/>
              <w:ind w:firstLine="0" w:firstLineChars="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w:t>
            </w:r>
          </w:p>
        </w:tc>
        <w:tc>
          <w:tcPr>
            <w:tcW w:w="1322" w:type="dxa"/>
            <w:vAlign w:val="center"/>
          </w:tcPr>
          <w:p w14:paraId="465D12B4">
            <w:pPr>
              <w:pStyle w:val="35"/>
              <w:spacing w:after="0"/>
              <w:ind w:firstLine="0" w:firstLineChars="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2.5</w:t>
            </w:r>
          </w:p>
        </w:tc>
        <w:tc>
          <w:tcPr>
            <w:tcW w:w="789" w:type="dxa"/>
            <w:vAlign w:val="center"/>
          </w:tcPr>
          <w:p w14:paraId="0AEEB2BA">
            <w:pPr>
              <w:pStyle w:val="35"/>
              <w:spacing w:after="0"/>
              <w:ind w:firstLine="0" w:firstLineChars="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w:t>
            </w:r>
          </w:p>
        </w:tc>
      </w:tr>
      <w:tr w14:paraId="5BF68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continue"/>
            <w:vAlign w:val="center"/>
          </w:tcPr>
          <w:p w14:paraId="7FA980E1">
            <w:pPr>
              <w:pStyle w:val="35"/>
              <w:spacing w:after="0"/>
              <w:ind w:firstLine="0" w:firstLineChars="0"/>
              <w:jc w:val="center"/>
              <w:rPr>
                <w:rFonts w:hint="default" w:ascii="Times New Roman" w:hAnsi="Times New Roman" w:eastAsia="宋体" w:cs="Times New Roman"/>
                <w:color w:val="auto"/>
                <w:szCs w:val="21"/>
                <w:u w:val="single" w:color="auto"/>
                <w:lang w:eastAsia="zh-CN"/>
              </w:rPr>
            </w:pPr>
          </w:p>
        </w:tc>
        <w:tc>
          <w:tcPr>
            <w:tcW w:w="1667" w:type="dxa"/>
            <w:vMerge w:val="continue"/>
            <w:vAlign w:val="center"/>
          </w:tcPr>
          <w:p w14:paraId="3E8BCA34">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p>
        </w:tc>
        <w:tc>
          <w:tcPr>
            <w:tcW w:w="1047" w:type="dxa"/>
            <w:vMerge w:val="continue"/>
            <w:vAlign w:val="center"/>
          </w:tcPr>
          <w:p w14:paraId="4E801B0D">
            <w:pPr>
              <w:pStyle w:val="35"/>
              <w:spacing w:after="0"/>
              <w:ind w:firstLine="0" w:firstLineChars="0"/>
              <w:jc w:val="center"/>
              <w:rPr>
                <w:rFonts w:ascii="Times New Roman" w:hAnsi="Times New Roman" w:eastAsia="宋体" w:cs="Times New Roman"/>
                <w:color w:val="auto"/>
                <w:szCs w:val="21"/>
                <w:u w:val="single" w:color="auto"/>
              </w:rPr>
            </w:pPr>
          </w:p>
        </w:tc>
        <w:tc>
          <w:tcPr>
            <w:tcW w:w="1013" w:type="dxa"/>
            <w:vAlign w:val="center"/>
          </w:tcPr>
          <w:p w14:paraId="7DAF699E">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rPr>
              <w:t>非甲烷总烃</w:t>
            </w:r>
          </w:p>
        </w:tc>
        <w:tc>
          <w:tcPr>
            <w:tcW w:w="711" w:type="dxa"/>
            <w:vAlign w:val="center"/>
          </w:tcPr>
          <w:p w14:paraId="301A0C90">
            <w:pPr>
              <w:pStyle w:val="35"/>
              <w:spacing w:after="0"/>
              <w:ind w:firstLine="0" w:firstLineChars="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c>
          <w:tcPr>
            <w:tcW w:w="1322" w:type="dxa"/>
            <w:vAlign w:val="center"/>
          </w:tcPr>
          <w:p w14:paraId="242ACED8">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lang w:val="en-US" w:eastAsia="zh-CN"/>
              </w:rPr>
              <w:t>17.9</w:t>
            </w:r>
          </w:p>
        </w:tc>
        <w:tc>
          <w:tcPr>
            <w:tcW w:w="789" w:type="dxa"/>
            <w:vAlign w:val="center"/>
          </w:tcPr>
          <w:p w14:paraId="2C897E67">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r>
      <w:tr w14:paraId="5ECF7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continue"/>
            <w:vAlign w:val="center"/>
          </w:tcPr>
          <w:p w14:paraId="2286B41A">
            <w:pPr>
              <w:pStyle w:val="35"/>
              <w:spacing w:after="0"/>
              <w:ind w:firstLine="0" w:firstLineChars="0"/>
              <w:jc w:val="center"/>
              <w:rPr>
                <w:rFonts w:hint="default" w:ascii="Times New Roman" w:hAnsi="Times New Roman" w:eastAsia="宋体" w:cs="Times New Roman"/>
                <w:color w:val="auto"/>
                <w:szCs w:val="21"/>
                <w:u w:val="single" w:color="auto"/>
                <w:lang w:eastAsia="zh-CN"/>
              </w:rPr>
            </w:pPr>
          </w:p>
        </w:tc>
        <w:tc>
          <w:tcPr>
            <w:tcW w:w="1667" w:type="dxa"/>
            <w:vMerge w:val="continue"/>
            <w:vAlign w:val="center"/>
          </w:tcPr>
          <w:p w14:paraId="39F635AF">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p>
        </w:tc>
        <w:tc>
          <w:tcPr>
            <w:tcW w:w="1047" w:type="dxa"/>
            <w:vMerge w:val="continue"/>
            <w:vAlign w:val="center"/>
          </w:tcPr>
          <w:p w14:paraId="34E88AD9">
            <w:pPr>
              <w:pStyle w:val="35"/>
              <w:spacing w:after="0"/>
              <w:ind w:firstLine="0" w:firstLineChars="0"/>
              <w:jc w:val="center"/>
              <w:rPr>
                <w:rFonts w:ascii="Times New Roman" w:hAnsi="Times New Roman" w:eastAsia="宋体" w:cs="Times New Roman"/>
                <w:color w:val="auto"/>
                <w:szCs w:val="21"/>
                <w:u w:val="single" w:color="auto"/>
              </w:rPr>
            </w:pPr>
          </w:p>
        </w:tc>
        <w:tc>
          <w:tcPr>
            <w:tcW w:w="1013" w:type="dxa"/>
            <w:vAlign w:val="center"/>
          </w:tcPr>
          <w:p w14:paraId="5AF6D0B0">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rPr>
              <w:t>甲苯</w:t>
            </w:r>
          </w:p>
        </w:tc>
        <w:tc>
          <w:tcPr>
            <w:tcW w:w="711" w:type="dxa"/>
            <w:vAlign w:val="center"/>
          </w:tcPr>
          <w:p w14:paraId="254B510C">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c>
          <w:tcPr>
            <w:tcW w:w="1322" w:type="dxa"/>
            <w:vAlign w:val="center"/>
          </w:tcPr>
          <w:p w14:paraId="02CD27E3">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lang w:val="en-US" w:eastAsia="zh-CN"/>
              </w:rPr>
              <w:t>0.257</w:t>
            </w:r>
          </w:p>
        </w:tc>
        <w:tc>
          <w:tcPr>
            <w:tcW w:w="789" w:type="dxa"/>
            <w:vAlign w:val="center"/>
          </w:tcPr>
          <w:p w14:paraId="32881D07">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r>
      <w:tr w14:paraId="0FF1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dxa"/>
            <w:vMerge w:val="continue"/>
            <w:vAlign w:val="center"/>
          </w:tcPr>
          <w:p w14:paraId="2FE63C87">
            <w:pPr>
              <w:pStyle w:val="35"/>
              <w:spacing w:after="0"/>
              <w:ind w:firstLine="0" w:firstLineChars="0"/>
              <w:jc w:val="center"/>
              <w:rPr>
                <w:rFonts w:hint="default" w:ascii="Times New Roman" w:hAnsi="Times New Roman" w:eastAsia="宋体" w:cs="Times New Roman"/>
                <w:color w:val="auto"/>
                <w:szCs w:val="21"/>
                <w:u w:val="single" w:color="auto"/>
                <w:lang w:eastAsia="zh-CN"/>
              </w:rPr>
            </w:pPr>
          </w:p>
        </w:tc>
        <w:tc>
          <w:tcPr>
            <w:tcW w:w="1667" w:type="dxa"/>
            <w:vMerge w:val="continue"/>
            <w:vAlign w:val="center"/>
          </w:tcPr>
          <w:p w14:paraId="025B51A8">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p>
        </w:tc>
        <w:tc>
          <w:tcPr>
            <w:tcW w:w="1047" w:type="dxa"/>
            <w:vMerge w:val="continue"/>
            <w:vAlign w:val="center"/>
          </w:tcPr>
          <w:p w14:paraId="6314DDAE">
            <w:pPr>
              <w:pStyle w:val="35"/>
              <w:spacing w:after="0"/>
              <w:ind w:firstLine="0" w:firstLineChars="0"/>
              <w:jc w:val="center"/>
              <w:rPr>
                <w:rFonts w:ascii="Times New Roman" w:hAnsi="Times New Roman" w:eastAsia="宋体" w:cs="Times New Roman"/>
                <w:color w:val="auto"/>
                <w:szCs w:val="21"/>
                <w:u w:val="single" w:color="auto"/>
              </w:rPr>
            </w:pPr>
          </w:p>
        </w:tc>
        <w:tc>
          <w:tcPr>
            <w:tcW w:w="1013" w:type="dxa"/>
            <w:vAlign w:val="center"/>
          </w:tcPr>
          <w:p w14:paraId="7630C2C9">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rPr>
              <w:t>二甲苯</w:t>
            </w:r>
          </w:p>
        </w:tc>
        <w:tc>
          <w:tcPr>
            <w:tcW w:w="711" w:type="dxa"/>
            <w:vAlign w:val="center"/>
          </w:tcPr>
          <w:p w14:paraId="01AB1438">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c>
          <w:tcPr>
            <w:tcW w:w="1322" w:type="dxa"/>
            <w:vAlign w:val="center"/>
          </w:tcPr>
          <w:p w14:paraId="7DDE9243">
            <w:pPr>
              <w:pStyle w:val="35"/>
              <w:spacing w:after="0"/>
              <w:ind w:firstLine="0" w:firstLineChars="0"/>
              <w:jc w:val="center"/>
              <w:rPr>
                <w:rFonts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lang w:val="en-US" w:eastAsia="zh-CN"/>
              </w:rPr>
              <w:t>0.141</w:t>
            </w:r>
          </w:p>
        </w:tc>
        <w:tc>
          <w:tcPr>
            <w:tcW w:w="789" w:type="dxa"/>
            <w:vAlign w:val="center"/>
          </w:tcPr>
          <w:p w14:paraId="0DBC2B43">
            <w:pPr>
              <w:pStyle w:val="35"/>
              <w:spacing w:after="0"/>
              <w:ind w:firstLine="0" w:firstLineChars="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w:t>
            </w:r>
          </w:p>
        </w:tc>
      </w:tr>
    </w:tbl>
    <w:p w14:paraId="558B53E9">
      <w:pPr>
        <w:pStyle w:val="65"/>
        <w:spacing w:line="240" w:lineRule="auto"/>
        <w:rPr>
          <w:color w:val="auto"/>
          <w:sz w:val="21"/>
          <w:szCs w:val="21"/>
          <w:u w:val="none" w:color="auto"/>
        </w:rPr>
      </w:pPr>
      <w:r>
        <w:rPr>
          <w:rFonts w:hint="eastAsia"/>
          <w:color w:val="auto"/>
          <w:sz w:val="21"/>
          <w:szCs w:val="21"/>
          <w:u w:val="none" w:color="auto"/>
        </w:rPr>
        <w:t>表5.2-2 典型治理技术的经济成本及环境效益</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04"/>
        <w:gridCol w:w="1263"/>
        <w:gridCol w:w="1120"/>
        <w:gridCol w:w="1147"/>
        <w:gridCol w:w="1145"/>
        <w:gridCol w:w="1427"/>
      </w:tblGrid>
      <w:tr w14:paraId="17A8C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6" w:type="pct"/>
            <w:vAlign w:val="center"/>
          </w:tcPr>
          <w:p w14:paraId="03452D38">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治理技术</w:t>
            </w:r>
          </w:p>
        </w:tc>
        <w:tc>
          <w:tcPr>
            <w:tcW w:w="824" w:type="pct"/>
            <w:vAlign w:val="center"/>
          </w:tcPr>
          <w:p w14:paraId="40766C85">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吸附法</w:t>
            </w:r>
          </w:p>
        </w:tc>
        <w:tc>
          <w:tcPr>
            <w:tcW w:w="741" w:type="pct"/>
            <w:vAlign w:val="center"/>
          </w:tcPr>
          <w:p w14:paraId="2308A241">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吸收法</w:t>
            </w:r>
          </w:p>
        </w:tc>
        <w:tc>
          <w:tcPr>
            <w:tcW w:w="657" w:type="pct"/>
            <w:vAlign w:val="center"/>
          </w:tcPr>
          <w:p w14:paraId="22FA683F">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吸附-催化燃烧法</w:t>
            </w:r>
          </w:p>
        </w:tc>
        <w:tc>
          <w:tcPr>
            <w:tcW w:w="673" w:type="pct"/>
            <w:vAlign w:val="center"/>
          </w:tcPr>
          <w:p w14:paraId="06FA83D9">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低温等离子体法</w:t>
            </w:r>
          </w:p>
        </w:tc>
        <w:tc>
          <w:tcPr>
            <w:tcW w:w="672" w:type="pct"/>
            <w:vAlign w:val="center"/>
          </w:tcPr>
          <w:p w14:paraId="6F9ED109">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光催化</w:t>
            </w:r>
          </w:p>
          <w:p w14:paraId="109C283A">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氧化法</w:t>
            </w:r>
          </w:p>
        </w:tc>
        <w:tc>
          <w:tcPr>
            <w:tcW w:w="834" w:type="pct"/>
            <w:vAlign w:val="center"/>
          </w:tcPr>
          <w:p w14:paraId="1DBA3683">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生物法</w:t>
            </w:r>
          </w:p>
        </w:tc>
      </w:tr>
      <w:tr w14:paraId="3AEAE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6" w:type="pct"/>
            <w:vAlign w:val="center"/>
          </w:tcPr>
          <w:p w14:paraId="4EA19897">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初资投入成本（万元）</w:t>
            </w:r>
          </w:p>
        </w:tc>
        <w:tc>
          <w:tcPr>
            <w:tcW w:w="824" w:type="pct"/>
            <w:vAlign w:val="center"/>
          </w:tcPr>
          <w:p w14:paraId="60A327AA">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20-40</w:t>
            </w:r>
          </w:p>
        </w:tc>
        <w:tc>
          <w:tcPr>
            <w:tcW w:w="741" w:type="pct"/>
            <w:vAlign w:val="center"/>
          </w:tcPr>
          <w:p w14:paraId="58B90A64">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50-60</w:t>
            </w:r>
          </w:p>
        </w:tc>
        <w:tc>
          <w:tcPr>
            <w:tcW w:w="657" w:type="pct"/>
            <w:vAlign w:val="center"/>
          </w:tcPr>
          <w:p w14:paraId="10469C6E">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30-60</w:t>
            </w:r>
          </w:p>
        </w:tc>
        <w:tc>
          <w:tcPr>
            <w:tcW w:w="673" w:type="pct"/>
            <w:vAlign w:val="center"/>
          </w:tcPr>
          <w:p w14:paraId="12E6ECF5">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50-60</w:t>
            </w:r>
          </w:p>
        </w:tc>
        <w:tc>
          <w:tcPr>
            <w:tcW w:w="672" w:type="pct"/>
            <w:vAlign w:val="center"/>
          </w:tcPr>
          <w:p w14:paraId="44990005">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30-50</w:t>
            </w:r>
          </w:p>
        </w:tc>
        <w:tc>
          <w:tcPr>
            <w:tcW w:w="834" w:type="pct"/>
            <w:vAlign w:val="center"/>
          </w:tcPr>
          <w:p w14:paraId="254FDDE9">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40-60</w:t>
            </w:r>
          </w:p>
        </w:tc>
      </w:tr>
      <w:tr w14:paraId="57BE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6" w:type="pct"/>
            <w:vAlign w:val="center"/>
          </w:tcPr>
          <w:p w14:paraId="502AD441">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年运行费用（万元）</w:t>
            </w:r>
          </w:p>
        </w:tc>
        <w:tc>
          <w:tcPr>
            <w:tcW w:w="824" w:type="pct"/>
            <w:vAlign w:val="center"/>
          </w:tcPr>
          <w:p w14:paraId="642C0737">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80-100</w:t>
            </w:r>
          </w:p>
        </w:tc>
        <w:tc>
          <w:tcPr>
            <w:tcW w:w="741" w:type="pct"/>
            <w:vAlign w:val="center"/>
          </w:tcPr>
          <w:p w14:paraId="38A65ED4">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20-45</w:t>
            </w:r>
          </w:p>
        </w:tc>
        <w:tc>
          <w:tcPr>
            <w:tcW w:w="657" w:type="pct"/>
            <w:vAlign w:val="center"/>
          </w:tcPr>
          <w:p w14:paraId="127F0D8C">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10-15</w:t>
            </w:r>
          </w:p>
        </w:tc>
        <w:tc>
          <w:tcPr>
            <w:tcW w:w="673" w:type="pct"/>
            <w:vAlign w:val="center"/>
          </w:tcPr>
          <w:p w14:paraId="6189715F">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25-35</w:t>
            </w:r>
          </w:p>
        </w:tc>
        <w:tc>
          <w:tcPr>
            <w:tcW w:w="672" w:type="pct"/>
            <w:vAlign w:val="center"/>
          </w:tcPr>
          <w:p w14:paraId="42A1F995">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15-25</w:t>
            </w:r>
          </w:p>
        </w:tc>
        <w:tc>
          <w:tcPr>
            <w:tcW w:w="834" w:type="pct"/>
            <w:vAlign w:val="center"/>
          </w:tcPr>
          <w:p w14:paraId="3B389482">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15-20</w:t>
            </w:r>
          </w:p>
        </w:tc>
      </w:tr>
      <w:tr w14:paraId="081B6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6" w:type="pct"/>
            <w:vAlign w:val="center"/>
          </w:tcPr>
          <w:p w14:paraId="2A6D94FE">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可达治理效率（%）</w:t>
            </w:r>
          </w:p>
        </w:tc>
        <w:tc>
          <w:tcPr>
            <w:tcW w:w="824" w:type="pct"/>
            <w:vAlign w:val="center"/>
          </w:tcPr>
          <w:p w14:paraId="14CD3178">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50-80%</w:t>
            </w:r>
          </w:p>
        </w:tc>
        <w:tc>
          <w:tcPr>
            <w:tcW w:w="741" w:type="pct"/>
            <w:vAlign w:val="center"/>
          </w:tcPr>
          <w:p w14:paraId="0B676EDE">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60-70%</w:t>
            </w:r>
          </w:p>
        </w:tc>
        <w:tc>
          <w:tcPr>
            <w:tcW w:w="657" w:type="pct"/>
            <w:vAlign w:val="center"/>
          </w:tcPr>
          <w:p w14:paraId="05FC8EA7">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rPr>
              <w:t>95%</w:t>
            </w:r>
          </w:p>
        </w:tc>
        <w:tc>
          <w:tcPr>
            <w:tcW w:w="673" w:type="pct"/>
            <w:vAlign w:val="center"/>
          </w:tcPr>
          <w:p w14:paraId="2B2285C8">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50-90%</w:t>
            </w:r>
          </w:p>
        </w:tc>
        <w:tc>
          <w:tcPr>
            <w:tcW w:w="672" w:type="pct"/>
            <w:vAlign w:val="center"/>
          </w:tcPr>
          <w:p w14:paraId="7BED1670">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50-95%</w:t>
            </w:r>
          </w:p>
        </w:tc>
        <w:tc>
          <w:tcPr>
            <w:tcW w:w="834" w:type="pct"/>
            <w:vAlign w:val="center"/>
          </w:tcPr>
          <w:p w14:paraId="782B5C9A">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70-95%</w:t>
            </w:r>
          </w:p>
        </w:tc>
      </w:tr>
      <w:tr w14:paraId="77B06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6" w:hRule="atLeast"/>
        </w:trPr>
        <w:tc>
          <w:tcPr>
            <w:tcW w:w="596" w:type="pct"/>
            <w:vAlign w:val="center"/>
          </w:tcPr>
          <w:p w14:paraId="6F7BF06D">
            <w:pPr>
              <w:pStyle w:val="36"/>
              <w:spacing w:after="0"/>
              <w:ind w:firstLine="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存在问题</w:t>
            </w:r>
          </w:p>
        </w:tc>
        <w:tc>
          <w:tcPr>
            <w:tcW w:w="824" w:type="pct"/>
            <w:vAlign w:val="center"/>
          </w:tcPr>
          <w:p w14:paraId="1BFC4846">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1、需要及时更换活 性炭，否则治理 效率降低；</w:t>
            </w:r>
          </w:p>
          <w:p w14:paraId="4AA59267">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2、吸附后产生危险废物</w:t>
            </w:r>
          </w:p>
        </w:tc>
        <w:tc>
          <w:tcPr>
            <w:tcW w:w="741" w:type="pct"/>
            <w:vAlign w:val="center"/>
          </w:tcPr>
          <w:p w14:paraId="6EF9C63C">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 xml:space="preserve">1、产生大量废水； </w:t>
            </w:r>
          </w:p>
          <w:p w14:paraId="06522934">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2、吸收剂要求高，直接影响吸收效果</w:t>
            </w:r>
          </w:p>
        </w:tc>
        <w:tc>
          <w:tcPr>
            <w:tcW w:w="657" w:type="pct"/>
            <w:vAlign w:val="center"/>
          </w:tcPr>
          <w:p w14:paraId="1E774B31">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1、适用于低浓度大风量的有机废气；</w:t>
            </w:r>
          </w:p>
          <w:p w14:paraId="2A77A00F">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2、存在一定安全隐患</w:t>
            </w:r>
          </w:p>
        </w:tc>
        <w:tc>
          <w:tcPr>
            <w:tcW w:w="673" w:type="pct"/>
            <w:vAlign w:val="center"/>
          </w:tcPr>
          <w:p w14:paraId="56AAB4B7">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1、治理效率波动范围较大；</w:t>
            </w:r>
          </w:p>
          <w:p w14:paraId="2357AA6B">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2、可能存在二次VOCs污染</w:t>
            </w:r>
          </w:p>
        </w:tc>
        <w:tc>
          <w:tcPr>
            <w:tcW w:w="672" w:type="pct"/>
            <w:vAlign w:val="center"/>
          </w:tcPr>
          <w:p w14:paraId="2F8BD411">
            <w:pPr>
              <w:pStyle w:val="36"/>
              <w:spacing w:after="0"/>
              <w:ind w:firstLine="0"/>
              <w:jc w:val="left"/>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1、受污染物成分影响；治理效率波动范 围较大；2、催化剂易失活。</w:t>
            </w:r>
          </w:p>
          <w:p w14:paraId="7037FD6D">
            <w:pPr>
              <w:pStyle w:val="36"/>
              <w:spacing w:after="0"/>
              <w:ind w:firstLine="0"/>
              <w:jc w:val="left"/>
              <w:rPr>
                <w:rFonts w:ascii="Times New Roman" w:hAnsi="Times New Roman" w:eastAsia="宋体" w:cs="Times New Roman"/>
                <w:color w:val="auto"/>
                <w:sz w:val="21"/>
                <w:szCs w:val="21"/>
                <w:u w:val="none" w:color="auto"/>
              </w:rPr>
            </w:pPr>
          </w:p>
        </w:tc>
        <w:tc>
          <w:tcPr>
            <w:tcW w:w="834" w:type="pct"/>
            <w:vAlign w:val="center"/>
          </w:tcPr>
          <w:p w14:paraId="3303F423">
            <w:pPr>
              <w:pStyle w:val="36"/>
              <w:spacing w:after="0"/>
              <w:ind w:firstLine="0"/>
              <w:jc w:val="left"/>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1、适用于低浓度有机废气；2、对废气的选择性 较强；3、设备占地面积大，运行阻力大，能耗大</w:t>
            </w:r>
          </w:p>
        </w:tc>
      </w:tr>
      <w:tr w14:paraId="24611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vAlign w:val="center"/>
          </w:tcPr>
          <w:p w14:paraId="0AAECBA4">
            <w:pPr>
              <w:pStyle w:val="36"/>
              <w:spacing w:after="0"/>
              <w:ind w:firstLine="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备注：上述分析基于以下典型工况：废气量，30000m</w:t>
            </w:r>
            <w:r>
              <w:rPr>
                <w:rFonts w:ascii="Times New Roman" w:hAnsi="Times New Roman" w:eastAsia="宋体" w:cs="Times New Roman"/>
                <w:color w:val="auto"/>
                <w:sz w:val="21"/>
                <w:szCs w:val="21"/>
                <w:u w:val="none" w:color="auto"/>
                <w:vertAlign w:val="superscript"/>
              </w:rPr>
              <w:t>3</w:t>
            </w:r>
            <w:r>
              <w:rPr>
                <w:rFonts w:ascii="Times New Roman" w:hAnsi="Times New Roman" w:eastAsia="宋体" w:cs="Times New Roman"/>
                <w:color w:val="auto"/>
                <w:sz w:val="21"/>
                <w:szCs w:val="21"/>
                <w:u w:val="none" w:color="auto"/>
              </w:rPr>
              <w:t>/h，废气浓度：200mg/m</w:t>
            </w:r>
            <w:r>
              <w:rPr>
                <w:rFonts w:ascii="Times New Roman" w:hAnsi="Times New Roman" w:eastAsia="宋体" w:cs="Times New Roman"/>
                <w:color w:val="auto"/>
                <w:sz w:val="21"/>
                <w:szCs w:val="21"/>
                <w:u w:val="none" w:color="auto"/>
                <w:vertAlign w:val="superscript"/>
              </w:rPr>
              <w:t>3</w:t>
            </w:r>
            <w:r>
              <w:rPr>
                <w:rFonts w:ascii="Times New Roman" w:hAnsi="Times New Roman" w:eastAsia="宋体" w:cs="Times New Roman"/>
                <w:color w:val="auto"/>
                <w:sz w:val="21"/>
                <w:szCs w:val="21"/>
                <w:u w:val="none" w:color="auto"/>
              </w:rPr>
              <w:t>；VOCs成分：乙酸仲丁酯、乙酸丁酯、二甲苯、乙苯、甲苯、环己酮、乙酸正丁酯、甲基环己烷等</w:t>
            </w:r>
          </w:p>
        </w:tc>
      </w:tr>
    </w:tbl>
    <w:p w14:paraId="60FD76C7">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根据同类型装置实际运行情况类比，项目采用的喷漆废气净化处理系统装置从技术上具有可行性</w:t>
      </w:r>
      <w:r>
        <w:rPr>
          <w:rFonts w:hint="eastAsia" w:ascii="Times New Roman" w:hAnsi="Times New Roman" w:eastAsia="宋体" w:cs="Times New Roman"/>
          <w:bCs/>
          <w:color w:val="auto"/>
          <w:kern w:val="0"/>
          <w:sz w:val="24"/>
          <w:szCs w:val="20"/>
          <w:u w:val="none" w:color="auto"/>
        </w:rPr>
        <w:t>。</w:t>
      </w:r>
    </w:p>
    <w:p w14:paraId="605E87B7">
      <w:pPr>
        <w:pStyle w:val="65"/>
        <w:spacing w:line="240" w:lineRule="auto"/>
        <w:rPr>
          <w:color w:val="auto"/>
          <w:sz w:val="21"/>
          <w:szCs w:val="21"/>
          <w:u w:val="none" w:color="auto"/>
        </w:rPr>
      </w:pPr>
      <w:r>
        <w:rPr>
          <w:rFonts w:hint="eastAsia"/>
          <w:color w:val="auto"/>
          <w:sz w:val="21"/>
          <w:szCs w:val="21"/>
          <w:u w:val="none" w:color="auto"/>
        </w:rPr>
        <w:t>表5.2-3 催化燃烧法（CO）与蓄热式高温焚烧（RTO）对比情况一览表</w:t>
      </w:r>
    </w:p>
    <w:tbl>
      <w:tblPr>
        <w:tblStyle w:val="38"/>
        <w:tblW w:w="8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3478"/>
        <w:gridCol w:w="3827"/>
      </w:tblGrid>
      <w:tr w14:paraId="1294A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tcPr>
          <w:p w14:paraId="7F8A896E">
            <w:pPr>
              <w:pStyle w:val="48"/>
              <w:rPr>
                <w:rFonts w:hint="default" w:ascii="Times New Roman" w:hAnsi="Times New Roman" w:eastAsia="宋体"/>
                <w:b/>
                <w:bCs/>
                <w:color w:val="auto"/>
                <w:sz w:val="21"/>
                <w:u w:val="none" w:color="auto"/>
              </w:rPr>
            </w:pPr>
            <w:r>
              <w:rPr>
                <w:rFonts w:hint="default" w:ascii="Times New Roman" w:hAnsi="Times New Roman" w:eastAsia="宋体"/>
                <w:b/>
                <w:bCs/>
                <w:color w:val="auto"/>
                <w:sz w:val="21"/>
                <w:u w:val="none" w:color="auto"/>
              </w:rPr>
              <w:t>类别</w:t>
            </w:r>
          </w:p>
        </w:tc>
        <w:tc>
          <w:tcPr>
            <w:tcW w:w="3478" w:type="dxa"/>
          </w:tcPr>
          <w:p w14:paraId="4D753A0C">
            <w:pPr>
              <w:pStyle w:val="48"/>
              <w:rPr>
                <w:rFonts w:hint="default" w:ascii="Times New Roman" w:hAnsi="Times New Roman" w:eastAsia="宋体"/>
                <w:b/>
                <w:bCs/>
                <w:color w:val="auto"/>
                <w:sz w:val="21"/>
                <w:u w:val="none" w:color="auto"/>
              </w:rPr>
            </w:pPr>
            <w:r>
              <w:rPr>
                <w:rFonts w:hint="default" w:ascii="Times New Roman" w:hAnsi="Times New Roman" w:eastAsia="宋体"/>
                <w:b/>
                <w:bCs/>
                <w:color w:val="auto"/>
                <w:sz w:val="21"/>
                <w:u w:val="none" w:color="auto"/>
              </w:rPr>
              <w:t>催化燃烧法</w:t>
            </w:r>
            <w:r>
              <w:rPr>
                <w:rFonts w:ascii="Times New Roman" w:hAnsi="Times New Roman" w:eastAsia="宋体"/>
                <w:b/>
                <w:bCs/>
                <w:color w:val="auto"/>
                <w:sz w:val="21"/>
                <w:u w:val="none" w:color="auto"/>
              </w:rPr>
              <w:t>（</w:t>
            </w:r>
            <w:r>
              <w:rPr>
                <w:rFonts w:hint="default" w:ascii="Times New Roman" w:hAnsi="Times New Roman" w:eastAsia="宋体"/>
                <w:b/>
                <w:bCs/>
                <w:color w:val="auto"/>
                <w:sz w:val="21"/>
                <w:u w:val="none" w:color="auto"/>
              </w:rPr>
              <w:t>CO</w:t>
            </w:r>
            <w:r>
              <w:rPr>
                <w:rFonts w:ascii="Times New Roman" w:hAnsi="Times New Roman" w:eastAsia="宋体"/>
                <w:b/>
                <w:bCs/>
                <w:color w:val="auto"/>
                <w:sz w:val="21"/>
                <w:u w:val="none" w:color="auto"/>
              </w:rPr>
              <w:t>）</w:t>
            </w:r>
          </w:p>
        </w:tc>
        <w:tc>
          <w:tcPr>
            <w:tcW w:w="3827" w:type="dxa"/>
          </w:tcPr>
          <w:p w14:paraId="3037DC9B">
            <w:pPr>
              <w:pStyle w:val="48"/>
              <w:rPr>
                <w:rFonts w:hint="default" w:ascii="Times New Roman" w:hAnsi="Times New Roman" w:eastAsia="宋体"/>
                <w:b/>
                <w:bCs/>
                <w:color w:val="auto"/>
                <w:sz w:val="21"/>
                <w:u w:val="none" w:color="auto"/>
              </w:rPr>
            </w:pPr>
            <w:r>
              <w:rPr>
                <w:rFonts w:hint="default" w:ascii="Times New Roman" w:hAnsi="Times New Roman" w:eastAsia="宋体"/>
                <w:b/>
                <w:bCs/>
                <w:color w:val="auto"/>
                <w:sz w:val="21"/>
                <w:u w:val="none" w:color="auto"/>
              </w:rPr>
              <w:t>蓄热式高温焚烧</w:t>
            </w:r>
            <w:r>
              <w:rPr>
                <w:rFonts w:ascii="Times New Roman" w:hAnsi="Times New Roman" w:eastAsia="宋体"/>
                <w:b/>
                <w:bCs/>
                <w:color w:val="auto"/>
                <w:sz w:val="21"/>
                <w:u w:val="none" w:color="auto"/>
              </w:rPr>
              <w:t>（</w:t>
            </w:r>
            <w:r>
              <w:rPr>
                <w:rFonts w:hint="default" w:ascii="Times New Roman" w:hAnsi="Times New Roman" w:eastAsia="宋体"/>
                <w:b/>
                <w:bCs/>
                <w:color w:val="auto"/>
                <w:sz w:val="21"/>
                <w:u w:val="none" w:color="auto"/>
              </w:rPr>
              <w:t>RTO</w:t>
            </w:r>
            <w:r>
              <w:rPr>
                <w:rFonts w:ascii="Times New Roman" w:hAnsi="Times New Roman" w:eastAsia="宋体"/>
                <w:b/>
                <w:bCs/>
                <w:color w:val="auto"/>
                <w:sz w:val="21"/>
                <w:u w:val="none" w:color="auto"/>
              </w:rPr>
              <w:t>）</w:t>
            </w:r>
          </w:p>
        </w:tc>
      </w:tr>
      <w:tr w14:paraId="30BAF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tcPr>
          <w:p w14:paraId="389AAA89">
            <w:pPr>
              <w:pStyle w:val="48"/>
              <w:rPr>
                <w:rFonts w:hint="default" w:ascii="Times New Roman" w:hAnsi="Times New Roman" w:eastAsia="宋体"/>
                <w:color w:val="auto"/>
                <w:sz w:val="21"/>
                <w:u w:val="none" w:color="auto"/>
              </w:rPr>
            </w:pPr>
          </w:p>
          <w:p w14:paraId="39409CB2">
            <w:pPr>
              <w:pStyle w:val="48"/>
              <w:rPr>
                <w:rFonts w:hint="default" w:ascii="Times New Roman" w:hAnsi="Times New Roman" w:eastAsia="宋体"/>
                <w:color w:val="auto"/>
                <w:sz w:val="21"/>
                <w:u w:val="none" w:color="auto"/>
              </w:rPr>
            </w:pPr>
          </w:p>
          <w:p w14:paraId="28236DDE">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原理</w:t>
            </w:r>
          </w:p>
        </w:tc>
        <w:tc>
          <w:tcPr>
            <w:tcW w:w="3478" w:type="dxa"/>
          </w:tcPr>
          <w:p w14:paraId="3439A704">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通过引风机将废气送入换热器换热，再送入加热室加热，达到催化反应温度， 在催化剂作用下，使有机废气分解为二氧化碳、水和热能</w:t>
            </w:r>
          </w:p>
        </w:tc>
        <w:tc>
          <w:tcPr>
            <w:tcW w:w="3827" w:type="dxa"/>
          </w:tcPr>
          <w:p w14:paraId="093355F9">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有机废气先进入A床，通过蓄热陶瓷，预热到接近燃烧室温度，预热后的废气进入燃烧室，在800℃左右被氧化，随即作为高温烟气进入蓄热床B，此时净化气将热量传给蓄热体，蓄热床层逐渐被加热，净化气体冷却后排放。</w:t>
            </w:r>
          </w:p>
        </w:tc>
      </w:tr>
      <w:tr w14:paraId="478EE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tcPr>
          <w:p w14:paraId="78443C70">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温度</w:t>
            </w:r>
          </w:p>
        </w:tc>
        <w:tc>
          <w:tcPr>
            <w:tcW w:w="3478" w:type="dxa"/>
          </w:tcPr>
          <w:p w14:paraId="29700F06">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300~500℃</w:t>
            </w:r>
          </w:p>
        </w:tc>
        <w:tc>
          <w:tcPr>
            <w:tcW w:w="3827" w:type="dxa"/>
          </w:tcPr>
          <w:p w14:paraId="1150C964">
            <w:pPr>
              <w:pStyle w:val="48"/>
              <w:rPr>
                <w:rFonts w:hint="default" w:ascii="Times New Roman" w:hAnsi="Times New Roman" w:eastAsia="宋体"/>
                <w:color w:val="auto"/>
                <w:sz w:val="21"/>
                <w:u w:val="none" w:color="auto"/>
              </w:rPr>
            </w:pPr>
            <w:r>
              <w:rPr>
                <w:rFonts w:ascii="Times New Roman" w:hAnsi="Times New Roman" w:eastAsia="宋体"/>
                <w:color w:val="auto"/>
                <w:sz w:val="21"/>
                <w:u w:val="none" w:color="auto"/>
              </w:rPr>
              <w:t>5</w:t>
            </w:r>
            <w:r>
              <w:rPr>
                <w:rFonts w:hint="default" w:ascii="Times New Roman" w:hAnsi="Times New Roman" w:eastAsia="宋体"/>
                <w:color w:val="auto"/>
                <w:sz w:val="21"/>
                <w:u w:val="none" w:color="auto"/>
              </w:rPr>
              <w:t>00~</w:t>
            </w:r>
            <w:r>
              <w:rPr>
                <w:rFonts w:ascii="Times New Roman" w:hAnsi="Times New Roman" w:eastAsia="宋体"/>
                <w:color w:val="auto"/>
                <w:sz w:val="21"/>
                <w:u w:val="none" w:color="auto"/>
              </w:rPr>
              <w:t>8</w:t>
            </w:r>
            <w:r>
              <w:rPr>
                <w:rFonts w:hint="default" w:ascii="Times New Roman" w:hAnsi="Times New Roman" w:eastAsia="宋体"/>
                <w:color w:val="auto"/>
                <w:sz w:val="21"/>
                <w:u w:val="none" w:color="auto"/>
              </w:rPr>
              <w:t>00℃</w:t>
            </w:r>
          </w:p>
        </w:tc>
      </w:tr>
      <w:tr w14:paraId="29CEB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tcPr>
          <w:p w14:paraId="5D965EB3">
            <w:pPr>
              <w:pStyle w:val="48"/>
              <w:rPr>
                <w:rFonts w:hint="default" w:ascii="Times New Roman" w:hAnsi="Times New Roman" w:eastAsia="宋体"/>
                <w:color w:val="auto"/>
                <w:sz w:val="21"/>
                <w:u w:val="none" w:color="auto"/>
              </w:rPr>
            </w:pPr>
          </w:p>
          <w:p w14:paraId="60330E11">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优点</w:t>
            </w:r>
          </w:p>
        </w:tc>
        <w:tc>
          <w:tcPr>
            <w:tcW w:w="3478" w:type="dxa"/>
          </w:tcPr>
          <w:p w14:paraId="1841BEA2">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1、操作温度较直接燃烧低，运行费用低；2、相较于RTO，</w:t>
            </w:r>
            <w:r>
              <w:rPr>
                <w:rFonts w:ascii="Times New Roman" w:hAnsi="Times New Roman" w:eastAsia="宋体"/>
                <w:color w:val="auto"/>
                <w:sz w:val="21"/>
                <w:u w:val="none" w:color="auto"/>
              </w:rPr>
              <w:t>无</w:t>
            </w:r>
            <w:r>
              <w:rPr>
                <w:rFonts w:hint="default" w:ascii="Times New Roman" w:hAnsi="Times New Roman" w:eastAsia="宋体"/>
                <w:color w:val="auto"/>
                <w:sz w:val="21"/>
                <w:u w:val="none" w:color="auto"/>
              </w:rPr>
              <w:t>燃料消耗；3、处理效率高（可达95%以上）</w:t>
            </w:r>
          </w:p>
        </w:tc>
        <w:tc>
          <w:tcPr>
            <w:tcW w:w="3827" w:type="dxa"/>
          </w:tcPr>
          <w:p w14:paraId="544399EB">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1、热回收效率高（＞90%），</w:t>
            </w:r>
            <w:r>
              <w:rPr>
                <w:rFonts w:ascii="Times New Roman" w:hAnsi="Times New Roman" w:eastAsia="宋体"/>
                <w:color w:val="auto"/>
                <w:sz w:val="21"/>
                <w:u w:val="none" w:color="auto"/>
              </w:rPr>
              <w:t>运</w:t>
            </w:r>
            <w:r>
              <w:rPr>
                <w:rFonts w:hint="default" w:ascii="Times New Roman" w:hAnsi="Times New Roman" w:eastAsia="宋体"/>
                <w:color w:val="auto"/>
                <w:sz w:val="21"/>
                <w:u w:val="none" w:color="auto"/>
              </w:rPr>
              <w:t>行费用低；2、净化效率高（95%~99%）；3、适用于高温气体</w:t>
            </w:r>
          </w:p>
        </w:tc>
      </w:tr>
      <w:tr w14:paraId="1788F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 w:type="dxa"/>
          </w:tcPr>
          <w:p w14:paraId="565769A0">
            <w:pPr>
              <w:pStyle w:val="48"/>
              <w:rPr>
                <w:rFonts w:hint="default" w:ascii="Times New Roman" w:hAnsi="Times New Roman" w:eastAsia="宋体"/>
                <w:color w:val="auto"/>
                <w:sz w:val="21"/>
                <w:u w:val="none" w:color="auto"/>
              </w:rPr>
            </w:pPr>
          </w:p>
          <w:p w14:paraId="6207C649">
            <w:pPr>
              <w:pStyle w:val="48"/>
              <w:rPr>
                <w:rFonts w:hint="default" w:ascii="Times New Roman" w:hAnsi="Times New Roman" w:eastAsia="宋体"/>
                <w:color w:val="auto"/>
                <w:sz w:val="21"/>
                <w:u w:val="none" w:color="auto"/>
              </w:rPr>
            </w:pPr>
          </w:p>
          <w:p w14:paraId="18DCBB60">
            <w:pPr>
              <w:pStyle w:val="48"/>
              <w:rPr>
                <w:rFonts w:hint="default" w:ascii="Times New Roman" w:hAnsi="Times New Roman" w:eastAsia="宋体"/>
                <w:color w:val="auto"/>
                <w:sz w:val="21"/>
                <w:u w:val="none" w:color="auto"/>
              </w:rPr>
            </w:pPr>
          </w:p>
          <w:p w14:paraId="73809012">
            <w:pPr>
              <w:pStyle w:val="48"/>
              <w:rPr>
                <w:rFonts w:hint="default" w:ascii="Times New Roman" w:hAnsi="Times New Roman" w:eastAsia="宋体"/>
                <w:color w:val="auto"/>
                <w:sz w:val="21"/>
                <w:u w:val="none" w:color="auto"/>
              </w:rPr>
            </w:pPr>
          </w:p>
          <w:p w14:paraId="47878C09">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缺点</w:t>
            </w:r>
          </w:p>
        </w:tc>
        <w:tc>
          <w:tcPr>
            <w:tcW w:w="3478" w:type="dxa"/>
          </w:tcPr>
          <w:p w14:paraId="6834874D">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1、催化剂易失活（烧结、中毒、结焦），不适合含有S、卤素等化合物的净化；2、常用贵金属催化剂价格高；3、有废弃催化剂处理问题；4、处理低浓度VOCs时</w:t>
            </w:r>
            <w:r>
              <w:rPr>
                <w:rFonts w:ascii="Times New Roman" w:hAnsi="Times New Roman" w:eastAsia="宋体"/>
                <w:color w:val="auto"/>
                <w:sz w:val="21"/>
                <w:u w:val="none" w:color="auto"/>
              </w:rPr>
              <w:t>耗电量较大</w:t>
            </w:r>
            <w:r>
              <w:rPr>
                <w:rFonts w:hint="default" w:ascii="Times New Roman" w:hAnsi="Times New Roman" w:eastAsia="宋体"/>
                <w:color w:val="auto"/>
                <w:sz w:val="21"/>
                <w:u w:val="none" w:color="auto"/>
              </w:rPr>
              <w:t>；5、催化剂床层温度控制不好，会有催化剂中毒失效、爆炸的危险</w:t>
            </w:r>
          </w:p>
        </w:tc>
        <w:tc>
          <w:tcPr>
            <w:tcW w:w="3827" w:type="dxa"/>
          </w:tcPr>
          <w:p w14:paraId="3298BD05">
            <w:pPr>
              <w:pStyle w:val="48"/>
              <w:rPr>
                <w:rFonts w:hint="default" w:ascii="Times New Roman" w:hAnsi="Times New Roman" w:eastAsia="宋体"/>
                <w:color w:val="auto"/>
                <w:sz w:val="21"/>
                <w:u w:val="none" w:color="auto"/>
              </w:rPr>
            </w:pPr>
            <w:r>
              <w:rPr>
                <w:rFonts w:hint="default" w:ascii="Times New Roman" w:hAnsi="Times New Roman" w:eastAsia="宋体"/>
                <w:color w:val="auto"/>
                <w:sz w:val="21"/>
                <w:u w:val="none" w:color="auto"/>
              </w:rPr>
              <w:t>1、陶瓷蓄热体床层压损大且易堵塞；2、低VOCs浓度时燃料费用高；3、处理含氮化合物时可能造成烟气中NOx超标；4、不适合处理易自聚化合物（苯乙烯等），其会发生自聚现象，产生高沸点交联物质，造成蓄热体堵塞； 5、不适合处理硅烷类物质，燃烧生成固体灰尘会堵塞蓄热陶瓷或切换阀封面；6、设备设 计及制作水平要求高，初次投资高；7、工作温度较高，对保温及其他硬件的要求较高</w:t>
            </w:r>
          </w:p>
        </w:tc>
      </w:tr>
    </w:tbl>
    <w:p w14:paraId="60837918">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项目喷漆废气特点为有机物浓度低、风量大、废气温度低，故采取吸附浓缩+解吸脱附+催化燃烧（CO）的组合技术可行。</w:t>
      </w:r>
    </w:p>
    <w:p w14:paraId="09663381">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 xml:space="preserve">（3）工艺废气末端处理系统 </w:t>
      </w:r>
    </w:p>
    <w:p w14:paraId="2EFDD569">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 xml:space="preserve">1）流程简介 </w:t>
      </w:r>
    </w:p>
    <w:p w14:paraId="2B800104">
      <w:pPr>
        <w:autoSpaceDE w:val="0"/>
        <w:autoSpaceDN w:val="0"/>
        <w:spacing w:line="360" w:lineRule="auto"/>
        <w:ind w:firstLine="480" w:firstLineChars="200"/>
        <w:jc w:val="left"/>
        <w:rPr>
          <w:color w:val="auto"/>
          <w:u w:val="none" w:color="auto"/>
        </w:rPr>
      </w:pPr>
      <w:r>
        <w:rPr>
          <w:rFonts w:hint="eastAsia" w:ascii="Times New Roman" w:hAnsi="Times New Roman" w:eastAsia="宋体" w:cs="Times New Roman"/>
          <w:bCs/>
          <w:color w:val="auto"/>
          <w:kern w:val="0"/>
          <w:sz w:val="24"/>
          <w:szCs w:val="20"/>
          <w:u w:val="none" w:color="auto"/>
        </w:rPr>
        <w:t>项目拟采用“干式过滤+活性炭吸附+解吸脱附+催化燃烧”工艺处理喷漆废气，该方法的基本构思是：采用活性炭吸附分离法对低浓度、大风量工业废气中的VOCs进行分离浓缩，对浓缩后的高浓度、小风量的污染空气采用催化氧化法进行分解净化。 废气经预处理后，将低浓度的有机废气使用活性炭进行吸附和浓缩，基本达到饱和状态后对活性炭进行加热来脱附有机废气，活性炭因此实现再生。脱附出来的废气进入催化氧化床进行燃烧，由于催化剂的作用，燃烧过程低温、快速、无焰，废气因而得到净化。燃烧产生的热气体可进行回收循环使用，再次回用于脱附环节和燃烧氧化过程。该处理方法具体流程包括预处理、吸附、脱附-催化氧化燃烧三个过程，工艺流程简介如下：</w:t>
      </w:r>
    </w:p>
    <w:p w14:paraId="5E8DA1E6">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①</w:t>
      </w:r>
      <w:r>
        <w:rPr>
          <w:rFonts w:hint="eastAsia" w:ascii="Times New Roman" w:hAnsi="Times New Roman" w:eastAsia="宋体" w:cs="Times New Roman"/>
          <w:bCs/>
          <w:color w:val="auto"/>
          <w:kern w:val="0"/>
          <w:sz w:val="24"/>
          <w:szCs w:val="20"/>
          <w:u w:val="none" w:color="auto"/>
        </w:rPr>
        <w:t>预处理—干式过滤器</w:t>
      </w:r>
      <w:r>
        <w:rPr>
          <w:rFonts w:ascii="Times New Roman" w:hAnsi="Times New Roman" w:eastAsia="宋体" w:cs="Times New Roman"/>
          <w:bCs/>
          <w:color w:val="auto"/>
          <w:kern w:val="0"/>
          <w:sz w:val="24"/>
          <w:szCs w:val="20"/>
          <w:u w:val="none" w:color="auto"/>
        </w:rPr>
        <w:t xml:space="preserve"> </w:t>
      </w:r>
    </w:p>
    <w:p w14:paraId="45BC2137">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项目喷漆</w:t>
      </w:r>
      <w:r>
        <w:rPr>
          <w:rFonts w:ascii="Times New Roman" w:hAnsi="Times New Roman" w:eastAsia="宋体" w:cs="Times New Roman"/>
          <w:bCs/>
          <w:color w:val="auto"/>
          <w:kern w:val="0"/>
          <w:sz w:val="24"/>
          <w:szCs w:val="20"/>
          <w:u w:val="none" w:color="auto"/>
        </w:rPr>
        <w:t>废气中含有漆雾，</w:t>
      </w:r>
      <w:r>
        <w:rPr>
          <w:rFonts w:hint="eastAsia" w:ascii="Times New Roman" w:hAnsi="Times New Roman" w:eastAsia="宋体" w:cs="Times New Roman"/>
          <w:bCs/>
          <w:color w:val="auto"/>
          <w:kern w:val="0"/>
          <w:sz w:val="24"/>
          <w:szCs w:val="20"/>
          <w:u w:val="none" w:color="auto"/>
        </w:rPr>
        <w:t>主要成分为</w:t>
      </w:r>
      <w:r>
        <w:rPr>
          <w:rFonts w:ascii="Times New Roman" w:hAnsi="Times New Roman" w:eastAsia="宋体" w:cs="Times New Roman"/>
          <w:bCs/>
          <w:color w:val="auto"/>
          <w:kern w:val="0"/>
          <w:sz w:val="24"/>
          <w:szCs w:val="20"/>
          <w:u w:val="none" w:color="auto"/>
        </w:rPr>
        <w:t>大聚合物</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大脂类粘性物和粉尘，须在进入</w:t>
      </w:r>
      <w:r>
        <w:rPr>
          <w:rFonts w:hint="eastAsia" w:ascii="Times New Roman" w:hAnsi="Times New Roman" w:eastAsia="宋体" w:cs="Times New Roman"/>
          <w:bCs/>
          <w:color w:val="auto"/>
          <w:kern w:val="0"/>
          <w:sz w:val="24"/>
          <w:szCs w:val="20"/>
          <w:u w:val="none" w:color="auto"/>
        </w:rPr>
        <w:t>活性炭吸附塔</w:t>
      </w:r>
      <w:r>
        <w:rPr>
          <w:rFonts w:ascii="Times New Roman" w:hAnsi="Times New Roman" w:eastAsia="宋体" w:cs="Times New Roman"/>
          <w:bCs/>
          <w:color w:val="auto"/>
          <w:kern w:val="0"/>
          <w:sz w:val="24"/>
          <w:szCs w:val="20"/>
          <w:u w:val="none" w:color="auto"/>
        </w:rPr>
        <w:t>前去除，否则会对吸附介质产生不良影响，因粉尘或大颗粒物质将占据</w:t>
      </w:r>
      <w:r>
        <w:rPr>
          <w:rFonts w:hint="eastAsia" w:ascii="Times New Roman" w:hAnsi="Times New Roman" w:eastAsia="宋体" w:cs="Times New Roman"/>
          <w:bCs/>
          <w:color w:val="auto"/>
          <w:kern w:val="0"/>
          <w:sz w:val="24"/>
          <w:szCs w:val="20"/>
          <w:u w:val="none" w:color="auto"/>
        </w:rPr>
        <w:t>活性炭</w:t>
      </w:r>
      <w:r>
        <w:rPr>
          <w:rFonts w:ascii="Times New Roman" w:hAnsi="Times New Roman" w:eastAsia="宋体" w:cs="Times New Roman"/>
          <w:bCs/>
          <w:color w:val="auto"/>
          <w:kern w:val="0"/>
          <w:sz w:val="24"/>
          <w:szCs w:val="20"/>
          <w:u w:val="none" w:color="auto"/>
        </w:rPr>
        <w:t>表面大孔吸附位，占据后其中小孔及中孔将无法吸附低浓度VOCs中小分子物质有机质</w:t>
      </w:r>
      <w:r>
        <w:rPr>
          <w:rFonts w:hint="eastAsia" w:ascii="Times New Roman" w:hAnsi="Times New Roman" w:eastAsia="宋体" w:cs="Times New Roman"/>
          <w:bCs/>
          <w:color w:val="auto"/>
          <w:kern w:val="0"/>
          <w:sz w:val="24"/>
          <w:szCs w:val="20"/>
          <w:u w:val="none" w:color="auto"/>
        </w:rPr>
        <w:t>。</w:t>
      </w:r>
    </w:p>
    <w:p w14:paraId="06868888">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项目漆雾干式过滤器</w:t>
      </w:r>
      <w:r>
        <w:rPr>
          <w:rFonts w:ascii="Times New Roman" w:hAnsi="Times New Roman" w:eastAsia="宋体" w:cs="Times New Roman"/>
          <w:bCs/>
          <w:color w:val="auto"/>
          <w:kern w:val="0"/>
          <w:sz w:val="24"/>
          <w:szCs w:val="20"/>
          <w:u w:val="none" w:color="auto"/>
        </w:rPr>
        <w:t>由</w:t>
      </w:r>
      <w:r>
        <w:rPr>
          <w:rFonts w:hint="eastAsia" w:ascii="Times New Roman" w:hAnsi="Times New Roman" w:eastAsia="宋体" w:cs="Times New Roman"/>
          <w:bCs/>
          <w:color w:val="auto"/>
          <w:kern w:val="0"/>
          <w:sz w:val="24"/>
          <w:szCs w:val="20"/>
          <w:u w:val="none" w:color="auto"/>
        </w:rPr>
        <w:t>1套抽屉式漆雾分离模组构成，每套抽屉式漆雾分离模组含有3个可拆卸的干式漆雾捕集箱，干式漆雾捕集箱重约10kg/个，最大漆雾吸附能力可达80kg/个干式漆雾捕集箱。干式漆雾捕集箱由箱体和过滤棉组成，箱体由型材和钢板焊接而成。过滤材料选用玻璃纤维漆雾过滤棉，该过滤棉采用玻璃长纤维以非织物方式制成，透风量大，阻力小，具有较疏松的结构，对漆雾捕尘效率佳，一般可达95%；具有在粘附漆雾后阻力增加较小的特点，可确保较高的过滤效率。系统采用干式漆雾过滤器，为抽屉式结构，该结构比平板式结构的过滤面积增加30倍，从而减少用户更换过滤棉的次数，打开过滤器的面板，就可更换过滤棉，非常方便更换。干式漆雾捕集箱及抽屉式漆雾分离模组详见下图：</w:t>
      </w:r>
    </w:p>
    <w:p w14:paraId="195B7399">
      <w:pPr>
        <w:pStyle w:val="48"/>
        <w:rPr>
          <w:rFonts w:hint="default" w:ascii="Times New Roman" w:hAnsi="Times New Roman" w:eastAsia="宋体"/>
          <w:bCs/>
          <w:color w:val="auto"/>
          <w:kern w:val="0"/>
          <w:szCs w:val="20"/>
          <w:u w:val="none" w:color="auto"/>
        </w:rPr>
      </w:pPr>
      <w:r>
        <w:rPr>
          <w:color w:val="auto"/>
          <w:u w:val="none" w:color="auto"/>
        </w:rPr>
        <w:drawing>
          <wp:inline distT="0" distB="0" distL="114300" distR="114300">
            <wp:extent cx="5626735" cy="3071495"/>
            <wp:effectExtent l="0" t="0" r="2540" b="5080"/>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pic:cNvPicPr>
                      <a:picLocks noChangeAspect="1"/>
                    </pic:cNvPicPr>
                  </pic:nvPicPr>
                  <pic:blipFill>
                    <a:blip r:embed="rId84"/>
                    <a:stretch>
                      <a:fillRect/>
                    </a:stretch>
                  </pic:blipFill>
                  <pic:spPr>
                    <a:xfrm>
                      <a:off x="0" y="0"/>
                      <a:ext cx="5626735" cy="3071495"/>
                    </a:xfrm>
                    <a:prstGeom prst="rect">
                      <a:avLst/>
                    </a:prstGeom>
                    <a:noFill/>
                    <a:ln>
                      <a:noFill/>
                    </a:ln>
                  </pic:spPr>
                </pic:pic>
              </a:graphicData>
            </a:graphic>
          </wp:inline>
        </w:drawing>
      </w:r>
    </w:p>
    <w:p w14:paraId="74EAC0D3">
      <w:pPr>
        <w:pStyle w:val="59"/>
        <w:ind w:left="0"/>
        <w:jc w:val="center"/>
        <w:rPr>
          <w:rFonts w:ascii="Times New Roman"/>
          <w:color w:val="auto"/>
          <w:kern w:val="0"/>
          <w:sz w:val="24"/>
          <w:szCs w:val="20"/>
          <w:u w:val="none" w:color="auto"/>
        </w:rPr>
      </w:pPr>
      <w:r>
        <w:rPr>
          <w:rFonts w:hint="eastAsia" w:ascii="Times New Roman"/>
          <w:color w:val="auto"/>
          <w:kern w:val="0"/>
          <w:sz w:val="24"/>
          <w:szCs w:val="20"/>
          <w:u w:val="none" w:color="auto"/>
        </w:rPr>
        <w:t>图5.2-2 干式漆雾捕集箱内部结构图</w:t>
      </w:r>
    </w:p>
    <w:p w14:paraId="69599113">
      <w:pPr>
        <w:rPr>
          <w:rFonts w:ascii="Times New Roman" w:hAnsi="Times New Roman" w:eastAsia="宋体" w:cs="Times New Roman"/>
          <w:bCs/>
          <w:color w:val="auto"/>
          <w:kern w:val="0"/>
          <w:sz w:val="24"/>
          <w:szCs w:val="20"/>
          <w:u w:val="none" w:color="auto"/>
        </w:rPr>
      </w:pPr>
    </w:p>
    <w:p w14:paraId="7AE3BC39">
      <w:pPr>
        <w:pStyle w:val="48"/>
        <w:rPr>
          <w:rFonts w:hint="default" w:ascii="Times New Roman" w:hAnsi="Times New Roman" w:eastAsia="宋体"/>
          <w:bCs/>
          <w:color w:val="auto"/>
          <w:kern w:val="0"/>
          <w:szCs w:val="20"/>
          <w:u w:val="none" w:color="auto"/>
        </w:rPr>
      </w:pPr>
      <w:r>
        <w:rPr>
          <w:color w:val="auto"/>
          <w:u w:val="none" w:color="auto"/>
        </w:rPr>
        <w:drawing>
          <wp:inline distT="0" distB="0" distL="114300" distR="114300">
            <wp:extent cx="5626735" cy="2717165"/>
            <wp:effectExtent l="0" t="0" r="2540" b="698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85"/>
                    <a:stretch>
                      <a:fillRect/>
                    </a:stretch>
                  </pic:blipFill>
                  <pic:spPr>
                    <a:xfrm>
                      <a:off x="0" y="0"/>
                      <a:ext cx="5626735" cy="2717165"/>
                    </a:xfrm>
                    <a:prstGeom prst="rect">
                      <a:avLst/>
                    </a:prstGeom>
                    <a:noFill/>
                    <a:ln>
                      <a:noFill/>
                    </a:ln>
                  </pic:spPr>
                </pic:pic>
              </a:graphicData>
            </a:graphic>
          </wp:inline>
        </w:drawing>
      </w:r>
    </w:p>
    <w:p w14:paraId="737D8860">
      <w:pPr>
        <w:pStyle w:val="59"/>
        <w:rPr>
          <w:rFonts w:ascii="Times New Roman"/>
          <w:color w:val="auto"/>
          <w:kern w:val="0"/>
          <w:sz w:val="24"/>
          <w:szCs w:val="20"/>
          <w:u w:val="none" w:color="auto"/>
        </w:rPr>
      </w:pPr>
    </w:p>
    <w:p w14:paraId="342709DA">
      <w:pPr>
        <w:pStyle w:val="59"/>
        <w:ind w:left="0"/>
        <w:jc w:val="center"/>
        <w:rPr>
          <w:rFonts w:ascii="Times New Roman"/>
          <w:color w:val="auto"/>
          <w:kern w:val="0"/>
          <w:sz w:val="24"/>
          <w:szCs w:val="20"/>
          <w:u w:val="none" w:color="auto"/>
        </w:rPr>
      </w:pPr>
      <w:r>
        <w:rPr>
          <w:rFonts w:hint="eastAsia" w:ascii="Times New Roman"/>
          <w:color w:val="auto"/>
          <w:kern w:val="0"/>
          <w:sz w:val="24"/>
          <w:szCs w:val="20"/>
          <w:u w:val="none" w:color="auto"/>
        </w:rPr>
        <w:t>图5.2-3 抽屉式漆雾分离模组结构示意图</w:t>
      </w:r>
    </w:p>
    <w:p w14:paraId="25BC230F">
      <w:pPr>
        <w:pStyle w:val="48"/>
        <w:spacing w:line="360" w:lineRule="auto"/>
        <w:jc w:val="both"/>
        <w:rPr>
          <w:rFonts w:hint="default"/>
          <w:color w:val="auto"/>
          <w:u w:val="none" w:color="auto"/>
        </w:rPr>
      </w:pPr>
    </w:p>
    <w:p w14:paraId="277887EC">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②</w:t>
      </w:r>
      <w:r>
        <w:rPr>
          <w:rFonts w:hint="eastAsia" w:ascii="Times New Roman" w:hAnsi="Times New Roman" w:eastAsia="宋体" w:cs="Times New Roman"/>
          <w:bCs/>
          <w:color w:val="auto"/>
          <w:kern w:val="0"/>
          <w:sz w:val="24"/>
          <w:szCs w:val="20"/>
          <w:u w:val="none" w:color="auto"/>
        </w:rPr>
        <w:t>活性炭吸附</w:t>
      </w:r>
      <w:r>
        <w:rPr>
          <w:rFonts w:ascii="Times New Roman" w:hAnsi="Times New Roman" w:eastAsia="宋体" w:cs="Times New Roman"/>
          <w:bCs/>
          <w:color w:val="auto"/>
          <w:kern w:val="0"/>
          <w:sz w:val="24"/>
          <w:szCs w:val="20"/>
          <w:u w:val="none" w:color="auto"/>
        </w:rPr>
        <w:t xml:space="preserve"> </w:t>
      </w:r>
    </w:p>
    <w:p w14:paraId="459C7A07">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项目活性炭吸附装置采用蜂窝状活性炭作为吸附填料，活性炭是一种新型、高效吸附剂，其具有发达的比表面积(1000m</w:t>
      </w:r>
      <w:r>
        <w:rPr>
          <w:rFonts w:ascii="Times New Roman" w:hAnsi="Times New Roman" w:eastAsia="宋体" w:cs="Times New Roman"/>
          <w:bCs/>
          <w:color w:val="auto"/>
          <w:kern w:val="0"/>
          <w:sz w:val="24"/>
          <w:szCs w:val="20"/>
          <w:u w:val="none" w:color="auto"/>
          <w:vertAlign w:val="superscript"/>
        </w:rPr>
        <w:t>2</w:t>
      </w:r>
      <w:r>
        <w:rPr>
          <w:rFonts w:ascii="Times New Roman" w:hAnsi="Times New Roman" w:eastAsia="宋体" w:cs="Times New Roman"/>
          <w:bCs/>
          <w:color w:val="auto"/>
          <w:kern w:val="0"/>
          <w:sz w:val="24"/>
          <w:szCs w:val="20"/>
          <w:u w:val="none" w:color="auto"/>
        </w:rPr>
        <w:t>/g～3000m</w:t>
      </w:r>
      <w:r>
        <w:rPr>
          <w:rFonts w:ascii="Times New Roman" w:hAnsi="Times New Roman" w:eastAsia="宋体" w:cs="Times New Roman"/>
          <w:bCs/>
          <w:color w:val="auto"/>
          <w:kern w:val="0"/>
          <w:sz w:val="24"/>
          <w:szCs w:val="20"/>
          <w:u w:val="none" w:color="auto"/>
          <w:vertAlign w:val="superscript"/>
        </w:rPr>
        <w:t>2</w:t>
      </w:r>
      <w:r>
        <w:rPr>
          <w:rFonts w:ascii="Times New Roman" w:hAnsi="Times New Roman" w:eastAsia="宋体" w:cs="Times New Roman"/>
          <w:bCs/>
          <w:color w:val="auto"/>
          <w:kern w:val="0"/>
          <w:sz w:val="24"/>
          <w:szCs w:val="20"/>
          <w:u w:val="none" w:color="auto"/>
        </w:rPr>
        <w:t>/g)和丰富的微孔，微孔体积占总孔体积的90%以上，微孔直径约1×10</w:t>
      </w:r>
      <w:r>
        <w:rPr>
          <w:rFonts w:ascii="Times New Roman" w:hAnsi="Times New Roman" w:eastAsia="宋体" w:cs="Times New Roman"/>
          <w:bCs/>
          <w:color w:val="auto"/>
          <w:kern w:val="0"/>
          <w:sz w:val="24"/>
          <w:szCs w:val="20"/>
          <w:u w:val="none" w:color="auto"/>
          <w:vertAlign w:val="superscript"/>
        </w:rPr>
        <w:t>-9</w:t>
      </w:r>
      <w:r>
        <w:rPr>
          <w:rFonts w:ascii="Times New Roman" w:hAnsi="Times New Roman" w:eastAsia="宋体" w:cs="Times New Roman"/>
          <w:bCs/>
          <w:color w:val="auto"/>
          <w:kern w:val="0"/>
          <w:sz w:val="24"/>
          <w:szCs w:val="20"/>
          <w:u w:val="none" w:color="auto"/>
        </w:rPr>
        <w:t xml:space="preserve">m左右，有较强的吸附能力。 </w:t>
      </w:r>
    </w:p>
    <w:p w14:paraId="7D657219">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蜂窝状活性炭的工作原理是利用微孔活性物质对废气分子或分子团的吸附力。当工业废气通过吸附介质时，其中的分子被“阻截”吸附下来，从而使废气得到净化处理。</w:t>
      </w:r>
      <w:r>
        <w:rPr>
          <w:rFonts w:hint="eastAsia" w:ascii="Times New Roman" w:hAnsi="Times New Roman" w:eastAsia="宋体" w:cs="Times New Roman"/>
          <w:bCs/>
          <w:color w:val="auto"/>
          <w:kern w:val="0"/>
          <w:sz w:val="24"/>
          <w:szCs w:val="20"/>
          <w:u w:val="none" w:color="auto"/>
        </w:rPr>
        <w:t>蜂窝状活性炭具有性能稳定、抗腐蚀和耐高速气流冲击的优点，用其对有机废气进行吸附可使净化效率高达98%，使用特殊成型的蜂窝状活性炭作为吸附材料，由于其比重为条形活性炭纤维的8-10倍，吸附有机溶剂可以达到活性炭总重量的25%，具有吸附系统运行阻力低，净化效率高等特点，在空气污染治理中普遍应用。</w:t>
      </w:r>
    </w:p>
    <w:p w14:paraId="183594BF">
      <w:pPr>
        <w:autoSpaceDE w:val="0"/>
        <w:autoSpaceDN w:val="0"/>
        <w:spacing w:line="360" w:lineRule="auto"/>
        <w:jc w:val="center"/>
        <w:rPr>
          <w:rFonts w:ascii="Times New Roman" w:hAnsi="Times New Roman" w:eastAsia="宋体" w:cs="Times New Roman"/>
          <w:bCs/>
          <w:color w:val="auto"/>
          <w:kern w:val="0"/>
          <w:sz w:val="24"/>
          <w:szCs w:val="20"/>
          <w:u w:val="none" w:color="auto"/>
        </w:rPr>
      </w:pPr>
      <w:r>
        <w:rPr>
          <w:color w:val="auto"/>
          <w:u w:val="none" w:color="auto"/>
        </w:rPr>
        <w:drawing>
          <wp:inline distT="0" distB="0" distL="114300" distR="114300">
            <wp:extent cx="5507990" cy="2857500"/>
            <wp:effectExtent l="0" t="0" r="6985" b="0"/>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86"/>
                    <a:stretch>
                      <a:fillRect/>
                    </a:stretch>
                  </pic:blipFill>
                  <pic:spPr>
                    <a:xfrm>
                      <a:off x="0" y="0"/>
                      <a:ext cx="5507990" cy="2857500"/>
                    </a:xfrm>
                    <a:prstGeom prst="rect">
                      <a:avLst/>
                    </a:prstGeom>
                    <a:noFill/>
                    <a:ln>
                      <a:noFill/>
                    </a:ln>
                  </pic:spPr>
                </pic:pic>
              </a:graphicData>
            </a:graphic>
          </wp:inline>
        </w:drawing>
      </w:r>
    </w:p>
    <w:p w14:paraId="68CF76BE">
      <w:pPr>
        <w:pStyle w:val="59"/>
        <w:ind w:left="0"/>
        <w:jc w:val="center"/>
        <w:rPr>
          <w:rFonts w:ascii="Times New Roman"/>
          <w:color w:val="auto"/>
          <w:kern w:val="0"/>
          <w:sz w:val="24"/>
          <w:szCs w:val="20"/>
          <w:u w:val="none" w:color="auto"/>
        </w:rPr>
      </w:pPr>
      <w:r>
        <w:rPr>
          <w:rFonts w:hint="eastAsia" w:ascii="Times New Roman"/>
          <w:color w:val="auto"/>
          <w:kern w:val="0"/>
          <w:sz w:val="24"/>
          <w:szCs w:val="20"/>
          <w:u w:val="none" w:color="auto"/>
        </w:rPr>
        <w:t>图5.2-4 蜂窝状活性炭结构示意图</w:t>
      </w:r>
    </w:p>
    <w:p w14:paraId="429ACF17">
      <w:pPr>
        <w:pStyle w:val="48"/>
        <w:rPr>
          <w:rFonts w:hint="default"/>
          <w:color w:val="auto"/>
          <w:u w:val="none" w:color="auto"/>
        </w:rPr>
      </w:pPr>
    </w:p>
    <w:p w14:paraId="3B73ADAE">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w:t>
      </w:r>
      <w:r>
        <w:rPr>
          <w:rFonts w:ascii="Times New Roman" w:hAnsi="Times New Roman" w:eastAsia="宋体" w:cs="Times New Roman"/>
          <w:bCs/>
          <w:color w:val="auto"/>
          <w:kern w:val="0"/>
          <w:sz w:val="24"/>
          <w:szCs w:val="20"/>
          <w:u w:val="none" w:color="auto"/>
        </w:rPr>
        <w:t>活性炭吸附</w:t>
      </w:r>
      <w:r>
        <w:rPr>
          <w:rFonts w:hint="eastAsia" w:ascii="Times New Roman" w:hAnsi="Times New Roman" w:eastAsia="宋体" w:cs="Times New Roman"/>
          <w:bCs/>
          <w:color w:val="auto"/>
          <w:kern w:val="0"/>
          <w:sz w:val="24"/>
          <w:szCs w:val="20"/>
          <w:u w:val="none" w:color="auto"/>
        </w:rPr>
        <w:t>装置采取单气路工作方式，</w:t>
      </w:r>
      <w:r>
        <w:rPr>
          <w:rFonts w:ascii="Times New Roman" w:hAnsi="Times New Roman" w:eastAsia="宋体" w:cs="Times New Roman"/>
          <w:bCs/>
          <w:color w:val="auto"/>
          <w:kern w:val="0"/>
          <w:sz w:val="24"/>
          <w:szCs w:val="20"/>
          <w:u w:val="none" w:color="auto"/>
        </w:rPr>
        <w:t>有</w:t>
      </w:r>
      <w:r>
        <w:rPr>
          <w:rFonts w:hint="eastAsia" w:ascii="Times New Roman" w:hAnsi="Times New Roman" w:eastAsia="宋体" w:cs="Times New Roman"/>
          <w:bCs/>
          <w:color w:val="auto"/>
          <w:kern w:val="0"/>
          <w:sz w:val="24"/>
          <w:szCs w:val="20"/>
          <w:u w:val="none" w:color="auto"/>
        </w:rPr>
        <w:t>3</w:t>
      </w:r>
      <w:r>
        <w:rPr>
          <w:rFonts w:ascii="Times New Roman" w:hAnsi="Times New Roman" w:eastAsia="宋体" w:cs="Times New Roman"/>
          <w:bCs/>
          <w:color w:val="auto"/>
          <w:kern w:val="0"/>
          <w:sz w:val="24"/>
          <w:szCs w:val="20"/>
          <w:u w:val="none" w:color="auto"/>
        </w:rPr>
        <w:t>个活性炭吸附</w:t>
      </w:r>
      <w:r>
        <w:rPr>
          <w:rFonts w:hint="eastAsia" w:ascii="Times New Roman" w:hAnsi="Times New Roman" w:eastAsia="宋体" w:cs="Times New Roman"/>
          <w:bCs/>
          <w:color w:val="auto"/>
          <w:kern w:val="0"/>
          <w:sz w:val="24"/>
          <w:szCs w:val="20"/>
          <w:u w:val="none" w:color="auto"/>
        </w:rPr>
        <w:t>床</w:t>
      </w:r>
      <w:r>
        <w:rPr>
          <w:rFonts w:ascii="Times New Roman" w:hAnsi="Times New Roman" w:eastAsia="宋体" w:cs="Times New Roman"/>
          <w:bCs/>
          <w:color w:val="auto"/>
          <w:kern w:val="0"/>
          <w:sz w:val="24"/>
          <w:szCs w:val="20"/>
          <w:u w:val="none" w:color="auto"/>
        </w:rPr>
        <w:t>组成</w:t>
      </w:r>
      <w:r>
        <w:rPr>
          <w:rFonts w:hint="eastAsia" w:ascii="Times New Roman" w:hAnsi="Times New Roman" w:eastAsia="宋体" w:cs="Times New Roman"/>
          <w:bCs/>
          <w:color w:val="auto"/>
          <w:kern w:val="0"/>
          <w:sz w:val="24"/>
          <w:szCs w:val="20"/>
          <w:u w:val="none" w:color="auto"/>
        </w:rPr>
        <w:t>，设计为“二吸一脱”吸附方式</w:t>
      </w:r>
      <w:r>
        <w:rPr>
          <w:rFonts w:ascii="Times New Roman" w:hAnsi="Times New Roman" w:eastAsia="宋体" w:cs="Times New Roman"/>
          <w:bCs/>
          <w:color w:val="auto"/>
          <w:kern w:val="0"/>
          <w:sz w:val="24"/>
          <w:szCs w:val="20"/>
          <w:u w:val="none" w:color="auto"/>
        </w:rPr>
        <w:t>。</w:t>
      </w:r>
      <w:r>
        <w:rPr>
          <w:rFonts w:hint="eastAsia" w:ascii="Times New Roman" w:hAnsi="Times New Roman" w:eastAsia="宋体" w:cs="Times New Roman"/>
          <w:bCs/>
          <w:color w:val="auto"/>
          <w:kern w:val="0"/>
          <w:sz w:val="24"/>
          <w:szCs w:val="20"/>
          <w:u w:val="none" w:color="auto"/>
        </w:rPr>
        <w:t>经干式过滤拦截捕捉漆雾后的有机废气送入活性炭吸附床，废气送入活性炭吸附床Ⅰ、Ⅱ进行吸附，当活性炭吸附床Ⅰ接近饱和时，首先将处理气体自动切换到活性炭吸附床Ⅲ（饱和活性炭吸附床Ⅰ自动停止吸附操作），整个系统采用PLC自动控制程序控制。</w:t>
      </w:r>
    </w:p>
    <w:p w14:paraId="728210C6">
      <w:pPr>
        <w:pStyle w:val="48"/>
        <w:spacing w:line="360" w:lineRule="auto"/>
        <w:ind w:firstLine="480" w:firstLineChars="200"/>
        <w:jc w:val="both"/>
        <w:rPr>
          <w:rFonts w:hint="default"/>
          <w:color w:val="auto"/>
          <w:szCs w:val="24"/>
          <w:u w:val="none" w:color="auto"/>
        </w:rPr>
      </w:pPr>
      <w:r>
        <w:rPr>
          <w:color w:val="auto"/>
          <w:szCs w:val="24"/>
          <w:u w:val="none" w:color="auto"/>
        </w:rPr>
        <w:t>③脱附-催化氧化燃烧</w:t>
      </w:r>
    </w:p>
    <w:p w14:paraId="7D2767B8">
      <w:pPr>
        <w:autoSpaceDE w:val="0"/>
        <w:autoSpaceDN w:val="0"/>
        <w:spacing w:line="360" w:lineRule="auto"/>
        <w:ind w:firstLine="480" w:firstLineChars="200"/>
        <w:jc w:val="left"/>
        <w:rPr>
          <w:color w:val="auto"/>
          <w:sz w:val="24"/>
          <w:szCs w:val="24"/>
          <w:u w:val="none" w:color="auto"/>
        </w:rPr>
      </w:pPr>
      <w:r>
        <w:rPr>
          <w:rFonts w:hint="eastAsia" w:ascii="Times New Roman" w:hAnsi="Times New Roman" w:eastAsia="宋体" w:cs="Times New Roman"/>
          <w:bCs/>
          <w:color w:val="auto"/>
          <w:kern w:val="0"/>
          <w:sz w:val="24"/>
          <w:szCs w:val="24"/>
          <w:u w:val="none" w:color="auto"/>
        </w:rPr>
        <w:t>（1）热空气脱附再生</w:t>
      </w:r>
    </w:p>
    <w:p w14:paraId="48EED09A">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通过控制脱附过程流量可将有机废气浓度浓缩10-15倍，脱附气流经催化净化装置内的电加热装置加热至300℃左右，在催化剂作用下起燃，燃烧后生成CO</w:t>
      </w:r>
      <w:r>
        <w:rPr>
          <w:rFonts w:hint="eastAsia" w:ascii="Times New Roman" w:hAnsi="Times New Roman" w:eastAsia="宋体" w:cs="Times New Roman"/>
          <w:bCs/>
          <w:color w:val="auto"/>
          <w:kern w:val="0"/>
          <w:sz w:val="24"/>
          <w:szCs w:val="20"/>
          <w:u w:val="none" w:color="auto"/>
          <w:vertAlign w:val="subscript"/>
        </w:rPr>
        <w:t>2</w:t>
      </w:r>
      <w:r>
        <w:rPr>
          <w:rFonts w:hint="eastAsia" w:ascii="Times New Roman" w:hAnsi="Times New Roman" w:eastAsia="宋体" w:cs="Times New Roman"/>
          <w:bCs/>
          <w:color w:val="auto"/>
          <w:kern w:val="0"/>
          <w:sz w:val="24"/>
          <w:szCs w:val="20"/>
          <w:u w:val="none" w:color="auto"/>
        </w:rPr>
        <w:t>和H</w:t>
      </w:r>
      <w:r>
        <w:rPr>
          <w:rFonts w:hint="eastAsia" w:ascii="Times New Roman" w:hAnsi="Times New Roman" w:eastAsia="宋体" w:cs="Times New Roman"/>
          <w:bCs/>
          <w:color w:val="auto"/>
          <w:kern w:val="0"/>
          <w:sz w:val="24"/>
          <w:szCs w:val="20"/>
          <w:u w:val="none" w:color="auto"/>
          <w:vertAlign w:val="subscript"/>
        </w:rPr>
        <w:t>2</w:t>
      </w:r>
      <w:r>
        <w:rPr>
          <w:rFonts w:hint="eastAsia" w:ascii="Times New Roman" w:hAnsi="Times New Roman" w:eastAsia="宋体" w:cs="Times New Roman"/>
          <w:bCs/>
          <w:color w:val="auto"/>
          <w:kern w:val="0"/>
          <w:sz w:val="24"/>
          <w:szCs w:val="20"/>
          <w:u w:val="none" w:color="auto"/>
        </w:rPr>
        <w:t>O并释放出大量热量，该热量通过催化燃烧床内的热交换器一部分再用来加热脱附出的高浓度废气，另外一部分加热室外来的空气做活性碳脱附气体使用，一般达到脱附～催化燃烧自平衡过程须启动电加热装置1小时左右。达到热平衡后可关闭电加热装置，此时再生处理系统靠废气中的有机溶剂做燃料，在无须外加能源基础上使再生过程达到自平衡循环，极大地减少能耗，并且无二次污染的产生，吸附和脱附过程由PLC实现自动控制。</w:t>
      </w:r>
    </w:p>
    <w:p w14:paraId="3982C447">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当进入活性炭吸附床的热空气达到有机物的沸点时（一般为100℃左右），有机物从活性炭内挥发出来，进入催化燃烧室内维持自燃，尾气再生，循环进行，直至有机物完全从活性炭内部分离，至催化燃烧室分解，活性炭得到了再生，有机物得到催化分解处理，催化燃烧过程净化效率可达99%以上。</w:t>
      </w:r>
    </w:p>
    <w:p w14:paraId="55741ED3">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（2）催化燃烧</w:t>
      </w:r>
    </w:p>
    <w:p w14:paraId="3122A39B">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催化燃烧反应原理是有机废气在较低温度下在催化剂的作用下被完全氧化和分解，达到净化气体目的。催化燃烧是典型的气固相催化反应，其原理是活性氧参与深度氧化作用。在催化燃烧过程中，催化剂的作用是降低反应的活化能，同时使反应物分子富集在催化剂表面上以提高反应速率。借助于催化剂，有机废气可以在较低的起燃温度下无焰燃烧并且在释放大量热量，同时氧化分解成CO</w:t>
      </w:r>
      <w:r>
        <w:rPr>
          <w:rFonts w:hint="eastAsia" w:ascii="Times New Roman" w:hAnsi="Times New Roman" w:eastAsia="宋体" w:cs="Times New Roman"/>
          <w:bCs/>
          <w:color w:val="auto"/>
          <w:kern w:val="0"/>
          <w:sz w:val="24"/>
          <w:szCs w:val="20"/>
          <w:u w:val="none" w:color="auto"/>
          <w:vertAlign w:val="subscript"/>
        </w:rPr>
        <w:t>2</w:t>
      </w:r>
      <w:r>
        <w:rPr>
          <w:rFonts w:hint="eastAsia" w:ascii="Times New Roman" w:hAnsi="Times New Roman" w:eastAsia="宋体" w:cs="Times New Roman"/>
          <w:bCs/>
          <w:color w:val="auto"/>
          <w:kern w:val="0"/>
          <w:sz w:val="24"/>
          <w:szCs w:val="20"/>
          <w:u w:val="none" w:color="auto"/>
        </w:rPr>
        <w:t>和H</w:t>
      </w:r>
      <w:r>
        <w:rPr>
          <w:rFonts w:hint="eastAsia" w:ascii="Times New Roman" w:hAnsi="Times New Roman" w:eastAsia="宋体" w:cs="Times New Roman"/>
          <w:bCs/>
          <w:color w:val="auto"/>
          <w:kern w:val="0"/>
          <w:sz w:val="24"/>
          <w:szCs w:val="20"/>
          <w:u w:val="none" w:color="auto"/>
          <w:vertAlign w:val="subscript"/>
        </w:rPr>
        <w:t>2</w:t>
      </w:r>
      <w:r>
        <w:rPr>
          <w:rFonts w:hint="eastAsia" w:ascii="Times New Roman" w:hAnsi="Times New Roman" w:eastAsia="宋体" w:cs="Times New Roman"/>
          <w:bCs/>
          <w:color w:val="auto"/>
          <w:kern w:val="0"/>
          <w:sz w:val="24"/>
          <w:szCs w:val="20"/>
          <w:u w:val="none" w:color="auto"/>
        </w:rPr>
        <w:t>O。</w:t>
      </w:r>
    </w:p>
    <w:p w14:paraId="79CA60CC">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催化燃烧技术作为VOCs废气处理工艺之一，因为其净化率高，燃烧温度低（一般低于350℃），燃烧没有明火，不会有NOx等二次污染物的生成，安全节能环保等特点，在环保市场应用有了很好的发展前景。其反应方程式为：</w:t>
      </w:r>
    </w:p>
    <w:p w14:paraId="21871877">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drawing>
          <wp:inline distT="0" distB="0" distL="114300" distR="114300">
            <wp:extent cx="4678680" cy="632460"/>
            <wp:effectExtent l="0" t="0" r="7620" b="5715"/>
            <wp:docPr id="97" name="图片 97" descr="微信截图_2021071108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截图_20210711082053"/>
                    <pic:cNvPicPr>
                      <a:picLocks noChangeAspect="1"/>
                    </pic:cNvPicPr>
                  </pic:nvPicPr>
                  <pic:blipFill>
                    <a:blip r:embed="rId87"/>
                    <a:stretch>
                      <a:fillRect/>
                    </a:stretch>
                  </pic:blipFill>
                  <pic:spPr>
                    <a:xfrm>
                      <a:off x="0" y="0"/>
                      <a:ext cx="4678680" cy="632460"/>
                    </a:xfrm>
                    <a:prstGeom prst="rect">
                      <a:avLst/>
                    </a:prstGeom>
                  </pic:spPr>
                </pic:pic>
              </a:graphicData>
            </a:graphic>
          </wp:inline>
        </w:drawing>
      </w:r>
    </w:p>
    <w:p w14:paraId="750E071F">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催化燃烧的催化剂反应原理如图所示：</w:t>
      </w:r>
    </w:p>
    <w:p w14:paraId="3FF2B769">
      <w:pPr>
        <w:autoSpaceDE w:val="0"/>
        <w:autoSpaceDN w:val="0"/>
        <w:spacing w:line="360" w:lineRule="auto"/>
        <w:ind w:firstLine="560" w:firstLineChars="200"/>
        <w:jc w:val="left"/>
        <w:rPr>
          <w:rFonts w:ascii="Times New Roman" w:hAnsi="Times New Roman" w:eastAsia="宋体" w:cs="Times New Roman"/>
          <w:bCs/>
          <w:color w:val="auto"/>
          <w:kern w:val="0"/>
          <w:sz w:val="24"/>
          <w:szCs w:val="20"/>
          <w:u w:val="none" w:color="auto"/>
        </w:rPr>
      </w:pPr>
      <w:r>
        <w:rPr>
          <w:rFonts w:ascii="宋体" w:hAnsi="宋体" w:eastAsia="宋体"/>
          <w:color w:val="auto"/>
          <w:sz w:val="28"/>
          <w:szCs w:val="21"/>
          <w:u w:val="none" w:color="auto"/>
        </w:rPr>
        <w:drawing>
          <wp:inline distT="0" distB="0" distL="0" distR="0">
            <wp:extent cx="4749165" cy="1621155"/>
            <wp:effectExtent l="0" t="0" r="3810" b="7620"/>
            <wp:docPr id="130" name="图片 130" descr="信图片_2020010209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信图片_2020010209274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774162" cy="1629734"/>
                    </a:xfrm>
                    <a:prstGeom prst="rect">
                      <a:avLst/>
                    </a:prstGeom>
                    <a:noFill/>
                    <a:ln>
                      <a:noFill/>
                    </a:ln>
                  </pic:spPr>
                </pic:pic>
              </a:graphicData>
            </a:graphic>
          </wp:inline>
        </w:drawing>
      </w:r>
    </w:p>
    <w:p w14:paraId="0490C1EE">
      <w:pPr>
        <w:autoSpaceDE w:val="0"/>
        <w:autoSpaceDN w:val="0"/>
        <w:spacing w:line="360" w:lineRule="auto"/>
        <w:ind w:firstLine="482" w:firstLineChars="200"/>
        <w:jc w:val="center"/>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图5.2-</w:t>
      </w:r>
      <w:r>
        <w:rPr>
          <w:rFonts w:hint="eastAsia" w:ascii="Times New Roman" w:hAnsi="Times New Roman" w:eastAsia="宋体" w:cs="Times New Roman"/>
          <w:b/>
          <w:color w:val="auto"/>
          <w:kern w:val="0"/>
          <w:sz w:val="24"/>
          <w:szCs w:val="20"/>
          <w:u w:val="none" w:color="auto"/>
        </w:rPr>
        <w:t>5</w:t>
      </w:r>
      <w:r>
        <w:rPr>
          <w:rFonts w:ascii="Times New Roman" w:hAnsi="Times New Roman" w:eastAsia="宋体" w:cs="Times New Roman"/>
          <w:b/>
          <w:color w:val="auto"/>
          <w:kern w:val="0"/>
          <w:sz w:val="24"/>
          <w:szCs w:val="20"/>
          <w:u w:val="none" w:color="auto"/>
        </w:rPr>
        <w:t xml:space="preserve"> 催化剂反应原理图</w:t>
      </w:r>
    </w:p>
    <w:p w14:paraId="3D5052EE">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项目催化燃烧装置构成如下：</w:t>
      </w:r>
    </w:p>
    <w:p w14:paraId="5AC0199E">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阻火除尘器：结构为波纹网型，可将设备和废气源之间的危险阻隔开来，保证处理设备和生产设备之间的安全。 </w:t>
      </w:r>
    </w:p>
    <w:p w14:paraId="5F978220">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热交换器：结构采用304不锈钢板，合理</w:t>
      </w:r>
      <w:r>
        <w:rPr>
          <w:rFonts w:hint="eastAsia" w:ascii="Times New Roman" w:hAnsi="Times New Roman" w:eastAsia="宋体" w:cs="Times New Roman"/>
          <w:bCs/>
          <w:color w:val="auto"/>
          <w:kern w:val="0"/>
          <w:sz w:val="24"/>
          <w:szCs w:val="20"/>
          <w:u w:val="none" w:color="auto"/>
          <w:lang w:eastAsia="zh-CN"/>
        </w:rPr>
        <w:t>地</w:t>
      </w:r>
      <w:r>
        <w:rPr>
          <w:rFonts w:hint="eastAsia" w:ascii="Times New Roman" w:hAnsi="Times New Roman" w:eastAsia="宋体" w:cs="Times New Roman"/>
          <w:bCs/>
          <w:color w:val="auto"/>
          <w:kern w:val="0"/>
          <w:sz w:val="24"/>
          <w:szCs w:val="20"/>
          <w:u w:val="none" w:color="auto"/>
        </w:rPr>
        <w:t xml:space="preserve">布置，使冷热气流全面接触，能量进行全面置换。 </w:t>
      </w:r>
    </w:p>
    <w:p w14:paraId="75F85522">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预热室：废气源在进入催化燃烧室之前，经温度检测仪检测温度达不到催化反应的条件，由布置在预热室内的电加热系统进行温度的第二次提升；电加热元件为红外线加热管，由固定绝缘板固定，维护更换十分方便。</w:t>
      </w:r>
    </w:p>
    <w:p w14:paraId="7EB08CA1">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催化反应室：达到温度条件的有机废气源进入第一级催化反应室；第一催化反应室采用抽屉式，内装催化剂，中间分插电加热元件，利用电加热管加热原理，使催化剂温度达到反应温度，使</w:t>
      </w:r>
      <w:r>
        <w:rPr>
          <w:rFonts w:hint="eastAsia" w:ascii="Times New Roman" w:hAnsi="Times New Roman" w:eastAsia="宋体" w:cs="Times New Roman"/>
          <w:bCs/>
          <w:color w:val="auto"/>
          <w:kern w:val="0"/>
          <w:sz w:val="24"/>
          <w:szCs w:val="20"/>
          <w:u w:val="none" w:color="auto"/>
          <w:lang w:eastAsia="zh-CN"/>
        </w:rPr>
        <w:t>部分</w:t>
      </w:r>
      <w:r>
        <w:rPr>
          <w:rFonts w:hint="eastAsia" w:ascii="Times New Roman" w:hAnsi="Times New Roman" w:eastAsia="宋体" w:cs="Times New Roman"/>
          <w:bCs/>
          <w:color w:val="auto"/>
          <w:kern w:val="0"/>
          <w:sz w:val="24"/>
          <w:szCs w:val="20"/>
          <w:u w:val="none" w:color="auto"/>
        </w:rPr>
        <w:t>有机物进行分解，释放出能量，直接使废气温度提升，是系统设计的第三温度提升处，也叫催化升温；温度提升后的有机气体进入催化固定床，内置蜂窝状催化剂，满足反应条件的有机气体在此完全分解，废气变成洁净气体。本设施为催化净化装置的心脏。</w:t>
      </w:r>
    </w:p>
    <w:p w14:paraId="7DBC4908">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蜂窝状贵金属催化剂：催化剂是在化学反应中能改变反应温度而本身的组成和重量在反应后保持不变的物质。装置中选用的催化剂型号为TFJF型，是处理各种不同类型有机废气的高效广谱型催化剂。TFJF型催化剂蜂窝陶瓷做载体，内浸渍贵金属铂和钯，具有高活性、高净化效率、耐高温及长使用寿命等特点。TFJF型催化剂结构示意图如下：</w:t>
      </w:r>
    </w:p>
    <w:p w14:paraId="4E765403">
      <w:pPr>
        <w:autoSpaceDE w:val="0"/>
        <w:autoSpaceDN w:val="0"/>
        <w:spacing w:line="360" w:lineRule="auto"/>
        <w:jc w:val="center"/>
        <w:rPr>
          <w:rFonts w:ascii="Times New Roman" w:hAnsi="Times New Roman" w:eastAsia="宋体" w:cs="Times New Roman"/>
          <w:bCs/>
          <w:color w:val="auto"/>
          <w:kern w:val="0"/>
          <w:sz w:val="24"/>
          <w:szCs w:val="20"/>
          <w:u w:val="none" w:color="auto"/>
        </w:rPr>
      </w:pPr>
      <w:r>
        <w:rPr>
          <w:color w:val="auto"/>
          <w:u w:val="none" w:color="auto"/>
        </w:rPr>
        <w:drawing>
          <wp:inline distT="0" distB="0" distL="114300" distR="114300">
            <wp:extent cx="5133340" cy="4356735"/>
            <wp:effectExtent l="0" t="0" r="635" b="5715"/>
            <wp:docPr id="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
                    <pic:cNvPicPr>
                      <a:picLocks noChangeAspect="1"/>
                    </pic:cNvPicPr>
                  </pic:nvPicPr>
                  <pic:blipFill>
                    <a:blip r:embed="rId89"/>
                    <a:stretch>
                      <a:fillRect/>
                    </a:stretch>
                  </pic:blipFill>
                  <pic:spPr>
                    <a:xfrm>
                      <a:off x="0" y="0"/>
                      <a:ext cx="5133340" cy="4356735"/>
                    </a:xfrm>
                    <a:prstGeom prst="rect">
                      <a:avLst/>
                    </a:prstGeom>
                    <a:noFill/>
                    <a:ln>
                      <a:noFill/>
                    </a:ln>
                  </pic:spPr>
                </pic:pic>
              </a:graphicData>
            </a:graphic>
          </wp:inline>
        </w:drawing>
      </w:r>
    </w:p>
    <w:p w14:paraId="330938FD">
      <w:pPr>
        <w:autoSpaceDE w:val="0"/>
        <w:autoSpaceDN w:val="0"/>
        <w:spacing w:line="360" w:lineRule="auto"/>
        <w:ind w:firstLine="482" w:firstLineChars="200"/>
        <w:jc w:val="center"/>
        <w:rPr>
          <w:rFonts w:ascii="Times New Roman" w:hAnsi="Times New Roman" w:eastAsia="宋体" w:cs="Times New Roman"/>
          <w:b/>
          <w:color w:val="auto"/>
          <w:kern w:val="0"/>
          <w:sz w:val="24"/>
          <w:szCs w:val="20"/>
          <w:u w:val="none" w:color="auto"/>
        </w:rPr>
      </w:pPr>
      <w:r>
        <w:rPr>
          <w:rFonts w:ascii="Times New Roman" w:hAnsi="Times New Roman" w:eastAsia="宋体" w:cs="Times New Roman"/>
          <w:b/>
          <w:color w:val="auto"/>
          <w:kern w:val="0"/>
          <w:sz w:val="24"/>
          <w:szCs w:val="20"/>
          <w:u w:val="none" w:color="auto"/>
        </w:rPr>
        <w:t>图5.2-</w:t>
      </w:r>
      <w:r>
        <w:rPr>
          <w:rFonts w:hint="eastAsia" w:ascii="Times New Roman" w:hAnsi="Times New Roman" w:eastAsia="宋体" w:cs="Times New Roman"/>
          <w:b/>
          <w:color w:val="auto"/>
          <w:kern w:val="0"/>
          <w:sz w:val="24"/>
          <w:szCs w:val="20"/>
          <w:u w:val="none" w:color="auto"/>
        </w:rPr>
        <w:t>6</w:t>
      </w:r>
      <w:r>
        <w:rPr>
          <w:rFonts w:ascii="Times New Roman" w:hAnsi="Times New Roman" w:eastAsia="宋体" w:cs="Times New Roman"/>
          <w:b/>
          <w:color w:val="auto"/>
          <w:kern w:val="0"/>
          <w:sz w:val="24"/>
          <w:szCs w:val="20"/>
          <w:u w:val="none" w:color="auto"/>
        </w:rPr>
        <w:t xml:space="preserve"> 蜂窝状活性炭结构示意图</w:t>
      </w:r>
    </w:p>
    <w:p w14:paraId="31CA3356">
      <w:pPr>
        <w:autoSpaceDE w:val="0"/>
        <w:autoSpaceDN w:val="0"/>
        <w:spacing w:line="360" w:lineRule="auto"/>
        <w:ind w:firstLine="480" w:firstLineChars="200"/>
        <w:jc w:val="left"/>
        <w:rPr>
          <w:color w:val="auto"/>
          <w:u w:val="none" w:color="auto"/>
        </w:rPr>
      </w:pPr>
      <w:r>
        <w:rPr>
          <w:rFonts w:hint="eastAsia" w:ascii="Times New Roman" w:hAnsi="Times New Roman" w:eastAsia="宋体" w:cs="Times New Roman"/>
          <w:bCs/>
          <w:color w:val="auto"/>
          <w:kern w:val="0"/>
          <w:sz w:val="24"/>
          <w:szCs w:val="20"/>
          <w:u w:val="none" w:color="auto"/>
        </w:rPr>
        <w:t>项目催化燃烧室工艺流程图如下：</w:t>
      </w:r>
    </w:p>
    <w:p w14:paraId="55A4ADAC">
      <w:pPr>
        <w:pStyle w:val="48"/>
        <w:rPr>
          <w:rFonts w:hint="default"/>
          <w:color w:val="auto"/>
          <w:u w:val="none" w:color="auto"/>
        </w:rPr>
      </w:pPr>
      <w:r>
        <w:rPr>
          <w:color w:val="auto"/>
          <w:u w:val="none" w:color="auto"/>
        </w:rPr>
        <w:drawing>
          <wp:inline distT="0" distB="0" distL="114300" distR="114300">
            <wp:extent cx="5630545" cy="2057400"/>
            <wp:effectExtent l="0" t="0" r="8255" b="0"/>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90"/>
                    <a:stretch>
                      <a:fillRect/>
                    </a:stretch>
                  </pic:blipFill>
                  <pic:spPr>
                    <a:xfrm>
                      <a:off x="0" y="0"/>
                      <a:ext cx="5630545" cy="2057400"/>
                    </a:xfrm>
                    <a:prstGeom prst="rect">
                      <a:avLst/>
                    </a:prstGeom>
                    <a:noFill/>
                    <a:ln>
                      <a:noFill/>
                    </a:ln>
                  </pic:spPr>
                </pic:pic>
              </a:graphicData>
            </a:graphic>
          </wp:inline>
        </w:drawing>
      </w:r>
    </w:p>
    <w:p w14:paraId="1B08091F">
      <w:pPr>
        <w:rPr>
          <w:color w:val="auto"/>
          <w:u w:val="none" w:color="auto"/>
        </w:rPr>
      </w:pPr>
    </w:p>
    <w:p w14:paraId="6DF173C7">
      <w:pPr>
        <w:pStyle w:val="48"/>
        <w:rPr>
          <w:rFonts w:hint="default" w:ascii="Times New Roman" w:hAnsi="Times New Roman" w:eastAsia="宋体"/>
          <w:b/>
          <w:color w:val="auto"/>
          <w:kern w:val="0"/>
          <w:szCs w:val="20"/>
          <w:u w:val="none" w:color="auto"/>
        </w:rPr>
      </w:pPr>
      <w:r>
        <w:rPr>
          <w:rFonts w:ascii="Times New Roman" w:hAnsi="Times New Roman" w:eastAsia="宋体"/>
          <w:b/>
          <w:color w:val="auto"/>
          <w:kern w:val="0"/>
          <w:szCs w:val="20"/>
          <w:u w:val="none" w:color="auto"/>
        </w:rPr>
        <w:t>图5.2-</w:t>
      </w:r>
      <w:r>
        <w:rPr>
          <w:rFonts w:ascii="Times New Roman"/>
          <w:b/>
          <w:color w:val="auto"/>
          <w:kern w:val="0"/>
          <w:szCs w:val="20"/>
          <w:u w:val="none" w:color="auto"/>
        </w:rPr>
        <w:t>7</w:t>
      </w:r>
      <w:r>
        <w:rPr>
          <w:rFonts w:ascii="Times New Roman" w:hAnsi="Times New Roman" w:eastAsia="宋体"/>
          <w:b/>
          <w:color w:val="auto"/>
          <w:kern w:val="0"/>
          <w:szCs w:val="20"/>
          <w:u w:val="none" w:color="auto"/>
        </w:rPr>
        <w:t xml:space="preserve"> </w:t>
      </w:r>
      <w:r>
        <w:rPr>
          <w:rFonts w:ascii="Times New Roman" w:hAnsi="Times New Roman"/>
          <w:b/>
          <w:color w:val="auto"/>
          <w:kern w:val="0"/>
          <w:szCs w:val="20"/>
          <w:u w:val="none" w:color="auto"/>
        </w:rPr>
        <w:t>催化燃烧室</w:t>
      </w:r>
      <w:r>
        <w:rPr>
          <w:rFonts w:ascii="Times New Roman"/>
          <w:b/>
          <w:color w:val="auto"/>
          <w:kern w:val="0"/>
          <w:szCs w:val="20"/>
          <w:u w:val="none" w:color="auto"/>
        </w:rPr>
        <w:t>工艺流程</w:t>
      </w:r>
      <w:r>
        <w:rPr>
          <w:rFonts w:ascii="Times New Roman" w:hAnsi="Times New Roman" w:eastAsia="宋体"/>
          <w:b/>
          <w:color w:val="auto"/>
          <w:kern w:val="0"/>
          <w:szCs w:val="20"/>
          <w:u w:val="none" w:color="auto"/>
        </w:rPr>
        <w:t>图</w:t>
      </w:r>
    </w:p>
    <w:p w14:paraId="02F256EC">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p>
    <w:p w14:paraId="2515B3D0">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项目有机废气处理工艺流程图如下：</w:t>
      </w:r>
    </w:p>
    <w:p w14:paraId="7FCA69C9">
      <w:pPr>
        <w:pStyle w:val="59"/>
        <w:ind w:left="0"/>
        <w:rPr>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11F9484">
      <w:pPr>
        <w:pStyle w:val="35"/>
        <w:spacing w:after="0"/>
        <w:ind w:firstLine="0" w:firstLineChars="0"/>
        <w:jc w:val="center"/>
        <w:rPr>
          <w:color w:val="auto"/>
          <w:u w:val="none" w:color="auto"/>
        </w:rPr>
      </w:pPr>
      <w:r>
        <w:rPr>
          <w:color w:val="auto"/>
          <w:u w:val="none" w:color="auto"/>
        </w:rPr>
        <w:drawing>
          <wp:inline distT="0" distB="0" distL="114300" distR="114300">
            <wp:extent cx="6771640" cy="4918075"/>
            <wp:effectExtent l="0" t="0" r="635" b="6350"/>
            <wp:docPr id="1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8"/>
                    <pic:cNvPicPr>
                      <a:picLocks noChangeAspect="1"/>
                    </pic:cNvPicPr>
                  </pic:nvPicPr>
                  <pic:blipFill>
                    <a:blip r:embed="rId91"/>
                    <a:stretch>
                      <a:fillRect/>
                    </a:stretch>
                  </pic:blipFill>
                  <pic:spPr>
                    <a:xfrm>
                      <a:off x="0" y="0"/>
                      <a:ext cx="6771640" cy="4918075"/>
                    </a:xfrm>
                    <a:prstGeom prst="rect">
                      <a:avLst/>
                    </a:prstGeom>
                    <a:noFill/>
                    <a:ln>
                      <a:noFill/>
                    </a:ln>
                  </pic:spPr>
                </pic:pic>
              </a:graphicData>
            </a:graphic>
          </wp:inline>
        </w:drawing>
      </w:r>
    </w:p>
    <w:p w14:paraId="4252352B">
      <w:pPr>
        <w:autoSpaceDE w:val="0"/>
        <w:autoSpaceDN w:val="0"/>
        <w:spacing w:line="360" w:lineRule="auto"/>
        <w:jc w:val="center"/>
        <w:rPr>
          <w:color w:val="auto"/>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b/>
          <w:color w:val="auto"/>
          <w:kern w:val="0"/>
          <w:sz w:val="24"/>
          <w:szCs w:val="20"/>
          <w:u w:val="none" w:color="auto"/>
        </w:rPr>
        <w:t>图5.2-8 有机废气处理工艺路线示意</w:t>
      </w:r>
    </w:p>
    <w:p w14:paraId="091B51D2">
      <w:pPr>
        <w:autoSpaceDE w:val="0"/>
        <w:autoSpaceDN w:val="0"/>
        <w:spacing w:line="360" w:lineRule="auto"/>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 xml:space="preserve"> </w:t>
      </w:r>
      <w:r>
        <w:rPr>
          <w:rFonts w:hint="eastAsia" w:ascii="Times New Roman" w:hAnsi="Times New Roman" w:eastAsia="宋体" w:cs="Times New Roman"/>
          <w:bCs/>
          <w:color w:val="auto"/>
          <w:kern w:val="0"/>
          <w:sz w:val="24"/>
          <w:szCs w:val="20"/>
          <w:u w:val="none" w:color="auto"/>
        </w:rPr>
        <w:t xml:space="preserve">  （3）安全消防措施及应急灭火装置</w:t>
      </w:r>
    </w:p>
    <w:p w14:paraId="621BFACF">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为了保证系统安全运行，系统采用PLC程序对整个脱附处理系统进行控制，脱附进气、脱附出气、加热室和催化燃烧室都有热电偶进行测量。 </w:t>
      </w:r>
    </w:p>
    <w:p w14:paraId="684E7E2A">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A、当测量到脱附进气温度超过设定上限值时，补冷风机、补冷阀门和排空阀门会自动开启，补冷风机将外界常温的空气吸进活性炭床，对活性炭床进行降温，同时通过排空阀进行泄压，以此来将脱附进气降到设定上限值以下。假如脱附进气继续升温，控制系统将会发出报警信号，提醒现场工作人员对补冷风机和补冷阀门进行检查，查看补冷风机或补冷阀门是否存在故障，降低安全隐患。 </w:t>
      </w:r>
    </w:p>
    <w:p w14:paraId="2F4EA8AA">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B、当测量到脱附出气温度超过设定上限值时，控制系统将会发出报警信号，提醒现场工作人员注意。当测量到脱附出气温度超过设定上限值时+10℃时，加热室将停止加热、停止系统风机，补冷风机、补冷阀门、稀释风机、稀释阀门和排空阀门将全部自动开启，将脱附出气降温到设定上限值以下。 </w:t>
      </w:r>
    </w:p>
    <w:p w14:paraId="45087DE2">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C、当测量到加热室温度超过设定上限值时（温度设定上限值一般为280～300℃），加热器将停止加热。 </w:t>
      </w:r>
    </w:p>
    <w:p w14:paraId="17967D4E">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D、当测量到催化燃烧室温度超过设定上限值时（温度设定上限值一般为 350℃），报警；上升到400℃，稀释风机和稀释阀门将开启，将脱附出来的高浓度废气进行稀释，通过降低燃烧放出来的热量来降低燃烧室的温度。上升到 450℃，加热室将停止加热、停止系统风机，补冷风机、补冷阀门、稀释风机、稀释阀门和排空阀门将全部自动开启，进行降温冷却。 </w:t>
      </w:r>
    </w:p>
    <w:p w14:paraId="29C48B01">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E、在催化燃烧床内设置压力检测探头，催化燃烧床正常工作压力为2000Pa，当检测到压力超过4000Pa时。排空阀门打开泄压，维持系统内压力的稳定。并在催化燃烧床顶设置泄爆口，当压力超过10000Pa时，泄爆自动破裂。 </w:t>
      </w:r>
    </w:p>
    <w:p w14:paraId="4FDE063F">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 xml:space="preserve">以上全部控制都为了确保有机废气处理系统在安全状态下运行吸附和脱附。 </w:t>
      </w:r>
    </w:p>
    <w:p w14:paraId="148C102D">
      <w:pPr>
        <w:autoSpaceDE w:val="0"/>
        <w:autoSpaceDN w:val="0"/>
        <w:spacing w:line="360" w:lineRule="auto"/>
        <w:ind w:firstLine="480" w:firstLineChars="200"/>
        <w:jc w:val="left"/>
        <w:rPr>
          <w:rFonts w:hint="eastAsia" w:ascii="Times New Roman" w:hAnsi="Times New Roman" w:eastAsia="宋体" w:cs="Times New Roman"/>
          <w:bCs/>
          <w:color w:val="auto"/>
          <w:kern w:val="0"/>
          <w:sz w:val="24"/>
          <w:szCs w:val="20"/>
          <w:u w:val="none" w:color="auto"/>
          <w:lang w:eastAsia="zh-CN"/>
        </w:rPr>
      </w:pPr>
      <w:r>
        <w:rPr>
          <w:rFonts w:ascii="Times New Roman" w:hAnsi="Times New Roman" w:eastAsia="宋体" w:cs="Times New Roman"/>
          <w:bCs/>
          <w:color w:val="auto"/>
          <w:kern w:val="0"/>
          <w:sz w:val="24"/>
          <w:szCs w:val="20"/>
          <w:u w:val="none" w:color="auto"/>
        </w:rPr>
        <w:t>项目</w:t>
      </w:r>
      <w:r>
        <w:rPr>
          <w:rFonts w:hint="eastAsia" w:ascii="Times New Roman" w:hAnsi="Times New Roman" w:eastAsia="宋体" w:cs="Times New Roman"/>
          <w:bCs/>
          <w:color w:val="auto"/>
          <w:kern w:val="0"/>
          <w:sz w:val="24"/>
          <w:szCs w:val="20"/>
          <w:u w:val="none" w:color="auto"/>
        </w:rPr>
        <w:t>喷漆废气经“干式过滤+活性炭吸附+解吸脱附+催化燃烧”工艺处理后通过</w:t>
      </w:r>
      <w:r>
        <w:rPr>
          <w:rFonts w:hint="eastAsia" w:ascii="Times New Roman" w:hAnsi="Times New Roman" w:eastAsia="宋体" w:cs="Times New Roman"/>
          <w:bCs/>
          <w:color w:val="auto"/>
          <w:kern w:val="0"/>
          <w:sz w:val="24"/>
          <w:szCs w:val="20"/>
          <w:u w:val="none" w:color="auto"/>
          <w:lang w:eastAsia="zh-CN"/>
        </w:rPr>
        <w:t>30m</w:t>
      </w:r>
      <w:r>
        <w:rPr>
          <w:rFonts w:hint="eastAsia" w:ascii="Times New Roman" w:hAnsi="Times New Roman" w:eastAsia="宋体" w:cs="Times New Roman"/>
          <w:bCs/>
          <w:color w:val="auto"/>
          <w:kern w:val="0"/>
          <w:sz w:val="24"/>
          <w:szCs w:val="20"/>
          <w:u w:val="none" w:color="auto"/>
        </w:rPr>
        <w:t>高排气筒排放</w:t>
      </w:r>
      <w:r>
        <w:rPr>
          <w:rFonts w:hint="eastAsia" w:ascii="Times New Roman" w:hAnsi="Times New Roman" w:eastAsia="宋体" w:cs="Times New Roman"/>
          <w:bCs/>
          <w:color w:val="auto"/>
          <w:kern w:val="0"/>
          <w:sz w:val="24"/>
          <w:szCs w:val="20"/>
          <w:u w:val="none" w:color="auto"/>
          <w:lang w:eastAsia="zh-CN"/>
        </w:rPr>
        <w:t>。</w:t>
      </w:r>
    </w:p>
    <w:p w14:paraId="04C89E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u w:val="single" w:color="auto"/>
        </w:rPr>
      </w:pPr>
      <w:r>
        <w:rPr>
          <w:rFonts w:hint="default" w:ascii="Times New Roman" w:hAnsi="Times New Roman" w:eastAsia="宋体" w:cs="Times New Roman"/>
          <w:b w:val="0"/>
          <w:bCs w:val="0"/>
          <w:color w:val="auto"/>
          <w:sz w:val="24"/>
          <w:szCs w:val="24"/>
          <w:highlight w:val="none"/>
          <w:u w:val="single" w:color="auto"/>
        </w:rPr>
        <w:t>参考</w:t>
      </w:r>
      <w:r>
        <w:rPr>
          <w:rFonts w:hint="default" w:ascii="Times New Roman" w:hAnsi="Times New Roman" w:eastAsia="宋体" w:cs="Times New Roman"/>
          <w:b w:val="0"/>
          <w:bCs w:val="0"/>
          <w:color w:val="auto"/>
          <w:sz w:val="24"/>
          <w:szCs w:val="24"/>
          <w:highlight w:val="none"/>
          <w:u w:val="single" w:color="auto"/>
          <w:lang w:val="en-US" w:eastAsia="zh-CN"/>
        </w:rPr>
        <w:t>《</w:t>
      </w:r>
      <w:r>
        <w:rPr>
          <w:rFonts w:hint="default" w:ascii="Times New Roman" w:hAnsi="Times New Roman" w:eastAsia="宋体" w:cs="Times New Roman"/>
          <w:b w:val="0"/>
          <w:bCs w:val="0"/>
          <w:color w:val="auto"/>
          <w:sz w:val="24"/>
          <w:szCs w:val="24"/>
          <w:highlight w:val="none"/>
          <w:u w:val="single" w:color="auto"/>
        </w:rPr>
        <w:t>污染源源强核算技术指南 汽车制造》（HJ1097-2020）附录</w:t>
      </w:r>
      <w:r>
        <w:rPr>
          <w:rFonts w:hint="default" w:ascii="Times New Roman" w:hAnsi="Times New Roman" w:eastAsia="宋体" w:cs="Times New Roman"/>
          <w:b w:val="0"/>
          <w:bCs w:val="0"/>
          <w:color w:val="auto"/>
          <w:sz w:val="24"/>
          <w:szCs w:val="24"/>
          <w:highlight w:val="none"/>
          <w:u w:val="single" w:color="auto"/>
          <w:lang w:val="en-US" w:eastAsia="zh-CN"/>
        </w:rPr>
        <w:t>F，</w:t>
      </w:r>
      <w:r>
        <w:rPr>
          <w:rFonts w:hint="default" w:ascii="Times New Roman" w:hAnsi="Times New Roman" w:eastAsia="宋体" w:cs="Times New Roman"/>
          <w:b w:val="0"/>
          <w:bCs w:val="0"/>
          <w:color w:val="auto"/>
          <w:sz w:val="24"/>
          <w:szCs w:val="24"/>
          <w:highlight w:val="none"/>
          <w:u w:val="single" w:color="auto"/>
        </w:rPr>
        <w:t>采用化学纤维过滤末端治理技术去除效率可达到80%</w:t>
      </w:r>
      <w:r>
        <w:rPr>
          <w:rFonts w:hint="default" w:ascii="Times New Roman" w:hAnsi="Times New Roman" w:eastAsia="宋体" w:cs="Times New Roman"/>
          <w:b w:val="0"/>
          <w:bCs w:val="0"/>
          <w:color w:val="auto"/>
          <w:sz w:val="24"/>
          <w:szCs w:val="24"/>
          <w:highlight w:val="none"/>
          <w:u w:val="single" w:color="auto"/>
          <w:lang w:eastAsia="zh-CN"/>
        </w:rPr>
        <w:t>，</w:t>
      </w:r>
      <w:r>
        <w:rPr>
          <w:rFonts w:hint="default" w:ascii="Times New Roman" w:hAnsi="Times New Roman" w:eastAsia="宋体" w:cs="Times New Roman"/>
          <w:b w:val="0"/>
          <w:bCs w:val="0"/>
          <w:color w:val="auto"/>
          <w:sz w:val="24"/>
          <w:szCs w:val="24"/>
          <w:highlight w:val="none"/>
          <w:u w:val="single" w:color="auto"/>
        </w:rPr>
        <w:t>干式过滤器属于化学纤维过滤末端治理技术，</w:t>
      </w:r>
      <w:r>
        <w:rPr>
          <w:rFonts w:hint="default" w:ascii="Times New Roman" w:hAnsi="Times New Roman" w:eastAsia="宋体" w:cs="Times New Roman"/>
          <w:b w:val="0"/>
          <w:bCs w:val="0"/>
          <w:color w:val="auto"/>
          <w:sz w:val="24"/>
          <w:szCs w:val="24"/>
          <w:highlight w:val="none"/>
          <w:u w:val="single" w:color="auto"/>
          <w:lang w:val="en-US" w:eastAsia="zh-CN"/>
        </w:rPr>
        <w:t>本项目</w:t>
      </w:r>
      <w:r>
        <w:rPr>
          <w:rFonts w:hint="default" w:ascii="Times New Roman" w:hAnsi="Times New Roman" w:eastAsia="宋体" w:cs="Times New Roman"/>
          <w:b w:val="0"/>
          <w:bCs w:val="0"/>
          <w:color w:val="auto"/>
          <w:sz w:val="24"/>
          <w:szCs w:val="24"/>
          <w:highlight w:val="none"/>
          <w:u w:val="single" w:color="auto"/>
        </w:rPr>
        <w:t>干式过滤除效率</w:t>
      </w:r>
      <w:r>
        <w:rPr>
          <w:rFonts w:hint="default" w:ascii="Times New Roman" w:hAnsi="Times New Roman" w:eastAsia="宋体" w:cs="Times New Roman"/>
          <w:b w:val="0"/>
          <w:bCs w:val="0"/>
          <w:color w:val="auto"/>
          <w:sz w:val="24"/>
          <w:szCs w:val="24"/>
          <w:highlight w:val="none"/>
          <w:u w:val="single" w:color="auto"/>
          <w:lang w:val="en-US" w:eastAsia="zh-CN"/>
        </w:rPr>
        <w:t>取80</w:t>
      </w:r>
      <w:r>
        <w:rPr>
          <w:rFonts w:hint="default" w:ascii="Times New Roman" w:hAnsi="Times New Roman" w:eastAsia="宋体" w:cs="Times New Roman"/>
          <w:b w:val="0"/>
          <w:bCs w:val="0"/>
          <w:color w:val="auto"/>
          <w:sz w:val="24"/>
          <w:szCs w:val="24"/>
          <w:highlight w:val="none"/>
          <w:u w:val="single" w:color="auto"/>
        </w:rPr>
        <w:t>%。</w:t>
      </w:r>
    </w:p>
    <w:p w14:paraId="15F3DB7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u w:val="single" w:color="auto"/>
          <w:lang w:val="en-US" w:eastAsia="zh-CN"/>
        </w:rPr>
      </w:pPr>
      <w:r>
        <w:rPr>
          <w:rFonts w:hint="default" w:ascii="Times New Roman" w:hAnsi="Times New Roman" w:eastAsia="宋体" w:cs="Times New Roman"/>
          <w:b w:val="0"/>
          <w:bCs w:val="0"/>
          <w:color w:val="auto"/>
          <w:sz w:val="24"/>
          <w:szCs w:val="24"/>
          <w:u w:val="single" w:color="auto"/>
          <w:lang w:val="en-US" w:eastAsia="zh-CN"/>
        </w:rPr>
        <w:t>参考《</w:t>
      </w:r>
      <w:r>
        <w:rPr>
          <w:rFonts w:hint="default" w:ascii="Times New Roman" w:hAnsi="Times New Roman" w:eastAsia="宋体" w:cs="Times New Roman"/>
          <w:b w:val="0"/>
          <w:bCs w:val="0"/>
          <w:color w:val="auto"/>
          <w:sz w:val="24"/>
          <w:szCs w:val="24"/>
          <w:u w:val="single" w:color="auto"/>
        </w:rPr>
        <w:t>污染源源强核算技术指南 汽车制造》（HJ1097-2020）附录</w:t>
      </w:r>
      <w:r>
        <w:rPr>
          <w:rFonts w:hint="default" w:ascii="Times New Roman" w:hAnsi="Times New Roman" w:eastAsia="宋体" w:cs="Times New Roman"/>
          <w:b w:val="0"/>
          <w:bCs w:val="0"/>
          <w:color w:val="auto"/>
          <w:sz w:val="24"/>
          <w:szCs w:val="24"/>
          <w:u w:val="single" w:color="auto"/>
          <w:lang w:val="en-US" w:eastAsia="zh-CN"/>
        </w:rPr>
        <w:t>F，</w:t>
      </w:r>
      <w:r>
        <w:rPr>
          <w:rFonts w:hint="default" w:ascii="Times New Roman" w:hAnsi="Times New Roman" w:eastAsia="宋体" w:cs="Times New Roman"/>
          <w:b w:val="0"/>
          <w:bCs w:val="0"/>
          <w:color w:val="auto"/>
          <w:sz w:val="24"/>
          <w:szCs w:val="24"/>
          <w:u w:val="single" w:color="auto"/>
        </w:rPr>
        <w:t>吸附/脱附再生浓缩+催化燃烧</w:t>
      </w:r>
      <w:r>
        <w:rPr>
          <w:rFonts w:hint="default" w:ascii="Times New Roman" w:hAnsi="Times New Roman" w:eastAsia="宋体" w:cs="Times New Roman"/>
          <w:b w:val="0"/>
          <w:bCs w:val="0"/>
          <w:color w:val="auto"/>
          <w:sz w:val="24"/>
          <w:szCs w:val="24"/>
          <w:u w:val="single" w:color="auto"/>
          <w:lang w:val="en-US" w:eastAsia="zh-CN"/>
        </w:rPr>
        <w:t>处理效率为85%-90%；根据</w:t>
      </w:r>
      <w:r>
        <w:rPr>
          <w:rFonts w:hint="default" w:ascii="Times New Roman" w:hAnsi="Times New Roman" w:eastAsia="宋体" w:cs="Times New Roman"/>
          <w:b w:val="0"/>
          <w:bCs w:val="0"/>
          <w:color w:val="auto"/>
          <w:sz w:val="24"/>
          <w:szCs w:val="24"/>
          <w:u w:val="single" w:color="auto"/>
        </w:rPr>
        <w:t>《吸附法工业有机废气治理工程技术规范》（HJ2026-2013）</w:t>
      </w:r>
      <w:r>
        <w:rPr>
          <w:rFonts w:hint="default" w:ascii="Times New Roman" w:hAnsi="Times New Roman" w:eastAsia="宋体" w:cs="Times New Roman"/>
          <w:b w:val="0"/>
          <w:bCs w:val="0"/>
          <w:color w:val="auto"/>
          <w:sz w:val="24"/>
          <w:szCs w:val="24"/>
          <w:u w:val="single" w:color="auto"/>
          <w:lang w:eastAsia="zh-CN"/>
        </w:rPr>
        <w:t>，</w:t>
      </w:r>
      <w:r>
        <w:rPr>
          <w:rFonts w:hint="default" w:ascii="Times New Roman" w:hAnsi="Times New Roman" w:eastAsia="宋体" w:cs="Times New Roman"/>
          <w:b w:val="0"/>
          <w:bCs w:val="0"/>
          <w:color w:val="auto"/>
          <w:sz w:val="24"/>
          <w:szCs w:val="24"/>
          <w:u w:val="single" w:color="auto"/>
          <w:lang w:val="en-US" w:eastAsia="zh-CN"/>
        </w:rPr>
        <w:t>吸附装置净化效率不得低于90%；综上分析，本项目处理效率取90%。</w:t>
      </w:r>
    </w:p>
    <w:p w14:paraId="59AA0DD3">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lang w:val="en-US" w:eastAsia="zh-CN"/>
        </w:rPr>
        <w:t>综上分析，</w:t>
      </w:r>
      <w:r>
        <w:rPr>
          <w:rFonts w:hint="eastAsia" w:ascii="Times New Roman" w:hAnsi="Times New Roman" w:eastAsia="宋体" w:cs="Times New Roman"/>
          <w:bCs/>
          <w:color w:val="auto"/>
          <w:kern w:val="0"/>
          <w:sz w:val="24"/>
          <w:szCs w:val="20"/>
          <w:u w:val="none" w:color="auto"/>
        </w:rPr>
        <w:t>喷漆废气中颗粒</w:t>
      </w:r>
      <w:r>
        <w:rPr>
          <w:rFonts w:hint="eastAsia" w:ascii="Times New Roman" w:hAnsi="Times New Roman" w:eastAsia="宋体" w:cs="Times New Roman"/>
          <w:bCs/>
          <w:color w:val="auto"/>
          <w:kern w:val="0"/>
          <w:sz w:val="24"/>
          <w:szCs w:val="20"/>
          <w:u w:val="none" w:color="auto"/>
          <w:lang w:val="en-US" w:eastAsia="zh-CN"/>
        </w:rPr>
        <w:t>物</w:t>
      </w:r>
      <w:r>
        <w:rPr>
          <w:rFonts w:hint="eastAsia" w:ascii="Times New Roman" w:hAnsi="Times New Roman" w:eastAsia="宋体" w:cs="Times New Roman"/>
          <w:bCs/>
          <w:color w:val="auto"/>
          <w:kern w:val="0"/>
          <w:sz w:val="24"/>
          <w:szCs w:val="20"/>
          <w:u w:val="none" w:color="auto"/>
        </w:rPr>
        <w:t>、甲苯、二甲苯、非甲烷总烃排放浓度均可满足《大气污染物综合排放标准》（GB16297-1996）二级标准要求，技术上可行</w:t>
      </w:r>
      <w:r>
        <w:rPr>
          <w:rFonts w:ascii="Times New Roman" w:hAnsi="Times New Roman" w:eastAsia="宋体" w:cs="Times New Roman"/>
          <w:bCs/>
          <w:color w:val="auto"/>
          <w:kern w:val="0"/>
          <w:sz w:val="24"/>
          <w:szCs w:val="20"/>
          <w:u w:val="none" w:color="auto"/>
        </w:rPr>
        <w:t>。</w:t>
      </w:r>
    </w:p>
    <w:p w14:paraId="37FA25BC">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（二）无组织废气</w:t>
      </w:r>
    </w:p>
    <w:p w14:paraId="5AA8F2D8">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项目无组织排放的废气主要为钢板下料切割和坡口切割工序</w:t>
      </w:r>
      <w:r>
        <w:rPr>
          <w:rFonts w:hint="eastAsia" w:ascii="Times New Roman" w:hAnsi="Times New Roman" w:eastAsia="宋体" w:cs="Times New Roman"/>
          <w:bCs/>
          <w:color w:val="auto"/>
          <w:kern w:val="0"/>
          <w:sz w:val="24"/>
          <w:szCs w:val="20"/>
          <w:u w:val="none" w:color="auto"/>
        </w:rPr>
        <w:t>产生</w:t>
      </w:r>
      <w:r>
        <w:rPr>
          <w:rFonts w:ascii="Times New Roman" w:hAnsi="Times New Roman" w:eastAsia="宋体" w:cs="Times New Roman"/>
          <w:bCs/>
          <w:color w:val="auto"/>
          <w:kern w:val="0"/>
          <w:sz w:val="24"/>
          <w:szCs w:val="20"/>
          <w:u w:val="none" w:color="auto"/>
        </w:rPr>
        <w:t>的切割粉尘，焊接工序</w:t>
      </w:r>
      <w:r>
        <w:rPr>
          <w:rFonts w:hint="eastAsia" w:ascii="Times New Roman" w:hAnsi="Times New Roman" w:eastAsia="宋体" w:cs="Times New Roman"/>
          <w:bCs/>
          <w:color w:val="auto"/>
          <w:kern w:val="0"/>
          <w:sz w:val="24"/>
          <w:szCs w:val="20"/>
          <w:u w:val="none" w:color="auto"/>
        </w:rPr>
        <w:t>产生的</w:t>
      </w:r>
      <w:r>
        <w:rPr>
          <w:rFonts w:ascii="Times New Roman" w:hAnsi="Times New Roman" w:eastAsia="宋体" w:cs="Times New Roman"/>
          <w:bCs/>
          <w:color w:val="auto"/>
          <w:kern w:val="0"/>
          <w:sz w:val="24"/>
          <w:szCs w:val="20"/>
          <w:u w:val="none" w:color="auto"/>
        </w:rPr>
        <w:t>焊接烟尘，</w:t>
      </w:r>
      <w:r>
        <w:rPr>
          <w:rFonts w:hint="eastAsia" w:ascii="Times New Roman" w:hAnsi="Times New Roman" w:eastAsia="宋体" w:cs="Times New Roman"/>
          <w:bCs/>
          <w:color w:val="auto"/>
          <w:kern w:val="0"/>
          <w:sz w:val="24"/>
          <w:szCs w:val="20"/>
          <w:u w:val="none" w:color="auto"/>
        </w:rPr>
        <w:t>抛丸和喷砂除锈</w:t>
      </w:r>
      <w:r>
        <w:rPr>
          <w:rFonts w:ascii="Times New Roman" w:hAnsi="Times New Roman" w:eastAsia="宋体" w:cs="Times New Roman"/>
          <w:bCs/>
          <w:color w:val="auto"/>
          <w:kern w:val="0"/>
          <w:sz w:val="24"/>
          <w:szCs w:val="20"/>
          <w:u w:val="none" w:color="auto"/>
        </w:rPr>
        <w:t>工序未收集的粉尘，喷漆工序未收集的漆雾</w:t>
      </w:r>
      <w:r>
        <w:rPr>
          <w:rFonts w:hint="eastAsia" w:ascii="Times New Roman" w:hAnsi="Times New Roman" w:eastAsia="宋体" w:cs="Times New Roman"/>
          <w:bCs/>
          <w:color w:val="auto"/>
          <w:kern w:val="0"/>
          <w:sz w:val="24"/>
          <w:szCs w:val="20"/>
          <w:u w:val="none" w:color="auto"/>
        </w:rPr>
        <w:t>、甲苯、</w:t>
      </w:r>
      <w:r>
        <w:rPr>
          <w:rFonts w:ascii="Times New Roman" w:hAnsi="Times New Roman" w:eastAsia="宋体" w:cs="Times New Roman"/>
          <w:bCs/>
          <w:color w:val="auto"/>
          <w:kern w:val="0"/>
          <w:sz w:val="24"/>
          <w:szCs w:val="20"/>
          <w:u w:val="none" w:color="auto"/>
        </w:rPr>
        <w:t>二甲苯、</w:t>
      </w:r>
      <w:r>
        <w:rPr>
          <w:rFonts w:hint="eastAsia" w:ascii="Times New Roman" w:hAnsi="Times New Roman" w:eastAsia="宋体" w:cs="Times New Roman"/>
          <w:bCs/>
          <w:color w:val="auto"/>
          <w:kern w:val="0"/>
          <w:sz w:val="24"/>
          <w:szCs w:val="20"/>
          <w:u w:val="none" w:color="auto"/>
        </w:rPr>
        <w:t>非甲烷总烃</w:t>
      </w:r>
      <w:r>
        <w:rPr>
          <w:rFonts w:ascii="Times New Roman" w:hAnsi="Times New Roman" w:eastAsia="宋体" w:cs="Times New Roman"/>
          <w:bCs/>
          <w:color w:val="auto"/>
          <w:kern w:val="0"/>
          <w:sz w:val="24"/>
          <w:szCs w:val="20"/>
          <w:u w:val="none" w:color="auto"/>
        </w:rPr>
        <w:t xml:space="preserve">。 </w:t>
      </w:r>
    </w:p>
    <w:p w14:paraId="603023F6">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1、切割</w:t>
      </w:r>
      <w:r>
        <w:rPr>
          <w:rFonts w:hint="eastAsia" w:ascii="Times New Roman" w:hAnsi="Times New Roman" w:eastAsia="宋体" w:cs="Times New Roman"/>
          <w:bCs/>
          <w:color w:val="auto"/>
          <w:kern w:val="0"/>
          <w:sz w:val="24"/>
          <w:szCs w:val="20"/>
          <w:u w:val="none" w:color="auto"/>
        </w:rPr>
        <w:t>粉尘</w:t>
      </w:r>
      <w:r>
        <w:rPr>
          <w:rFonts w:ascii="Times New Roman" w:hAnsi="Times New Roman" w:eastAsia="宋体" w:cs="Times New Roman"/>
          <w:bCs/>
          <w:color w:val="auto"/>
          <w:kern w:val="0"/>
          <w:sz w:val="24"/>
          <w:szCs w:val="20"/>
          <w:u w:val="none" w:color="auto"/>
        </w:rPr>
        <w:t xml:space="preserve">、焊接烟尘 </w:t>
      </w:r>
    </w:p>
    <w:p w14:paraId="4ECB95F6">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w:t>
      </w:r>
      <w:r>
        <w:rPr>
          <w:rFonts w:ascii="Times New Roman" w:hAnsi="Times New Roman" w:eastAsia="宋体" w:cs="Times New Roman"/>
          <w:bCs/>
          <w:color w:val="auto"/>
          <w:kern w:val="0"/>
          <w:sz w:val="24"/>
          <w:szCs w:val="20"/>
          <w:u w:val="none" w:color="auto"/>
        </w:rPr>
        <w:t>在</w:t>
      </w:r>
      <w:r>
        <w:rPr>
          <w:rFonts w:hint="eastAsia" w:ascii="Times New Roman" w:hAnsi="Times New Roman" w:eastAsia="宋体" w:cs="Times New Roman"/>
          <w:bCs/>
          <w:color w:val="auto"/>
          <w:kern w:val="0"/>
          <w:sz w:val="24"/>
          <w:szCs w:val="20"/>
          <w:u w:val="none" w:color="auto"/>
        </w:rPr>
        <w:t>主车间产生切割粉尘，配置移动式除尘净化器对切割作业点局部收集处理（收集率为90%，净化率为9</w:t>
      </w:r>
      <w:r>
        <w:rPr>
          <w:rFonts w:hint="eastAsia" w:ascii="Times New Roman" w:hAnsi="Times New Roman" w:eastAsia="宋体" w:cs="Times New Roman"/>
          <w:bCs/>
          <w:color w:val="auto"/>
          <w:kern w:val="0"/>
          <w:sz w:val="24"/>
          <w:szCs w:val="20"/>
          <w:u w:val="none" w:color="auto"/>
          <w:lang w:val="en-US" w:eastAsia="zh-CN"/>
        </w:rPr>
        <w:t>5</w:t>
      </w:r>
      <w:r>
        <w:rPr>
          <w:rFonts w:hint="eastAsia" w:ascii="Times New Roman" w:hAnsi="Times New Roman" w:eastAsia="宋体" w:cs="Times New Roman"/>
          <w:bCs/>
          <w:color w:val="auto"/>
          <w:kern w:val="0"/>
          <w:sz w:val="24"/>
          <w:szCs w:val="20"/>
          <w:u w:val="none" w:color="auto"/>
        </w:rPr>
        <w:t>%）后车间无组织排放；未收集的切割粉尘根据金属粉尘下沉特性，约90%粉尘自然下沉，同时采用机械通风和车间自然通风结合的方式，通过安装排风扇和敞开门窗自然通风，把车间内未被沉降的粉尘排出室外，确保厂界排放指标可满足《大气污染物综合排放标准》（GB16297-1996）表2中无组织排放监控浓度限制要求。项目</w:t>
      </w:r>
      <w:r>
        <w:rPr>
          <w:rFonts w:hint="eastAsia" w:ascii="Times New Roman" w:hAnsi="Times New Roman" w:eastAsia="宋体" w:cs="Times New Roman"/>
          <w:bCs/>
          <w:color w:val="auto"/>
          <w:kern w:val="0"/>
          <w:sz w:val="24"/>
          <w:szCs w:val="20"/>
          <w:u w:val="none" w:color="auto"/>
          <w:lang w:eastAsia="zh-CN"/>
        </w:rPr>
        <w:t>生产车间</w:t>
      </w:r>
      <w:r>
        <w:rPr>
          <w:rFonts w:hint="eastAsia" w:ascii="Times New Roman" w:hAnsi="Times New Roman" w:eastAsia="宋体" w:cs="Times New Roman"/>
          <w:bCs/>
          <w:color w:val="auto"/>
          <w:kern w:val="0"/>
          <w:sz w:val="24"/>
          <w:szCs w:val="20"/>
          <w:u w:val="none" w:color="auto"/>
        </w:rPr>
        <w:t xml:space="preserve">切割粉尘无组织排放量为 </w:t>
      </w:r>
      <w:r>
        <w:rPr>
          <w:rFonts w:hint="eastAsia" w:ascii="Times New Roman" w:hAnsi="Times New Roman" w:eastAsia="宋体" w:cs="Times New Roman"/>
          <w:bCs/>
          <w:color w:val="auto"/>
          <w:kern w:val="0"/>
          <w:sz w:val="24"/>
          <w:szCs w:val="20"/>
          <w:u w:val="none" w:color="auto"/>
          <w:lang w:val="en-US" w:eastAsia="zh-CN"/>
        </w:rPr>
        <w:t>20.719</w:t>
      </w:r>
      <w:r>
        <w:rPr>
          <w:rFonts w:hint="eastAsia" w:ascii="Times New Roman" w:hAnsi="Times New Roman" w:eastAsia="宋体" w:cs="Times New Roman"/>
          <w:bCs/>
          <w:color w:val="auto"/>
          <w:kern w:val="0"/>
          <w:sz w:val="24"/>
          <w:szCs w:val="20"/>
          <w:u w:val="none" w:color="auto"/>
        </w:rPr>
        <w:t>t/a，排放速率为</w:t>
      </w:r>
      <w:r>
        <w:rPr>
          <w:rFonts w:hint="eastAsia" w:ascii="Times New Roman" w:hAnsi="Times New Roman" w:eastAsia="宋体" w:cs="Times New Roman"/>
          <w:bCs/>
          <w:color w:val="auto"/>
          <w:kern w:val="0"/>
          <w:sz w:val="24"/>
          <w:szCs w:val="20"/>
          <w:u w:val="none" w:color="auto"/>
          <w:lang w:val="en-US" w:eastAsia="zh-CN"/>
        </w:rPr>
        <w:t>2.616</w:t>
      </w:r>
      <w:r>
        <w:rPr>
          <w:rFonts w:hint="eastAsia" w:ascii="Times New Roman" w:hAnsi="Times New Roman" w:eastAsia="宋体" w:cs="Times New Roman"/>
          <w:bCs/>
          <w:color w:val="auto"/>
          <w:kern w:val="0"/>
          <w:sz w:val="24"/>
          <w:szCs w:val="20"/>
          <w:u w:val="none" w:color="auto"/>
        </w:rPr>
        <w:t>kg/h。</w:t>
      </w:r>
    </w:p>
    <w:p w14:paraId="13A4ACDE">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w:t>
      </w:r>
      <w:r>
        <w:rPr>
          <w:rFonts w:ascii="Times New Roman" w:hAnsi="Times New Roman" w:eastAsia="宋体" w:cs="Times New Roman"/>
          <w:bCs/>
          <w:color w:val="auto"/>
          <w:kern w:val="0"/>
          <w:sz w:val="24"/>
          <w:szCs w:val="20"/>
          <w:u w:val="none" w:color="auto"/>
        </w:rPr>
        <w:t>在</w:t>
      </w:r>
      <w:r>
        <w:rPr>
          <w:rFonts w:hint="eastAsia" w:ascii="Times New Roman" w:hAnsi="Times New Roman" w:eastAsia="宋体" w:cs="Times New Roman"/>
          <w:bCs/>
          <w:color w:val="auto"/>
          <w:kern w:val="0"/>
          <w:sz w:val="24"/>
          <w:szCs w:val="20"/>
          <w:u w:val="none" w:color="auto"/>
        </w:rPr>
        <w:t>主车间产生焊接烟尘，配置移动式烟尘净化器对焊接作业点局部收集处理（收集率为90%，净化率为9</w:t>
      </w:r>
      <w:r>
        <w:rPr>
          <w:rFonts w:hint="eastAsia" w:ascii="Times New Roman" w:hAnsi="Times New Roman" w:eastAsia="宋体" w:cs="Times New Roman"/>
          <w:bCs/>
          <w:color w:val="auto"/>
          <w:kern w:val="0"/>
          <w:sz w:val="24"/>
          <w:szCs w:val="20"/>
          <w:u w:val="none" w:color="auto"/>
          <w:lang w:val="en-US" w:eastAsia="zh-CN"/>
        </w:rPr>
        <w:t>5</w:t>
      </w:r>
      <w:r>
        <w:rPr>
          <w:rFonts w:hint="eastAsia" w:ascii="Times New Roman" w:hAnsi="Times New Roman" w:eastAsia="宋体" w:cs="Times New Roman"/>
          <w:bCs/>
          <w:color w:val="auto"/>
          <w:kern w:val="0"/>
          <w:sz w:val="24"/>
          <w:szCs w:val="20"/>
          <w:u w:val="none" w:color="auto"/>
        </w:rPr>
        <w:t>%）后车间无组织排放；未收集的焊接烟尘采用机械通风和车间自然通风结合的方式，通过安装排风扇和敞开门窗自然通风，把车间内未被收集的烟尘排出室外，确保厂界排放指标可满足《大气污染物综合排放标准》（GB16297-1996）表2中无组织排放监控浓度限制要求。项目</w:t>
      </w:r>
      <w:r>
        <w:rPr>
          <w:rFonts w:hint="eastAsia" w:ascii="Times New Roman" w:hAnsi="Times New Roman" w:eastAsia="宋体" w:cs="Times New Roman"/>
          <w:bCs/>
          <w:color w:val="auto"/>
          <w:kern w:val="0"/>
          <w:sz w:val="24"/>
          <w:szCs w:val="20"/>
          <w:u w:val="none" w:color="auto"/>
          <w:lang w:val="en-US" w:eastAsia="zh-CN"/>
        </w:rPr>
        <w:t>装焊车间</w:t>
      </w:r>
      <w:r>
        <w:rPr>
          <w:rFonts w:hint="eastAsia" w:ascii="Times New Roman" w:hAnsi="Times New Roman" w:eastAsia="宋体" w:cs="Times New Roman"/>
          <w:bCs/>
          <w:color w:val="auto"/>
          <w:kern w:val="0"/>
          <w:sz w:val="24"/>
          <w:szCs w:val="20"/>
          <w:u w:val="none" w:color="auto"/>
        </w:rPr>
        <w:t>焊接烟尘无组织排放量为</w:t>
      </w:r>
      <w:r>
        <w:rPr>
          <w:rFonts w:hint="eastAsia" w:ascii="Times New Roman" w:hAnsi="Times New Roman" w:eastAsia="宋体" w:cs="Times New Roman"/>
          <w:bCs/>
          <w:color w:val="auto"/>
          <w:kern w:val="0"/>
          <w:sz w:val="24"/>
          <w:szCs w:val="20"/>
          <w:u w:val="none" w:color="auto"/>
          <w:lang w:val="en-US" w:eastAsia="zh-CN"/>
        </w:rPr>
        <w:t>2.34</w:t>
      </w:r>
      <w:r>
        <w:rPr>
          <w:rFonts w:hint="eastAsia" w:ascii="Times New Roman" w:hAnsi="Times New Roman" w:eastAsia="宋体" w:cs="Times New Roman"/>
          <w:bCs/>
          <w:color w:val="auto"/>
          <w:kern w:val="0"/>
          <w:sz w:val="24"/>
          <w:szCs w:val="20"/>
          <w:u w:val="none" w:color="auto"/>
        </w:rPr>
        <w:t>t/a，排放速率为0.</w:t>
      </w:r>
      <w:r>
        <w:rPr>
          <w:rFonts w:hint="eastAsia" w:ascii="Times New Roman" w:hAnsi="Times New Roman" w:eastAsia="宋体" w:cs="Times New Roman"/>
          <w:bCs/>
          <w:color w:val="auto"/>
          <w:kern w:val="0"/>
          <w:sz w:val="24"/>
          <w:szCs w:val="20"/>
          <w:u w:val="none" w:color="auto"/>
          <w:lang w:val="en-US" w:eastAsia="zh-CN"/>
        </w:rPr>
        <w:t>295</w:t>
      </w:r>
      <w:r>
        <w:rPr>
          <w:rFonts w:hint="eastAsia" w:ascii="Times New Roman" w:hAnsi="Times New Roman" w:eastAsia="宋体" w:cs="Times New Roman"/>
          <w:bCs/>
          <w:color w:val="auto"/>
          <w:kern w:val="0"/>
          <w:sz w:val="24"/>
          <w:szCs w:val="20"/>
          <w:u w:val="none" w:color="auto"/>
        </w:rPr>
        <w:t>kg/h。</w:t>
      </w:r>
    </w:p>
    <w:p w14:paraId="45D2E95A">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移动式除尘净化器及移动式烟尘除尘器工作原理一致：通过风机引力作用，废气经万向吸尘罩吸入设备进风口，设备进风口处设有阻火器，火花经阻火器被阻留，烟尘气体进入沉降室，利用重力与上行气流，首先将粗粒尘直接降至灰斗，微粒烟尘被滤芯捕 集在外表面，洁净气体经滤芯过滤净化后，由滤芯中心流入洁净室，洁净空气又经活性碳过滤器吸附进一步净化后经出风口达标排出。</w:t>
      </w:r>
    </w:p>
    <w:p w14:paraId="70FFCE7D">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根据《山东呈祥电气有限公司风塔生产项目竣工环境保护验收报告》，该项目切割粉尘采用移动式除尘净化器处理后无组织排放，其检测数据显示，项目无组织排放的颗粒物浓度最大值为 0.109mg/m</w:t>
      </w:r>
      <w:r>
        <w:rPr>
          <w:rFonts w:ascii="Times New Roman" w:hAnsi="Times New Roman" w:eastAsia="宋体" w:cs="Times New Roman"/>
          <w:bCs/>
          <w:color w:val="auto"/>
          <w:kern w:val="0"/>
          <w:sz w:val="24"/>
          <w:szCs w:val="20"/>
          <w:u w:val="none" w:color="auto"/>
          <w:vertAlign w:val="superscript"/>
        </w:rPr>
        <w:t>3</w:t>
      </w:r>
      <w:r>
        <w:rPr>
          <w:rFonts w:ascii="Times New Roman" w:hAnsi="Times New Roman" w:eastAsia="宋体" w:cs="Times New Roman"/>
          <w:bCs/>
          <w:color w:val="auto"/>
          <w:kern w:val="0"/>
          <w:sz w:val="24"/>
          <w:szCs w:val="20"/>
          <w:u w:val="none" w:color="auto"/>
        </w:rPr>
        <w:t>（上风向）、0.153mg/m</w:t>
      </w:r>
      <w:r>
        <w:rPr>
          <w:rFonts w:ascii="Times New Roman" w:hAnsi="Times New Roman" w:eastAsia="宋体" w:cs="Times New Roman"/>
          <w:bCs/>
          <w:color w:val="auto"/>
          <w:kern w:val="0"/>
          <w:sz w:val="24"/>
          <w:szCs w:val="20"/>
          <w:u w:val="none" w:color="auto"/>
          <w:vertAlign w:val="superscript"/>
        </w:rPr>
        <w:t>3</w:t>
      </w:r>
      <w:r>
        <w:rPr>
          <w:rFonts w:ascii="Times New Roman" w:hAnsi="Times New Roman" w:eastAsia="宋体" w:cs="Times New Roman"/>
          <w:bCs/>
          <w:color w:val="auto"/>
          <w:kern w:val="0"/>
          <w:sz w:val="24"/>
          <w:szCs w:val="20"/>
          <w:u w:val="none" w:color="auto"/>
        </w:rPr>
        <w:t>（下风向），满足《大气污染物综合排放标准》（GB16297-1996）表2中无组织排放监控浓度限制要求</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因此</w:t>
      </w:r>
      <w:r>
        <w:rPr>
          <w:rFonts w:hint="eastAsia" w:ascii="Times New Roman" w:hAnsi="Times New Roman" w:eastAsia="宋体" w:cs="Times New Roman"/>
          <w:bCs/>
          <w:color w:val="auto"/>
          <w:kern w:val="0"/>
          <w:sz w:val="24"/>
          <w:szCs w:val="20"/>
          <w:u w:val="none" w:color="auto"/>
        </w:rPr>
        <w:t>，项目</w:t>
      </w:r>
      <w:r>
        <w:rPr>
          <w:rFonts w:ascii="Times New Roman" w:hAnsi="Times New Roman" w:eastAsia="宋体" w:cs="Times New Roman"/>
          <w:bCs/>
          <w:color w:val="auto"/>
          <w:kern w:val="0"/>
          <w:sz w:val="24"/>
          <w:szCs w:val="20"/>
          <w:u w:val="none" w:color="auto"/>
        </w:rPr>
        <w:t>采用移动式除尘净化器处理切割产生的粉尘及采用移动式</w:t>
      </w:r>
      <w:r>
        <w:rPr>
          <w:rFonts w:hint="eastAsia" w:ascii="Times New Roman" w:hAnsi="Times New Roman" w:eastAsia="宋体" w:cs="Times New Roman"/>
          <w:bCs/>
          <w:color w:val="auto"/>
          <w:kern w:val="0"/>
          <w:sz w:val="24"/>
          <w:szCs w:val="20"/>
          <w:u w:val="none" w:color="auto"/>
        </w:rPr>
        <w:t>烟尘</w:t>
      </w:r>
      <w:r>
        <w:rPr>
          <w:rFonts w:ascii="Times New Roman" w:hAnsi="Times New Roman" w:eastAsia="宋体" w:cs="Times New Roman"/>
          <w:bCs/>
          <w:color w:val="auto"/>
          <w:kern w:val="0"/>
          <w:sz w:val="24"/>
          <w:szCs w:val="20"/>
          <w:u w:val="none" w:color="auto"/>
        </w:rPr>
        <w:t>除尘器处理焊接烟尘，</w:t>
      </w:r>
      <w:r>
        <w:rPr>
          <w:rFonts w:hint="eastAsia" w:ascii="Times New Roman" w:hAnsi="Times New Roman" w:eastAsia="宋体" w:cs="Times New Roman"/>
          <w:bCs/>
          <w:color w:val="auto"/>
          <w:kern w:val="0"/>
          <w:sz w:val="24"/>
          <w:szCs w:val="20"/>
          <w:u w:val="none" w:color="auto"/>
        </w:rPr>
        <w:t>厂界颗粒物</w:t>
      </w:r>
      <w:r>
        <w:rPr>
          <w:rFonts w:ascii="Times New Roman" w:hAnsi="Times New Roman" w:eastAsia="宋体" w:cs="Times New Roman"/>
          <w:bCs/>
          <w:color w:val="auto"/>
          <w:kern w:val="0"/>
          <w:sz w:val="24"/>
          <w:szCs w:val="20"/>
          <w:u w:val="none" w:color="auto"/>
        </w:rPr>
        <w:t xml:space="preserve">无组织达标排放是可行的。 </w:t>
      </w:r>
    </w:p>
    <w:p w14:paraId="7BB183C2">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2、</w:t>
      </w:r>
      <w:r>
        <w:rPr>
          <w:rFonts w:hint="eastAsia" w:ascii="Times New Roman" w:hAnsi="Times New Roman" w:eastAsia="宋体" w:cs="Times New Roman"/>
          <w:bCs/>
          <w:color w:val="auto"/>
          <w:kern w:val="0"/>
          <w:sz w:val="24"/>
          <w:szCs w:val="20"/>
          <w:u w:val="none" w:color="auto"/>
        </w:rPr>
        <w:t>抛丸和喷砂工序</w:t>
      </w:r>
      <w:r>
        <w:rPr>
          <w:rFonts w:ascii="Times New Roman" w:hAnsi="Times New Roman" w:eastAsia="宋体" w:cs="Times New Roman"/>
          <w:bCs/>
          <w:color w:val="auto"/>
          <w:kern w:val="0"/>
          <w:sz w:val="24"/>
          <w:szCs w:val="20"/>
          <w:u w:val="none" w:color="auto"/>
        </w:rPr>
        <w:t xml:space="preserve">未收集粉尘 </w:t>
      </w:r>
    </w:p>
    <w:p w14:paraId="31A0DA3B">
      <w:pPr>
        <w:autoSpaceDE w:val="0"/>
        <w:autoSpaceDN w:val="0"/>
        <w:spacing w:line="360" w:lineRule="auto"/>
        <w:ind w:firstLine="480" w:firstLineChars="200"/>
        <w:jc w:val="left"/>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项目抛丸和喷砂</w:t>
      </w:r>
      <w:r>
        <w:rPr>
          <w:rFonts w:ascii="Times New Roman" w:hAnsi="Times New Roman" w:eastAsia="宋体" w:cs="Times New Roman"/>
          <w:bCs/>
          <w:color w:val="auto"/>
          <w:kern w:val="0"/>
          <w:sz w:val="24"/>
          <w:szCs w:val="20"/>
          <w:u w:val="none" w:color="auto"/>
        </w:rPr>
        <w:t>未收集粉尘</w:t>
      </w:r>
      <w:r>
        <w:rPr>
          <w:rFonts w:hint="eastAsia" w:ascii="Times New Roman" w:hAnsi="Times New Roman" w:eastAsia="宋体" w:cs="Times New Roman"/>
          <w:bCs/>
          <w:color w:val="auto"/>
          <w:kern w:val="0"/>
          <w:sz w:val="24"/>
          <w:szCs w:val="20"/>
          <w:u w:val="none" w:color="auto"/>
        </w:rPr>
        <w:t>，根据金属粉尘下沉特性，约90%粉尘自然下沉，同时采用机械通风和车间自然通风结合的方式，通过安装排风扇和敞开门窗自然通风，把车间内未被沉降的粉尘排出室外。项目抛丸和喷砂工序均在</w:t>
      </w:r>
      <w:r>
        <w:rPr>
          <w:rFonts w:hint="eastAsia" w:ascii="Times New Roman" w:hAnsi="Times New Roman" w:eastAsia="宋体" w:cs="Times New Roman"/>
          <w:bCs/>
          <w:color w:val="auto"/>
          <w:kern w:val="0"/>
          <w:sz w:val="24"/>
          <w:szCs w:val="20"/>
          <w:u w:val="none" w:color="auto"/>
          <w:lang w:eastAsia="zh-CN"/>
        </w:rPr>
        <w:t>涂装车间</w:t>
      </w:r>
      <w:r>
        <w:rPr>
          <w:rFonts w:hint="eastAsia" w:ascii="Times New Roman" w:hAnsi="Times New Roman" w:eastAsia="宋体" w:cs="Times New Roman"/>
          <w:bCs/>
          <w:color w:val="auto"/>
          <w:kern w:val="0"/>
          <w:sz w:val="24"/>
          <w:szCs w:val="20"/>
          <w:u w:val="none" w:color="auto"/>
        </w:rPr>
        <w:t>内进行，因此</w:t>
      </w:r>
      <w:r>
        <w:rPr>
          <w:rFonts w:hint="eastAsia" w:ascii="Times New Roman" w:hAnsi="Times New Roman" w:eastAsia="宋体" w:cs="Times New Roman"/>
          <w:bCs/>
          <w:color w:val="auto"/>
          <w:kern w:val="0"/>
          <w:sz w:val="24"/>
          <w:szCs w:val="20"/>
          <w:u w:val="none" w:color="auto"/>
          <w:lang w:eastAsia="zh-CN"/>
        </w:rPr>
        <w:t>涂装车间</w:t>
      </w:r>
      <w:r>
        <w:rPr>
          <w:rFonts w:hint="eastAsia" w:ascii="Times New Roman" w:hAnsi="Times New Roman" w:eastAsia="宋体" w:cs="Times New Roman"/>
          <w:bCs/>
          <w:color w:val="auto"/>
          <w:kern w:val="0"/>
          <w:sz w:val="24"/>
          <w:szCs w:val="20"/>
          <w:u w:val="none" w:color="auto"/>
        </w:rPr>
        <w:t>抛丸和喷砂粉尘无组织排放量为</w:t>
      </w:r>
      <w:r>
        <w:rPr>
          <w:rFonts w:hint="eastAsia" w:ascii="Times New Roman" w:hAnsi="Times New Roman" w:eastAsia="宋体" w:cs="Times New Roman"/>
          <w:bCs/>
          <w:color w:val="auto"/>
          <w:kern w:val="0"/>
          <w:sz w:val="24"/>
          <w:szCs w:val="20"/>
          <w:u w:val="none" w:color="auto"/>
          <w:lang w:val="en-US" w:eastAsia="zh-CN"/>
        </w:rPr>
        <w:t>2.54</w:t>
      </w:r>
      <w:r>
        <w:rPr>
          <w:rFonts w:hint="eastAsia" w:ascii="Times New Roman" w:hAnsi="Times New Roman" w:eastAsia="宋体" w:cs="Times New Roman"/>
          <w:bCs/>
          <w:color w:val="auto"/>
          <w:kern w:val="0"/>
          <w:sz w:val="24"/>
          <w:szCs w:val="20"/>
          <w:u w:val="none" w:color="auto"/>
        </w:rPr>
        <w:t>t/a，排放速率为0.</w:t>
      </w:r>
      <w:r>
        <w:rPr>
          <w:rFonts w:hint="eastAsia" w:ascii="Times New Roman" w:hAnsi="Times New Roman" w:eastAsia="宋体" w:cs="Times New Roman"/>
          <w:bCs/>
          <w:color w:val="auto"/>
          <w:kern w:val="0"/>
          <w:sz w:val="24"/>
          <w:szCs w:val="20"/>
          <w:u w:val="none" w:color="auto"/>
          <w:lang w:val="en-US" w:eastAsia="zh-CN"/>
        </w:rPr>
        <w:t>321</w:t>
      </w:r>
      <w:r>
        <w:rPr>
          <w:rFonts w:hint="eastAsia" w:ascii="Times New Roman" w:hAnsi="Times New Roman" w:eastAsia="宋体" w:cs="Times New Roman"/>
          <w:bCs/>
          <w:color w:val="auto"/>
          <w:kern w:val="0"/>
          <w:sz w:val="24"/>
          <w:szCs w:val="20"/>
          <w:u w:val="none" w:color="auto"/>
        </w:rPr>
        <w:t>kg/h，厂界排放指标可满足《大气污染物综合排放标准》（GB16297-1996）表2中无组织排放监控浓度限制要求。</w:t>
      </w:r>
    </w:p>
    <w:p w14:paraId="0BCC7E12">
      <w:pPr>
        <w:autoSpaceDE w:val="0"/>
        <w:autoSpaceDN w:val="0"/>
        <w:spacing w:line="360" w:lineRule="auto"/>
        <w:ind w:firstLine="480" w:firstLineChars="200"/>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3、喷漆废气</w:t>
      </w:r>
    </w:p>
    <w:p w14:paraId="0E65542E">
      <w:pPr>
        <w:autoSpaceDE w:val="0"/>
        <w:autoSpaceDN w:val="0"/>
        <w:spacing w:line="360" w:lineRule="auto"/>
        <w:ind w:firstLine="480" w:firstLineChars="200"/>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single" w:color="auto"/>
        </w:rPr>
        <w:t>项目</w:t>
      </w:r>
      <w:r>
        <w:rPr>
          <w:rFonts w:ascii="Times New Roman" w:hAnsi="Times New Roman" w:eastAsia="宋体" w:cs="Times New Roman"/>
          <w:bCs/>
          <w:color w:val="auto"/>
          <w:kern w:val="0"/>
          <w:sz w:val="24"/>
          <w:szCs w:val="20"/>
          <w:u w:val="single" w:color="auto"/>
        </w:rPr>
        <w:t>喷漆工序过程未收集的漆雾排放量为</w:t>
      </w:r>
      <w:r>
        <w:rPr>
          <w:rFonts w:hint="eastAsia" w:ascii="Times New Roman" w:hAnsi="Times New Roman" w:eastAsia="宋体" w:cs="Times New Roman"/>
          <w:bCs/>
          <w:color w:val="auto"/>
          <w:kern w:val="0"/>
          <w:sz w:val="24"/>
          <w:szCs w:val="20"/>
          <w:u w:val="single" w:color="auto"/>
          <w:lang w:val="en-US" w:eastAsia="zh-CN"/>
        </w:rPr>
        <w:t>1.828</w:t>
      </w:r>
      <w:r>
        <w:rPr>
          <w:rFonts w:ascii="Times New Roman" w:hAnsi="Times New Roman" w:eastAsia="宋体" w:cs="Times New Roman"/>
          <w:bCs/>
          <w:color w:val="auto"/>
          <w:kern w:val="0"/>
          <w:sz w:val="24"/>
          <w:szCs w:val="20"/>
          <w:u w:val="single" w:color="auto"/>
        </w:rPr>
        <w:t>t/a，排放速率</w:t>
      </w:r>
      <w:r>
        <w:rPr>
          <w:rFonts w:hint="eastAsia" w:ascii="Times New Roman" w:hAnsi="Times New Roman" w:eastAsia="宋体" w:cs="Times New Roman"/>
          <w:bCs/>
          <w:color w:val="auto"/>
          <w:kern w:val="0"/>
          <w:sz w:val="24"/>
          <w:szCs w:val="20"/>
          <w:u w:val="single" w:color="auto"/>
        </w:rPr>
        <w:t>0.</w:t>
      </w:r>
      <w:r>
        <w:rPr>
          <w:rFonts w:hint="eastAsia" w:ascii="Times New Roman" w:hAnsi="Times New Roman" w:eastAsia="宋体" w:cs="Times New Roman"/>
          <w:bCs/>
          <w:color w:val="auto"/>
          <w:kern w:val="0"/>
          <w:sz w:val="24"/>
          <w:szCs w:val="20"/>
          <w:u w:val="single" w:color="auto"/>
          <w:lang w:val="en-US" w:eastAsia="zh-CN"/>
        </w:rPr>
        <w:t>346</w:t>
      </w:r>
      <w:r>
        <w:rPr>
          <w:rFonts w:ascii="Times New Roman" w:hAnsi="Times New Roman" w:eastAsia="宋体" w:cs="Times New Roman"/>
          <w:bCs/>
          <w:color w:val="auto"/>
          <w:kern w:val="0"/>
          <w:sz w:val="24"/>
          <w:szCs w:val="20"/>
          <w:u w:val="single" w:color="auto"/>
        </w:rPr>
        <w:t>kg/h</w:t>
      </w:r>
      <w:r>
        <w:rPr>
          <w:rFonts w:hint="eastAsia" w:ascii="Times New Roman" w:hAnsi="Times New Roman" w:eastAsia="宋体" w:cs="Times New Roman"/>
          <w:bCs/>
          <w:color w:val="auto"/>
          <w:kern w:val="0"/>
          <w:sz w:val="24"/>
          <w:szCs w:val="20"/>
          <w:u w:val="single" w:color="auto"/>
        </w:rPr>
        <w:t>；</w:t>
      </w:r>
      <w:r>
        <w:rPr>
          <w:rFonts w:ascii="Times New Roman" w:hAnsi="Times New Roman" w:eastAsia="宋体" w:cs="Times New Roman"/>
          <w:bCs/>
          <w:color w:val="auto"/>
          <w:kern w:val="0"/>
          <w:sz w:val="24"/>
          <w:szCs w:val="20"/>
          <w:u w:val="single" w:color="auto"/>
        </w:rPr>
        <w:t>甲苯排放量为</w:t>
      </w:r>
      <w:r>
        <w:rPr>
          <w:rFonts w:hint="eastAsia" w:ascii="Times New Roman" w:hAnsi="Times New Roman" w:eastAsia="宋体" w:cs="Times New Roman"/>
          <w:bCs/>
          <w:color w:val="auto"/>
          <w:kern w:val="0"/>
          <w:sz w:val="24"/>
          <w:szCs w:val="20"/>
          <w:u w:val="single" w:color="auto"/>
        </w:rPr>
        <w:t>0.0</w:t>
      </w:r>
      <w:r>
        <w:rPr>
          <w:rFonts w:hint="eastAsia" w:ascii="Times New Roman" w:hAnsi="Times New Roman" w:eastAsia="宋体" w:cs="Times New Roman"/>
          <w:bCs/>
          <w:color w:val="auto"/>
          <w:kern w:val="0"/>
          <w:sz w:val="24"/>
          <w:szCs w:val="20"/>
          <w:u w:val="single" w:color="auto"/>
          <w:lang w:val="en-US" w:eastAsia="zh-CN"/>
        </w:rPr>
        <w:t>08</w:t>
      </w:r>
      <w:r>
        <w:rPr>
          <w:rFonts w:ascii="Times New Roman" w:hAnsi="Times New Roman" w:eastAsia="宋体" w:cs="Times New Roman"/>
          <w:bCs/>
          <w:color w:val="auto"/>
          <w:kern w:val="0"/>
          <w:sz w:val="24"/>
          <w:szCs w:val="20"/>
          <w:u w:val="single" w:color="auto"/>
        </w:rPr>
        <w:t>t/a，排放速率</w:t>
      </w:r>
      <w:r>
        <w:rPr>
          <w:rFonts w:hint="eastAsia" w:ascii="Times New Roman" w:hAnsi="Times New Roman" w:eastAsia="宋体" w:cs="Times New Roman"/>
          <w:bCs/>
          <w:color w:val="auto"/>
          <w:kern w:val="0"/>
          <w:sz w:val="24"/>
          <w:szCs w:val="20"/>
          <w:u w:val="single" w:color="auto"/>
        </w:rPr>
        <w:t>0.0</w:t>
      </w:r>
      <w:r>
        <w:rPr>
          <w:rFonts w:hint="eastAsia" w:ascii="Times New Roman" w:hAnsi="Times New Roman" w:eastAsia="宋体" w:cs="Times New Roman"/>
          <w:bCs/>
          <w:color w:val="auto"/>
          <w:kern w:val="0"/>
          <w:sz w:val="24"/>
          <w:szCs w:val="20"/>
          <w:u w:val="single" w:color="auto"/>
          <w:lang w:val="en-US" w:eastAsia="zh-CN"/>
        </w:rPr>
        <w:t>0</w:t>
      </w:r>
      <w:r>
        <w:rPr>
          <w:rFonts w:hint="eastAsia" w:ascii="Times New Roman" w:hAnsi="Times New Roman" w:eastAsia="宋体" w:cs="Times New Roman"/>
          <w:bCs/>
          <w:color w:val="auto"/>
          <w:kern w:val="0"/>
          <w:sz w:val="24"/>
          <w:szCs w:val="20"/>
          <w:u w:val="single" w:color="auto"/>
        </w:rPr>
        <w:t>1</w:t>
      </w:r>
      <w:r>
        <w:rPr>
          <w:rFonts w:ascii="Times New Roman" w:hAnsi="Times New Roman" w:eastAsia="宋体" w:cs="Times New Roman"/>
          <w:bCs/>
          <w:color w:val="auto"/>
          <w:kern w:val="0"/>
          <w:sz w:val="24"/>
          <w:szCs w:val="20"/>
          <w:u w:val="single" w:color="auto"/>
        </w:rPr>
        <w:t>kg/h</w:t>
      </w:r>
      <w:r>
        <w:rPr>
          <w:rFonts w:hint="eastAsia" w:ascii="Times New Roman" w:hAnsi="Times New Roman" w:eastAsia="宋体" w:cs="Times New Roman"/>
          <w:bCs/>
          <w:color w:val="auto"/>
          <w:kern w:val="0"/>
          <w:sz w:val="24"/>
          <w:szCs w:val="20"/>
          <w:u w:val="single" w:color="auto"/>
        </w:rPr>
        <w:t>；</w:t>
      </w:r>
      <w:r>
        <w:rPr>
          <w:rFonts w:ascii="Times New Roman" w:hAnsi="Times New Roman" w:eastAsia="宋体" w:cs="Times New Roman"/>
          <w:bCs/>
          <w:color w:val="auto"/>
          <w:kern w:val="0"/>
          <w:sz w:val="24"/>
          <w:szCs w:val="20"/>
          <w:u w:val="single" w:color="auto"/>
        </w:rPr>
        <w:t>二甲苯排放量为</w:t>
      </w:r>
      <w:r>
        <w:rPr>
          <w:rFonts w:hint="eastAsia" w:ascii="Times New Roman" w:hAnsi="Times New Roman" w:eastAsia="宋体" w:cs="Times New Roman"/>
          <w:bCs/>
          <w:color w:val="auto"/>
          <w:kern w:val="0"/>
          <w:sz w:val="24"/>
          <w:szCs w:val="20"/>
          <w:u w:val="single" w:color="auto"/>
          <w:lang w:val="en-US" w:eastAsia="zh-CN"/>
        </w:rPr>
        <w:t>3.081</w:t>
      </w:r>
      <w:r>
        <w:rPr>
          <w:rFonts w:ascii="Times New Roman" w:hAnsi="Times New Roman" w:eastAsia="宋体" w:cs="Times New Roman"/>
          <w:bCs/>
          <w:color w:val="auto"/>
          <w:kern w:val="0"/>
          <w:sz w:val="24"/>
          <w:szCs w:val="20"/>
          <w:u w:val="single" w:color="auto"/>
        </w:rPr>
        <w:t>t/a，排放速率</w:t>
      </w:r>
      <w:r>
        <w:rPr>
          <w:rFonts w:hint="eastAsia" w:ascii="Times New Roman" w:hAnsi="Times New Roman" w:eastAsia="宋体" w:cs="Times New Roman"/>
          <w:bCs/>
          <w:color w:val="auto"/>
          <w:kern w:val="0"/>
          <w:sz w:val="24"/>
          <w:szCs w:val="20"/>
          <w:u w:val="single" w:color="auto"/>
        </w:rPr>
        <w:t>0.</w:t>
      </w:r>
      <w:r>
        <w:rPr>
          <w:rFonts w:hint="eastAsia" w:ascii="Times New Roman" w:hAnsi="Times New Roman" w:eastAsia="宋体" w:cs="Times New Roman"/>
          <w:bCs/>
          <w:color w:val="auto"/>
          <w:kern w:val="0"/>
          <w:sz w:val="24"/>
          <w:szCs w:val="20"/>
          <w:u w:val="single" w:color="auto"/>
          <w:lang w:val="en-US" w:eastAsia="zh-CN"/>
        </w:rPr>
        <w:t>526</w:t>
      </w:r>
      <w:r>
        <w:rPr>
          <w:rFonts w:ascii="Times New Roman" w:hAnsi="Times New Roman" w:eastAsia="宋体" w:cs="Times New Roman"/>
          <w:bCs/>
          <w:color w:val="auto"/>
          <w:kern w:val="0"/>
          <w:sz w:val="24"/>
          <w:szCs w:val="20"/>
          <w:u w:val="single" w:color="auto"/>
        </w:rPr>
        <w:t>kg/h</w:t>
      </w:r>
      <w:r>
        <w:rPr>
          <w:rFonts w:hint="eastAsia" w:ascii="Times New Roman" w:hAnsi="Times New Roman" w:eastAsia="宋体" w:cs="Times New Roman"/>
          <w:bCs/>
          <w:color w:val="auto"/>
          <w:kern w:val="0"/>
          <w:sz w:val="24"/>
          <w:szCs w:val="20"/>
          <w:u w:val="single" w:color="auto"/>
        </w:rPr>
        <w:t>；非甲烷总烃</w:t>
      </w:r>
      <w:r>
        <w:rPr>
          <w:rFonts w:ascii="Times New Roman" w:hAnsi="Times New Roman" w:eastAsia="宋体" w:cs="Times New Roman"/>
          <w:bCs/>
          <w:color w:val="auto"/>
          <w:kern w:val="0"/>
          <w:sz w:val="24"/>
          <w:szCs w:val="20"/>
          <w:u w:val="single" w:color="auto"/>
        </w:rPr>
        <w:t>排放量为</w:t>
      </w:r>
      <w:r>
        <w:rPr>
          <w:rFonts w:hint="eastAsia" w:ascii="Times New Roman" w:hAnsi="Times New Roman" w:eastAsia="宋体" w:cs="Times New Roman"/>
          <w:bCs/>
          <w:color w:val="auto"/>
          <w:kern w:val="0"/>
          <w:sz w:val="24"/>
          <w:szCs w:val="20"/>
          <w:u w:val="single" w:color="auto"/>
          <w:lang w:val="en-US" w:eastAsia="zh-CN"/>
        </w:rPr>
        <w:t>5.5636</w:t>
      </w:r>
      <w:r>
        <w:rPr>
          <w:rFonts w:ascii="Times New Roman" w:hAnsi="Times New Roman" w:eastAsia="宋体" w:cs="Times New Roman"/>
          <w:bCs/>
          <w:color w:val="auto"/>
          <w:kern w:val="0"/>
          <w:sz w:val="24"/>
          <w:szCs w:val="20"/>
          <w:u w:val="single" w:color="auto"/>
        </w:rPr>
        <w:t>t/a，排放速率为</w:t>
      </w:r>
      <w:r>
        <w:rPr>
          <w:rFonts w:hint="eastAsia" w:ascii="Times New Roman" w:hAnsi="Times New Roman" w:eastAsia="宋体" w:cs="Times New Roman"/>
          <w:bCs/>
          <w:color w:val="auto"/>
          <w:kern w:val="0"/>
          <w:sz w:val="24"/>
          <w:szCs w:val="20"/>
          <w:u w:val="single" w:color="auto"/>
          <w:lang w:val="en-US" w:eastAsia="zh-CN"/>
        </w:rPr>
        <w:t>0.9490802</w:t>
      </w:r>
      <w:r>
        <w:rPr>
          <w:rFonts w:ascii="Times New Roman" w:hAnsi="Times New Roman" w:eastAsia="宋体" w:cs="Times New Roman"/>
          <w:bCs/>
          <w:color w:val="auto"/>
          <w:kern w:val="0"/>
          <w:sz w:val="24"/>
          <w:szCs w:val="20"/>
          <w:u w:val="single" w:color="auto"/>
        </w:rPr>
        <w:t>kg/h。</w:t>
      </w:r>
      <w:r>
        <w:rPr>
          <w:rFonts w:ascii="Times New Roman" w:hAnsi="Times New Roman" w:eastAsia="宋体" w:cs="Times New Roman"/>
          <w:bCs/>
          <w:color w:val="auto"/>
          <w:kern w:val="0"/>
          <w:sz w:val="24"/>
          <w:szCs w:val="20"/>
          <w:u w:val="none" w:color="auto"/>
        </w:rPr>
        <w:t>在生产实际中，主要通过以下几个方面对无组织废气进行控制：①</w:t>
      </w:r>
      <w:r>
        <w:rPr>
          <w:rFonts w:hint="eastAsia" w:ascii="Times New Roman" w:hAnsi="Times New Roman" w:eastAsia="宋体" w:cs="Times New Roman"/>
          <w:bCs/>
          <w:color w:val="auto"/>
          <w:kern w:val="0"/>
          <w:sz w:val="24"/>
          <w:szCs w:val="20"/>
          <w:u w:val="none" w:color="auto"/>
        </w:rPr>
        <w:t>项目使用的油漆、稀释剂和固化剂</w:t>
      </w:r>
      <w:r>
        <w:rPr>
          <w:rFonts w:ascii="Times New Roman" w:hAnsi="Times New Roman" w:eastAsia="宋体" w:cs="Times New Roman"/>
          <w:bCs/>
          <w:color w:val="auto"/>
          <w:kern w:val="0"/>
          <w:sz w:val="24"/>
          <w:szCs w:val="20"/>
          <w:u w:val="none" w:color="auto"/>
        </w:rPr>
        <w:t>均为低VOCs含量原辅材料，采用高压无气喷涂</w:t>
      </w:r>
      <w:r>
        <w:rPr>
          <w:rFonts w:hint="eastAsia" w:ascii="Times New Roman" w:hAnsi="Times New Roman" w:eastAsia="宋体" w:cs="Times New Roman"/>
          <w:bCs/>
          <w:color w:val="auto"/>
          <w:kern w:val="0"/>
          <w:sz w:val="24"/>
          <w:szCs w:val="20"/>
          <w:u w:val="none" w:color="auto"/>
        </w:rPr>
        <w:t>枪</w:t>
      </w:r>
      <w:r>
        <w:rPr>
          <w:rFonts w:ascii="Times New Roman" w:hAnsi="Times New Roman" w:eastAsia="宋体" w:cs="Times New Roman"/>
          <w:bCs/>
          <w:color w:val="auto"/>
          <w:kern w:val="0"/>
          <w:sz w:val="24"/>
          <w:szCs w:val="20"/>
          <w:u w:val="none" w:color="auto"/>
        </w:rPr>
        <w:t>进行</w:t>
      </w:r>
      <w:r>
        <w:rPr>
          <w:rFonts w:hint="eastAsia" w:ascii="Times New Roman" w:hAnsi="Times New Roman" w:eastAsia="宋体" w:cs="Times New Roman"/>
          <w:bCs/>
          <w:color w:val="auto"/>
          <w:kern w:val="0"/>
          <w:sz w:val="24"/>
          <w:szCs w:val="20"/>
          <w:u w:val="none" w:color="auto"/>
        </w:rPr>
        <w:t>喷漆；</w:t>
      </w:r>
      <w:r>
        <w:rPr>
          <w:rFonts w:ascii="Times New Roman" w:hAnsi="Times New Roman" w:eastAsia="宋体" w:cs="Times New Roman"/>
          <w:bCs/>
          <w:color w:val="auto"/>
          <w:kern w:val="0"/>
          <w:sz w:val="24"/>
          <w:szCs w:val="20"/>
          <w:u w:val="none" w:color="auto"/>
        </w:rPr>
        <w:t>②</w:t>
      </w:r>
      <w:r>
        <w:rPr>
          <w:rFonts w:hint="eastAsia" w:ascii="Times New Roman" w:hAnsi="Times New Roman" w:eastAsia="宋体" w:cs="Times New Roman"/>
          <w:bCs/>
          <w:color w:val="auto"/>
          <w:kern w:val="0"/>
          <w:sz w:val="24"/>
          <w:szCs w:val="20"/>
          <w:u w:val="none" w:color="auto"/>
        </w:rPr>
        <w:t>项目油漆、稀释剂和固化剂均</w:t>
      </w:r>
      <w:r>
        <w:rPr>
          <w:rFonts w:ascii="Times New Roman" w:hAnsi="Times New Roman" w:eastAsia="宋体" w:cs="Times New Roman"/>
          <w:bCs/>
          <w:color w:val="auto"/>
          <w:kern w:val="0"/>
          <w:sz w:val="24"/>
          <w:szCs w:val="20"/>
          <w:u w:val="none" w:color="auto"/>
        </w:rPr>
        <w:t>密闭储存并在密闭</w:t>
      </w:r>
      <w:r>
        <w:rPr>
          <w:rFonts w:hint="eastAsia" w:ascii="Times New Roman" w:hAnsi="Times New Roman" w:eastAsia="宋体" w:cs="Times New Roman"/>
          <w:bCs/>
          <w:color w:val="auto"/>
          <w:kern w:val="0"/>
          <w:sz w:val="24"/>
          <w:szCs w:val="20"/>
          <w:u w:val="none" w:color="auto"/>
        </w:rPr>
        <w:t>的</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内调配</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③喷</w:t>
      </w:r>
      <w:r>
        <w:rPr>
          <w:rFonts w:hint="eastAsia" w:ascii="Times New Roman" w:hAnsi="Times New Roman" w:eastAsia="宋体" w:cs="Times New Roman"/>
          <w:bCs/>
          <w:color w:val="auto"/>
          <w:kern w:val="0"/>
          <w:sz w:val="24"/>
          <w:szCs w:val="20"/>
          <w:u w:val="none" w:color="auto"/>
        </w:rPr>
        <w:t>漆</w:t>
      </w:r>
      <w:r>
        <w:rPr>
          <w:rFonts w:ascii="Times New Roman" w:hAnsi="Times New Roman" w:eastAsia="宋体" w:cs="Times New Roman"/>
          <w:bCs/>
          <w:color w:val="auto"/>
          <w:kern w:val="0"/>
          <w:sz w:val="24"/>
          <w:szCs w:val="20"/>
          <w:u w:val="none" w:color="auto"/>
        </w:rPr>
        <w:t>过程、流平过程及清洗均在密闭</w:t>
      </w:r>
      <w:r>
        <w:rPr>
          <w:rFonts w:hint="eastAsia" w:ascii="Times New Roman" w:hAnsi="Times New Roman" w:eastAsia="宋体" w:cs="Times New Roman"/>
          <w:bCs/>
          <w:color w:val="auto"/>
          <w:kern w:val="0"/>
          <w:sz w:val="24"/>
          <w:szCs w:val="20"/>
          <w:u w:val="none" w:color="auto"/>
        </w:rPr>
        <w:t>的</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内操作；④</w:t>
      </w:r>
      <w:r>
        <w:rPr>
          <w:rFonts w:hint="eastAsia" w:ascii="Times New Roman" w:hAnsi="Times New Roman" w:eastAsia="宋体" w:cs="Times New Roman"/>
          <w:bCs/>
          <w:color w:val="auto"/>
          <w:kern w:val="0"/>
          <w:sz w:val="24"/>
          <w:szCs w:val="20"/>
          <w:u w:val="none" w:color="auto"/>
          <w:lang w:eastAsia="zh-CN"/>
        </w:rPr>
        <w:t>涂装车间</w:t>
      </w:r>
      <w:r>
        <w:rPr>
          <w:rFonts w:ascii="Times New Roman" w:hAnsi="Times New Roman" w:eastAsia="宋体" w:cs="Times New Roman"/>
          <w:bCs/>
          <w:color w:val="auto"/>
          <w:kern w:val="0"/>
          <w:sz w:val="24"/>
          <w:szCs w:val="20"/>
          <w:u w:val="none" w:color="auto"/>
        </w:rPr>
        <w:t>内</w:t>
      </w:r>
      <w:r>
        <w:rPr>
          <w:rFonts w:hint="eastAsia" w:ascii="Times New Roman" w:hAnsi="Times New Roman" w:eastAsia="宋体" w:cs="Times New Roman"/>
          <w:bCs/>
          <w:color w:val="auto"/>
          <w:kern w:val="0"/>
          <w:sz w:val="24"/>
          <w:szCs w:val="20"/>
          <w:u w:val="none" w:color="auto"/>
        </w:rPr>
        <w:t>为负压状态，可</w:t>
      </w:r>
      <w:r>
        <w:rPr>
          <w:rFonts w:ascii="Times New Roman" w:hAnsi="Times New Roman" w:eastAsia="宋体" w:cs="Times New Roman"/>
          <w:bCs/>
          <w:color w:val="auto"/>
          <w:kern w:val="0"/>
          <w:sz w:val="24"/>
          <w:szCs w:val="20"/>
          <w:u w:val="none" w:color="auto"/>
        </w:rPr>
        <w:t>减少无组织气体的排放；⑤</w:t>
      </w:r>
      <w:r>
        <w:rPr>
          <w:rFonts w:hint="eastAsia" w:ascii="Times New Roman" w:hAnsi="Times New Roman" w:eastAsia="宋体" w:cs="Times New Roman"/>
          <w:bCs/>
          <w:color w:val="auto"/>
          <w:kern w:val="0"/>
          <w:sz w:val="24"/>
          <w:szCs w:val="20"/>
          <w:u w:val="none" w:color="auto"/>
        </w:rPr>
        <w:t>对喷漆设备</w:t>
      </w:r>
      <w:r>
        <w:rPr>
          <w:rFonts w:ascii="Times New Roman" w:hAnsi="Times New Roman" w:eastAsia="宋体" w:cs="Times New Roman"/>
          <w:bCs/>
          <w:color w:val="auto"/>
          <w:kern w:val="0"/>
          <w:sz w:val="24"/>
          <w:szCs w:val="20"/>
          <w:u w:val="none" w:color="auto"/>
        </w:rPr>
        <w:t>定期检修，减少</w:t>
      </w:r>
      <w:r>
        <w:rPr>
          <w:rFonts w:hint="eastAsia" w:ascii="Times New Roman" w:hAnsi="Times New Roman" w:eastAsia="宋体" w:cs="Times New Roman"/>
          <w:bCs/>
          <w:color w:val="auto"/>
          <w:kern w:val="0"/>
          <w:sz w:val="24"/>
          <w:szCs w:val="20"/>
          <w:u w:val="none" w:color="auto"/>
        </w:rPr>
        <w:t>设备</w:t>
      </w:r>
      <w:r>
        <w:rPr>
          <w:rFonts w:ascii="Times New Roman" w:hAnsi="Times New Roman" w:eastAsia="宋体" w:cs="Times New Roman"/>
          <w:bCs/>
          <w:color w:val="auto"/>
          <w:kern w:val="0"/>
          <w:sz w:val="24"/>
          <w:szCs w:val="20"/>
          <w:u w:val="none" w:color="auto"/>
        </w:rPr>
        <w:t>的跑、冒、滴、漏</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⑥加强产品产量管理信息的记录</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⑦加强</w:t>
      </w:r>
      <w:r>
        <w:rPr>
          <w:rFonts w:hint="eastAsia" w:ascii="Times New Roman" w:hAnsi="Times New Roman" w:eastAsia="宋体" w:cs="Times New Roman"/>
          <w:bCs/>
          <w:color w:val="auto"/>
          <w:kern w:val="0"/>
          <w:sz w:val="24"/>
          <w:szCs w:val="20"/>
          <w:u w:val="none" w:color="auto"/>
        </w:rPr>
        <w:t>有机废气</w:t>
      </w:r>
      <w:r>
        <w:rPr>
          <w:rFonts w:ascii="Times New Roman" w:hAnsi="Times New Roman" w:eastAsia="宋体" w:cs="Times New Roman"/>
          <w:bCs/>
          <w:color w:val="auto"/>
          <w:kern w:val="0"/>
          <w:sz w:val="24"/>
          <w:szCs w:val="20"/>
          <w:u w:val="none" w:color="auto"/>
        </w:rPr>
        <w:t>污染治理设施</w:t>
      </w:r>
      <w:r>
        <w:rPr>
          <w:rFonts w:hint="eastAsia" w:ascii="Times New Roman" w:hAnsi="Times New Roman" w:eastAsia="宋体" w:cs="Times New Roman"/>
          <w:bCs/>
          <w:color w:val="auto"/>
          <w:kern w:val="0"/>
          <w:sz w:val="24"/>
          <w:szCs w:val="20"/>
          <w:u w:val="none" w:color="auto"/>
        </w:rPr>
        <w:t>的</w:t>
      </w:r>
      <w:r>
        <w:rPr>
          <w:rFonts w:ascii="Times New Roman" w:hAnsi="Times New Roman" w:eastAsia="宋体" w:cs="Times New Roman"/>
          <w:bCs/>
          <w:color w:val="auto"/>
          <w:kern w:val="0"/>
          <w:sz w:val="24"/>
          <w:szCs w:val="20"/>
          <w:u w:val="none" w:color="auto"/>
        </w:rPr>
        <w:t>运行管理信息记录</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⑧</w:t>
      </w:r>
      <w:r>
        <w:rPr>
          <w:rFonts w:hint="eastAsia" w:ascii="Times New Roman" w:hAnsi="Times New Roman" w:eastAsia="宋体" w:cs="Times New Roman"/>
          <w:bCs/>
          <w:color w:val="auto"/>
          <w:kern w:val="0"/>
          <w:sz w:val="24"/>
          <w:szCs w:val="20"/>
          <w:u w:val="none" w:color="auto"/>
        </w:rPr>
        <w:t>定期对有机废气</w:t>
      </w:r>
      <w:r>
        <w:rPr>
          <w:rFonts w:ascii="Times New Roman" w:hAnsi="Times New Roman" w:eastAsia="宋体" w:cs="Times New Roman"/>
          <w:bCs/>
          <w:color w:val="auto"/>
          <w:kern w:val="0"/>
          <w:sz w:val="24"/>
          <w:szCs w:val="20"/>
          <w:u w:val="none" w:color="auto"/>
        </w:rPr>
        <w:t>污染治理设施</w:t>
      </w:r>
      <w:r>
        <w:rPr>
          <w:rFonts w:hint="eastAsia" w:ascii="Times New Roman" w:hAnsi="Times New Roman" w:eastAsia="宋体" w:cs="Times New Roman"/>
          <w:bCs/>
          <w:color w:val="auto"/>
          <w:kern w:val="0"/>
          <w:sz w:val="24"/>
          <w:szCs w:val="20"/>
          <w:u w:val="none" w:color="auto"/>
        </w:rPr>
        <w:t>进行检修，减少废气治理设施的故事排放；</w:t>
      </w:r>
      <w:r>
        <w:rPr>
          <w:rFonts w:ascii="Times New Roman" w:hAnsi="Times New Roman" w:eastAsia="宋体" w:cs="Times New Roman"/>
          <w:bCs/>
          <w:color w:val="auto"/>
          <w:kern w:val="0"/>
          <w:sz w:val="24"/>
          <w:szCs w:val="20"/>
          <w:u w:val="none" w:color="auto"/>
        </w:rPr>
        <w:t>⑨加强人员培训，加强事故防范意识。</w:t>
      </w:r>
      <w:r>
        <w:rPr>
          <w:rFonts w:hint="eastAsia" w:ascii="Times New Roman" w:hAnsi="Times New Roman" w:eastAsia="宋体" w:cs="Times New Roman"/>
          <w:bCs/>
          <w:color w:val="auto"/>
          <w:kern w:val="0"/>
          <w:sz w:val="24"/>
          <w:szCs w:val="20"/>
          <w:u w:val="none" w:color="auto"/>
        </w:rPr>
        <w:t>采取以上措施后，</w:t>
      </w:r>
      <w:r>
        <w:rPr>
          <w:rFonts w:ascii="Times New Roman" w:hAnsi="Times New Roman" w:eastAsia="宋体" w:cs="Times New Roman"/>
          <w:bCs/>
          <w:color w:val="auto"/>
          <w:kern w:val="0"/>
          <w:sz w:val="24"/>
          <w:szCs w:val="20"/>
          <w:u w:val="none" w:color="auto"/>
        </w:rPr>
        <w:t>可确保</w:t>
      </w:r>
      <w:r>
        <w:rPr>
          <w:rFonts w:hint="eastAsia" w:ascii="Times New Roman" w:hAnsi="Times New Roman" w:eastAsia="宋体" w:cs="Times New Roman"/>
          <w:bCs/>
          <w:color w:val="auto"/>
          <w:kern w:val="0"/>
          <w:sz w:val="24"/>
          <w:szCs w:val="20"/>
          <w:u w:val="none" w:color="auto"/>
        </w:rPr>
        <w:t>厂界</w:t>
      </w:r>
      <w:r>
        <w:rPr>
          <w:rFonts w:ascii="Times New Roman" w:hAnsi="Times New Roman" w:eastAsia="宋体" w:cs="Times New Roman"/>
          <w:bCs/>
          <w:color w:val="auto"/>
          <w:kern w:val="0"/>
          <w:sz w:val="24"/>
          <w:szCs w:val="20"/>
          <w:u w:val="none" w:color="auto"/>
        </w:rPr>
        <w:t>无组织排放</w:t>
      </w:r>
      <w:r>
        <w:rPr>
          <w:rFonts w:hint="eastAsia" w:ascii="Times New Roman" w:hAnsi="Times New Roman" w:eastAsia="宋体" w:cs="Times New Roman"/>
          <w:bCs/>
          <w:color w:val="auto"/>
          <w:kern w:val="0"/>
          <w:sz w:val="24"/>
          <w:szCs w:val="20"/>
          <w:u w:val="none" w:color="auto"/>
        </w:rPr>
        <w:t>的有机废气满足《大气污染物综合排放标准》（GB16297-1996）表2中无组织排放监控浓度限制要求。</w:t>
      </w:r>
      <w:r>
        <w:rPr>
          <w:rFonts w:ascii="Times New Roman" w:hAnsi="Times New Roman" w:eastAsia="宋体" w:cs="Times New Roman"/>
          <w:bCs/>
          <w:color w:val="auto"/>
          <w:kern w:val="0"/>
          <w:sz w:val="24"/>
          <w:szCs w:val="20"/>
          <w:u w:val="none" w:color="auto"/>
        </w:rPr>
        <w:t xml:space="preserve"> </w:t>
      </w:r>
    </w:p>
    <w:p w14:paraId="52C42F2F">
      <w:pPr>
        <w:autoSpaceDE w:val="0"/>
        <w:autoSpaceDN w:val="0"/>
        <w:spacing w:line="360" w:lineRule="auto"/>
        <w:ind w:firstLine="480" w:firstLineChars="200"/>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综上</w:t>
      </w:r>
      <w:r>
        <w:rPr>
          <w:rFonts w:ascii="Times New Roman" w:hAnsi="Times New Roman" w:eastAsia="宋体" w:cs="Times New Roman"/>
          <w:bCs/>
          <w:color w:val="auto"/>
          <w:kern w:val="0"/>
          <w:sz w:val="24"/>
          <w:szCs w:val="20"/>
          <w:u w:val="none" w:color="auto"/>
        </w:rPr>
        <w:t>，项目有组织排放气体和无组织</w:t>
      </w:r>
      <w:r>
        <w:rPr>
          <w:rFonts w:hint="eastAsia" w:ascii="Times New Roman" w:hAnsi="Times New Roman" w:eastAsia="宋体" w:cs="Times New Roman"/>
          <w:bCs/>
          <w:color w:val="auto"/>
          <w:kern w:val="0"/>
          <w:sz w:val="24"/>
          <w:szCs w:val="20"/>
          <w:u w:val="none" w:color="auto"/>
        </w:rPr>
        <w:t>排放</w:t>
      </w:r>
      <w:r>
        <w:rPr>
          <w:rFonts w:ascii="Times New Roman" w:hAnsi="Times New Roman" w:eastAsia="宋体" w:cs="Times New Roman"/>
          <w:bCs/>
          <w:color w:val="auto"/>
          <w:kern w:val="0"/>
          <w:sz w:val="24"/>
          <w:szCs w:val="20"/>
          <w:u w:val="none" w:color="auto"/>
        </w:rPr>
        <w:t>气体均得到效控制，可</w:t>
      </w:r>
      <w:r>
        <w:rPr>
          <w:rFonts w:hint="eastAsia" w:ascii="Times New Roman" w:hAnsi="Times New Roman" w:eastAsia="宋体" w:cs="Times New Roman"/>
          <w:bCs/>
          <w:color w:val="auto"/>
          <w:kern w:val="0"/>
          <w:sz w:val="24"/>
          <w:szCs w:val="20"/>
          <w:u w:val="none" w:color="auto"/>
          <w:lang w:eastAsia="zh-CN"/>
        </w:rPr>
        <w:t>实现</w:t>
      </w:r>
      <w:r>
        <w:rPr>
          <w:rFonts w:ascii="Times New Roman" w:hAnsi="Times New Roman" w:eastAsia="宋体" w:cs="Times New Roman"/>
          <w:bCs/>
          <w:color w:val="auto"/>
          <w:kern w:val="0"/>
          <w:sz w:val="24"/>
          <w:szCs w:val="20"/>
          <w:u w:val="none" w:color="auto"/>
        </w:rPr>
        <w:t>达标排放。</w:t>
      </w:r>
    </w:p>
    <w:p w14:paraId="18B53720">
      <w:pPr>
        <w:autoSpaceDE w:val="0"/>
        <w:autoSpaceDN w:val="0"/>
        <w:spacing w:line="360" w:lineRule="auto"/>
        <w:ind w:left="420" w:leftChars="200"/>
        <w:rPr>
          <w:rFonts w:ascii="Times New Roman" w:hAnsi="Times New Roman" w:eastAsia="宋体" w:cs="Times New Roman"/>
          <w:bCs/>
          <w:color w:val="auto"/>
          <w:kern w:val="0"/>
          <w:sz w:val="24"/>
          <w:szCs w:val="20"/>
          <w:u w:val="none" w:color="auto"/>
        </w:rPr>
      </w:pPr>
      <w:r>
        <w:rPr>
          <w:rFonts w:hint="eastAsia" w:ascii="Times New Roman" w:hAnsi="Times New Roman" w:eastAsia="宋体" w:cs="Times New Roman"/>
          <w:bCs/>
          <w:color w:val="auto"/>
          <w:kern w:val="0"/>
          <w:sz w:val="24"/>
          <w:szCs w:val="20"/>
          <w:u w:val="none" w:color="auto"/>
        </w:rPr>
        <w:t>（3）食堂油烟</w:t>
      </w:r>
    </w:p>
    <w:p w14:paraId="69A3A73F">
      <w:pPr>
        <w:autoSpaceDE w:val="0"/>
        <w:autoSpaceDN w:val="0"/>
        <w:spacing w:line="360" w:lineRule="auto"/>
        <w:ind w:firstLine="480" w:firstLineChars="200"/>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项目油烟</w:t>
      </w:r>
      <w:r>
        <w:rPr>
          <w:rFonts w:hint="eastAsia" w:ascii="Times New Roman" w:hAnsi="Times New Roman" w:eastAsia="宋体" w:cs="Times New Roman"/>
          <w:bCs/>
          <w:color w:val="auto"/>
          <w:kern w:val="0"/>
          <w:sz w:val="24"/>
          <w:szCs w:val="20"/>
          <w:u w:val="none" w:color="auto"/>
        </w:rPr>
        <w:t>废气</w:t>
      </w:r>
      <w:r>
        <w:rPr>
          <w:rFonts w:ascii="Times New Roman" w:hAnsi="Times New Roman" w:eastAsia="宋体" w:cs="Times New Roman"/>
          <w:bCs/>
          <w:color w:val="auto"/>
          <w:kern w:val="0"/>
          <w:sz w:val="24"/>
          <w:szCs w:val="20"/>
          <w:u w:val="none" w:color="auto"/>
        </w:rPr>
        <w:t>主要来自食堂厨房，食堂日常烹饪过程中会产生厨房油烟。油烟排放量与很多方面有关，食用油种类、操作条件、操作规模及操作温度等的不同有很大的差异。食堂厨房油烟废气量和浓度相对较小，且排放时间较集中，一般在6:30-7:30、11:30-13:00、17:30-19:00三个阶段，具有间歇性。</w:t>
      </w:r>
      <w:r>
        <w:rPr>
          <w:rFonts w:hint="eastAsia" w:ascii="Times New Roman" w:hAnsi="Times New Roman" w:eastAsia="宋体" w:cs="Times New Roman"/>
          <w:bCs/>
          <w:color w:val="auto"/>
          <w:kern w:val="0"/>
          <w:sz w:val="24"/>
          <w:szCs w:val="20"/>
          <w:u w:val="none" w:color="auto"/>
        </w:rPr>
        <w:t>项目拟</w:t>
      </w:r>
      <w:r>
        <w:rPr>
          <w:rFonts w:ascii="Times New Roman" w:hAnsi="Times New Roman" w:eastAsia="宋体" w:cs="Times New Roman"/>
          <w:bCs/>
          <w:color w:val="auto"/>
          <w:kern w:val="0"/>
          <w:sz w:val="24"/>
          <w:szCs w:val="20"/>
          <w:u w:val="none" w:color="auto"/>
        </w:rPr>
        <w:t>采用静电油烟净化机进行处理食堂油烟</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后通过管道引至食堂楼顶排放，项目油烟排放</w:t>
      </w:r>
      <w:r>
        <w:rPr>
          <w:rFonts w:hint="eastAsia" w:ascii="Times New Roman" w:hAnsi="Times New Roman" w:eastAsia="宋体" w:cs="Times New Roman"/>
          <w:bCs/>
          <w:color w:val="auto"/>
          <w:kern w:val="0"/>
          <w:sz w:val="24"/>
          <w:szCs w:val="20"/>
          <w:u w:val="none" w:color="auto"/>
        </w:rPr>
        <w:t>浓度为0.673mg/m</w:t>
      </w:r>
      <w:r>
        <w:rPr>
          <w:rFonts w:hint="eastAsia" w:ascii="Times New Roman" w:hAnsi="Times New Roman" w:eastAsia="宋体" w:cs="Times New Roman"/>
          <w:bCs/>
          <w:color w:val="auto"/>
          <w:kern w:val="0"/>
          <w:sz w:val="24"/>
          <w:szCs w:val="20"/>
          <w:u w:val="none" w:color="auto"/>
          <w:vertAlign w:val="superscript"/>
        </w:rPr>
        <w:t>3</w:t>
      </w:r>
      <w:r>
        <w:rPr>
          <w:rFonts w:hint="eastAsia" w:ascii="Times New Roman" w:hAnsi="Times New Roman" w:eastAsia="宋体" w:cs="Times New Roman"/>
          <w:bCs/>
          <w:color w:val="auto"/>
          <w:kern w:val="0"/>
          <w:sz w:val="24"/>
          <w:szCs w:val="20"/>
          <w:u w:val="none" w:color="auto"/>
        </w:rPr>
        <w:t>，排放速率为0.003kg/h，满足《饮食业油烟排放标准(试行)》（GBl8483-2001）要求，项目食堂油烟处理措施可行。</w:t>
      </w:r>
    </w:p>
    <w:p w14:paraId="3791D68D">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260" w:name="_Toc3728278"/>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.2.2废水污染防治措施</w:t>
      </w:r>
      <w:bookmarkEnd w:id="260"/>
    </w:p>
    <w:p w14:paraId="6223F947">
      <w:pPr>
        <w:autoSpaceDE w:val="0"/>
        <w:autoSpaceDN w:val="0"/>
        <w:spacing w:line="360" w:lineRule="auto"/>
        <w:ind w:firstLine="480" w:firstLineChars="200"/>
        <w:rPr>
          <w:rFonts w:hint="eastAsia" w:ascii="Times New Roman" w:hAnsi="Times New Roman" w:eastAsia="宋体" w:cs="Times New Roman"/>
          <w:color w:val="auto"/>
          <w:sz w:val="24"/>
          <w:szCs w:val="24"/>
          <w:u w:val="none" w:color="auto"/>
        </w:rPr>
      </w:pPr>
      <w:bookmarkStart w:id="261" w:name="_Hlk1824856"/>
      <w:r>
        <w:rPr>
          <w:rFonts w:ascii="Times New Roman" w:hAnsi="Times New Roman" w:eastAsia="宋体" w:cs="Times New Roman"/>
          <w:color w:val="auto"/>
          <w:sz w:val="24"/>
          <w:u w:val="none" w:color="auto"/>
        </w:rPr>
        <w:t>项目运营期</w:t>
      </w:r>
      <w:r>
        <w:rPr>
          <w:rFonts w:hint="eastAsia" w:ascii="Times New Roman" w:hAnsi="Times New Roman" w:eastAsia="宋体" w:cs="Times New Roman"/>
          <w:color w:val="auto"/>
          <w:sz w:val="24"/>
          <w:u w:val="none" w:color="auto"/>
        </w:rPr>
        <w:t>无</w:t>
      </w:r>
      <w:r>
        <w:rPr>
          <w:rFonts w:ascii="Times New Roman" w:hAnsi="Times New Roman" w:eastAsia="宋体" w:cs="Times New Roman"/>
          <w:color w:val="auto"/>
          <w:sz w:val="24"/>
          <w:u w:val="none" w:color="auto"/>
        </w:rPr>
        <w:t>生产废水</w:t>
      </w:r>
      <w:r>
        <w:rPr>
          <w:rFonts w:hint="eastAsia" w:ascii="Times New Roman" w:hAnsi="Times New Roman" w:eastAsia="宋体" w:cs="Times New Roman"/>
          <w:color w:val="auto"/>
          <w:sz w:val="24"/>
          <w:u w:val="none" w:color="auto"/>
        </w:rPr>
        <w:t>产生，</w:t>
      </w:r>
      <w:r>
        <w:rPr>
          <w:rFonts w:ascii="Times New Roman" w:hAnsi="Times New Roman" w:eastAsia="宋体" w:cs="Times New Roman"/>
          <w:color w:val="auto"/>
          <w:sz w:val="24"/>
          <w:u w:val="none" w:color="auto"/>
        </w:rPr>
        <w:t>项目</w:t>
      </w:r>
      <w:r>
        <w:rPr>
          <w:rFonts w:hint="eastAsia" w:ascii="Times New Roman" w:hAnsi="Times New Roman" w:eastAsia="宋体" w:cs="Times New Roman"/>
          <w:color w:val="auto"/>
          <w:sz w:val="24"/>
          <w:u w:val="none" w:color="auto"/>
        </w:rPr>
        <w:t>外排</w:t>
      </w:r>
      <w:r>
        <w:rPr>
          <w:rFonts w:ascii="Times New Roman" w:hAnsi="Times New Roman" w:eastAsia="宋体" w:cs="Times New Roman"/>
          <w:color w:val="auto"/>
          <w:sz w:val="24"/>
          <w:u w:val="none" w:color="auto"/>
        </w:rPr>
        <w:t>的废水主要是生活污水</w:t>
      </w:r>
      <w:r>
        <w:rPr>
          <w:rFonts w:hint="eastAsia" w:ascii="Times New Roman" w:hAnsi="Times New Roman" w:eastAsia="宋体" w:cs="Times New Roman"/>
          <w:color w:val="auto"/>
          <w:sz w:val="24"/>
          <w:u w:val="none" w:color="auto"/>
          <w:lang w:val="en-US" w:eastAsia="zh-CN"/>
        </w:rPr>
        <w:t>和初期雨水</w:t>
      </w:r>
      <w:r>
        <w:rPr>
          <w:rFonts w:hint="eastAsia" w:ascii="Times New Roman" w:hAnsi="Times New Roman" w:eastAsia="宋体" w:cs="Times New Roman"/>
          <w:color w:val="auto"/>
          <w:sz w:val="24"/>
          <w:u w:val="none" w:color="auto"/>
        </w:rPr>
        <w:t>，</w:t>
      </w:r>
      <w:r>
        <w:rPr>
          <w:rFonts w:hint="eastAsia" w:ascii="Times New Roman" w:hAnsi="Times New Roman" w:eastAsia="宋体" w:cs="Times New Roman"/>
          <w:color w:val="auto"/>
          <w:sz w:val="24"/>
          <w:u w:val="none" w:color="auto"/>
          <w:lang w:val="en-US" w:eastAsia="zh-CN"/>
        </w:rPr>
        <w:t>生活污水</w:t>
      </w:r>
      <w:r>
        <w:rPr>
          <w:rFonts w:ascii="Times New Roman" w:hAnsi="Times New Roman" w:eastAsia="宋体" w:cs="Times New Roman"/>
          <w:color w:val="auto"/>
          <w:sz w:val="24"/>
          <w:u w:val="none" w:color="auto"/>
        </w:rPr>
        <w:t>排放量为</w:t>
      </w:r>
      <w:r>
        <w:rPr>
          <w:rFonts w:hint="eastAsia" w:ascii="Times New Roman" w:hAnsi="Times New Roman" w:eastAsia="宋体" w:cs="Times New Roman"/>
          <w:color w:val="auto"/>
          <w:sz w:val="24"/>
          <w:u w:val="none" w:color="auto"/>
        </w:rPr>
        <w:t>26.4m</w:t>
      </w:r>
      <w:r>
        <w:rPr>
          <w:rFonts w:hint="eastAsia" w:ascii="Times New Roman" w:hAnsi="Times New Roman" w:eastAsia="宋体" w:cs="Times New Roman"/>
          <w:color w:val="auto"/>
          <w:sz w:val="24"/>
          <w:u w:val="none" w:color="auto"/>
          <w:vertAlign w:val="superscript"/>
        </w:rPr>
        <w:t>3</w:t>
      </w:r>
      <w:r>
        <w:rPr>
          <w:rFonts w:hint="eastAsia" w:ascii="Times New Roman" w:hAnsi="Times New Roman" w:eastAsia="宋体" w:cs="Times New Roman"/>
          <w:color w:val="auto"/>
          <w:sz w:val="24"/>
          <w:u w:val="none" w:color="auto"/>
        </w:rPr>
        <w:t>/d，8712m</w:t>
      </w:r>
      <w:r>
        <w:rPr>
          <w:rFonts w:hint="eastAsia" w:ascii="Times New Roman" w:hAnsi="Times New Roman" w:eastAsia="宋体" w:cs="Times New Roman"/>
          <w:color w:val="auto"/>
          <w:sz w:val="24"/>
          <w:u w:val="none" w:color="auto"/>
          <w:vertAlign w:val="superscript"/>
        </w:rPr>
        <w:t>3</w:t>
      </w:r>
      <w:r>
        <w:rPr>
          <w:rFonts w:hint="eastAsia" w:ascii="Times New Roman" w:hAnsi="Times New Roman" w:eastAsia="宋体" w:cs="Times New Roman"/>
          <w:color w:val="auto"/>
          <w:sz w:val="24"/>
          <w:u w:val="none" w:color="auto"/>
        </w:rPr>
        <w:t>/a</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项目生活污水</w:t>
      </w:r>
      <w:r>
        <w:rPr>
          <w:rFonts w:hint="eastAsia" w:ascii="Times New Roman" w:hAnsi="Times New Roman" w:eastAsia="宋体" w:cs="Times New Roman"/>
          <w:color w:val="auto"/>
          <w:sz w:val="24"/>
          <w:szCs w:val="24"/>
          <w:u w:val="none" w:color="auto"/>
        </w:rPr>
        <w:t>经化粪池处理后排入市政污水管网，进入</w:t>
      </w:r>
      <w:r>
        <w:rPr>
          <w:rFonts w:ascii="Times New Roman" w:hAnsi="Times New Roman" w:eastAsia="宋体" w:cs="Times New Roman"/>
          <w:color w:val="auto"/>
          <w:kern w:val="0"/>
          <w:sz w:val="24"/>
          <w:szCs w:val="24"/>
          <w:u w:val="none" w:color="auto"/>
        </w:rPr>
        <w:t>大榄坪污水处理厂</w:t>
      </w:r>
      <w:r>
        <w:rPr>
          <w:rFonts w:hint="eastAsia" w:ascii="Times New Roman" w:hAnsi="Times New Roman" w:eastAsia="宋体" w:cs="Times New Roman"/>
          <w:color w:val="auto"/>
          <w:sz w:val="24"/>
          <w:szCs w:val="24"/>
          <w:u w:val="none" w:color="auto"/>
        </w:rPr>
        <w:t>处理，达标尾水排入</w:t>
      </w:r>
      <w:r>
        <w:rPr>
          <w:rFonts w:ascii="Times New Roman" w:hAnsi="Times New Roman" w:eastAsia="宋体" w:cs="Times New Roman"/>
          <w:color w:val="auto"/>
          <w:sz w:val="24"/>
          <w:u w:val="single" w:color="auto"/>
        </w:rPr>
        <w:t>钦州港大榄坪</w:t>
      </w:r>
      <w:r>
        <w:rPr>
          <w:rFonts w:hint="eastAsia" w:ascii="Times New Roman" w:hAnsi="Times New Roman" w:eastAsia="宋体" w:cs="Times New Roman"/>
          <w:color w:val="auto"/>
          <w:sz w:val="24"/>
          <w:u w:val="single" w:color="auto"/>
          <w:lang w:val="en-US" w:eastAsia="zh-CN"/>
        </w:rPr>
        <w:t>排污混合</w:t>
      </w:r>
      <w:r>
        <w:rPr>
          <w:rFonts w:ascii="Times New Roman" w:hAnsi="Times New Roman" w:eastAsia="宋体" w:cs="Times New Roman"/>
          <w:color w:val="auto"/>
          <w:sz w:val="24"/>
          <w:u w:val="single" w:color="auto"/>
        </w:rPr>
        <w:t>区（GX0</w:t>
      </w:r>
      <w:r>
        <w:rPr>
          <w:rFonts w:hint="eastAsia" w:ascii="Times New Roman" w:hAnsi="Times New Roman" w:eastAsia="宋体" w:cs="Times New Roman"/>
          <w:color w:val="auto"/>
          <w:sz w:val="24"/>
          <w:u w:val="single" w:color="auto"/>
          <w:lang w:val="en-US" w:eastAsia="zh-CN"/>
        </w:rPr>
        <w:t>57</w:t>
      </w:r>
      <w:r>
        <w:rPr>
          <w:rFonts w:ascii="Times New Roman" w:hAnsi="Times New Roman" w:eastAsia="宋体" w:cs="Times New Roman"/>
          <w:color w:val="auto"/>
          <w:sz w:val="24"/>
          <w:u w:val="single" w:color="auto"/>
        </w:rPr>
        <w:t>DⅣ）</w:t>
      </w:r>
      <w:r>
        <w:rPr>
          <w:rFonts w:hint="eastAsia" w:ascii="Times New Roman" w:hAnsi="Times New Roman" w:eastAsia="宋体" w:cs="Times New Roman"/>
          <w:color w:val="auto"/>
          <w:sz w:val="24"/>
          <w:szCs w:val="24"/>
          <w:u w:val="none" w:color="auto"/>
        </w:rPr>
        <w:t>。</w:t>
      </w:r>
    </w:p>
    <w:p w14:paraId="6FA1CEE5">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项目生活污水水质简单，主要含有有机物和悬浮物等，经化粪池处理后出水水质可达到</w:t>
      </w:r>
      <w:r>
        <w:rPr>
          <w:rFonts w:hint="eastAsia" w:ascii="Times New Roman" w:hAnsi="Times New Roman" w:eastAsia="宋体" w:cs="Times New Roman"/>
          <w:color w:val="auto"/>
          <w:kern w:val="0"/>
          <w:sz w:val="24"/>
          <w:szCs w:val="24"/>
          <w:u w:val="none" w:color="auto"/>
          <w:lang w:eastAsia="zh-CN"/>
        </w:rPr>
        <w:t>大榄坪污水处理厂接管标准</w:t>
      </w:r>
      <w:r>
        <w:rPr>
          <w:rFonts w:hint="eastAsia" w:ascii="Times New Roman" w:hAnsi="Times New Roman" w:eastAsia="宋体" w:cs="Times New Roman"/>
          <w:color w:val="auto"/>
          <w:kern w:val="0"/>
          <w:sz w:val="24"/>
          <w:szCs w:val="24"/>
          <w:u w:val="none" w:color="auto"/>
        </w:rPr>
        <w:t>要求。根据调查，项目所在区域已通污水管网，项目污水管网可接通市政污水管网。</w:t>
      </w:r>
    </w:p>
    <w:p w14:paraId="099C162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eastAsia"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项目生活</w:t>
      </w:r>
      <w:r>
        <w:rPr>
          <w:rFonts w:hint="eastAsia" w:ascii="Times New Roman" w:hAnsi="Times New Roman" w:eastAsia="宋体" w:cs="Times New Roman"/>
          <w:color w:val="auto"/>
          <w:kern w:val="0"/>
          <w:sz w:val="24"/>
          <w:szCs w:val="24"/>
          <w:u w:val="none" w:color="auto"/>
          <w:lang w:eastAsia="zh-CN"/>
        </w:rPr>
        <w:t>污水</w:t>
      </w:r>
      <w:r>
        <w:rPr>
          <w:rFonts w:hint="eastAsia" w:ascii="Times New Roman" w:hAnsi="Times New Roman" w:eastAsia="宋体" w:cs="Times New Roman"/>
          <w:color w:val="auto"/>
          <w:kern w:val="0"/>
          <w:sz w:val="24"/>
          <w:szCs w:val="24"/>
          <w:u w:val="none" w:color="auto"/>
        </w:rPr>
        <w:t>排放量为26.4m</w:t>
      </w:r>
      <w:r>
        <w:rPr>
          <w:rFonts w:hint="eastAsia" w:ascii="Times New Roman" w:hAnsi="Times New Roman" w:eastAsia="宋体" w:cs="Times New Roman"/>
          <w:color w:val="auto"/>
          <w:kern w:val="0"/>
          <w:sz w:val="24"/>
          <w:szCs w:val="24"/>
          <w:u w:val="none" w:color="auto"/>
          <w:vertAlign w:val="superscript"/>
        </w:rPr>
        <w:t>3</w:t>
      </w:r>
      <w:r>
        <w:rPr>
          <w:rFonts w:hint="eastAsia" w:ascii="Times New Roman" w:hAnsi="Times New Roman" w:eastAsia="宋体" w:cs="Times New Roman"/>
          <w:color w:val="auto"/>
          <w:kern w:val="0"/>
          <w:sz w:val="24"/>
          <w:szCs w:val="24"/>
          <w:u w:val="none" w:color="auto"/>
        </w:rPr>
        <w:t>/d，钦州大榄坪污水处理厂剩余处理能力约为4.7万m³/d，完全有能力接纳本项目的生活污水进行处理。钦州大榄坪污水处理厂采用“A/A/O 微曝氧化沟”工艺，出水水质要求达到《城镇污水处理厂污染物排放标准》一级B标准，该处理工艺能满足项目生活污水处理要求。</w:t>
      </w:r>
    </w:p>
    <w:p w14:paraId="5102E359">
      <w:pPr>
        <w:keepNext w:val="0"/>
        <w:keepLines w:val="0"/>
        <w:pageBreakBefore w:val="0"/>
        <w:widowControl w:val="0"/>
        <w:kinsoku/>
        <w:wordWrap/>
        <w:overflowPunct/>
        <w:topLinePunct w:val="0"/>
        <w:autoSpaceDE/>
        <w:autoSpaceDN/>
        <w:bidi w:val="0"/>
        <w:adjustRightInd/>
        <w:snapToGrid/>
        <w:spacing w:line="360" w:lineRule="auto"/>
        <w:ind w:left="0" w:firstLine="520" w:firstLineChars="200"/>
        <w:jc w:val="both"/>
        <w:textAlignment w:val="auto"/>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eastAsia="宋体" w:cs="Times New Roman"/>
          <w:color w:val="auto"/>
          <w:spacing w:val="10"/>
          <w:sz w:val="24"/>
          <w:szCs w:val="24"/>
          <w:highlight w:val="none"/>
          <w:u w:val="single"/>
        </w:rPr>
        <w:t>初期雨水</w:t>
      </w:r>
      <w:r>
        <w:rPr>
          <w:rFonts w:hint="eastAsia" w:ascii="Times New Roman" w:hAnsi="Times New Roman" w:eastAsia="宋体" w:cs="Times New Roman"/>
          <w:color w:val="auto"/>
          <w:spacing w:val="10"/>
          <w:sz w:val="24"/>
          <w:szCs w:val="24"/>
          <w:highlight w:val="none"/>
          <w:u w:val="single"/>
          <w:lang w:val="en-US" w:eastAsia="zh-CN"/>
        </w:rPr>
        <w:t>经雨水沟收集</w:t>
      </w:r>
      <w:r>
        <w:rPr>
          <w:rFonts w:hint="default" w:ascii="Times New Roman" w:hAnsi="Times New Roman" w:eastAsia="宋体" w:cs="Times New Roman"/>
          <w:color w:val="auto"/>
          <w:spacing w:val="10"/>
          <w:sz w:val="24"/>
          <w:szCs w:val="24"/>
          <w:highlight w:val="none"/>
          <w:u w:val="single"/>
        </w:rPr>
        <w:t>，</w:t>
      </w:r>
      <w:r>
        <w:rPr>
          <w:rFonts w:hint="eastAsia" w:ascii="Times New Roman" w:hAnsi="Times New Roman" w:eastAsia="宋体" w:cs="Times New Roman"/>
          <w:color w:val="auto"/>
          <w:spacing w:val="10"/>
          <w:sz w:val="24"/>
          <w:szCs w:val="24"/>
          <w:highlight w:val="none"/>
          <w:u w:val="single"/>
          <w:lang w:eastAsia="zh-CN"/>
        </w:rPr>
        <w:t>排入</w:t>
      </w:r>
      <w:r>
        <w:rPr>
          <w:rFonts w:hint="default" w:ascii="Times New Roman" w:hAnsi="Times New Roman" w:eastAsia="宋体" w:cs="Times New Roman"/>
          <w:snapToGrid w:val="0"/>
          <w:color w:val="auto"/>
          <w:sz w:val="24"/>
          <w:szCs w:val="24"/>
          <w:highlight w:val="none"/>
          <w:u w:val="single"/>
        </w:rPr>
        <w:t>初期雨水收集池</w:t>
      </w:r>
      <w:r>
        <w:rPr>
          <w:rFonts w:hint="default" w:ascii="Times New Roman" w:hAnsi="Times New Roman" w:eastAsia="宋体" w:cs="Times New Roman"/>
          <w:color w:val="auto"/>
          <w:spacing w:val="10"/>
          <w:sz w:val="24"/>
          <w:szCs w:val="24"/>
          <w:highlight w:val="none"/>
          <w:u w:val="single"/>
        </w:rPr>
        <w:t>中，</w:t>
      </w:r>
      <w:r>
        <w:rPr>
          <w:rFonts w:hint="eastAsia" w:ascii="Times New Roman" w:hAnsi="Times New Roman" w:eastAsia="宋体" w:cs="Times New Roman"/>
          <w:color w:val="auto"/>
          <w:spacing w:val="10"/>
          <w:sz w:val="24"/>
          <w:szCs w:val="24"/>
          <w:highlight w:val="none"/>
          <w:u w:val="single"/>
          <w:lang w:val="en-US" w:eastAsia="zh-CN"/>
        </w:rPr>
        <w:t>收集沉淀处理后用于厂区洒水降尘，不外排</w:t>
      </w:r>
      <w:r>
        <w:rPr>
          <w:rFonts w:hint="default" w:ascii="Times New Roman" w:hAnsi="Times New Roman" w:eastAsia="宋体" w:cs="Times New Roman"/>
          <w:color w:val="auto"/>
          <w:spacing w:val="10"/>
          <w:sz w:val="24"/>
          <w:szCs w:val="24"/>
          <w:highlight w:val="none"/>
          <w:u w:val="single"/>
        </w:rPr>
        <w:t>，对周围环境影响较小。</w:t>
      </w:r>
      <w:r>
        <w:rPr>
          <w:rFonts w:hint="eastAsia" w:ascii="Times New Roman" w:hAnsi="Times New Roman" w:eastAsia="宋体" w:cs="Times New Roman"/>
          <w:color w:val="auto"/>
          <w:spacing w:val="10"/>
          <w:sz w:val="24"/>
          <w:szCs w:val="24"/>
          <w:highlight w:val="none"/>
          <w:u w:val="single"/>
          <w:lang w:val="en-US" w:eastAsia="zh-CN"/>
        </w:rPr>
        <w:t>生产区设置</w:t>
      </w:r>
      <w:r>
        <w:rPr>
          <w:rFonts w:hint="eastAsia" w:ascii="Times New Roman" w:hAnsi="Times New Roman" w:eastAsia="宋体" w:cs="Times New Roman"/>
          <w:color w:val="auto"/>
          <w:sz w:val="24"/>
          <w:szCs w:val="24"/>
          <w:highlight w:val="none"/>
          <w:u w:val="single"/>
          <w:lang w:val="en-US" w:eastAsia="zh-CN"/>
        </w:rPr>
        <w:t>900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初期雨水池，产品堆场设置</w:t>
      </w:r>
      <w:r>
        <w:rPr>
          <w:rFonts w:hint="eastAsia" w:ascii="Times New Roman" w:hAnsi="Times New Roman" w:eastAsia="宋体" w:cs="Times New Roman"/>
          <w:color w:val="auto"/>
          <w:sz w:val="24"/>
          <w:szCs w:val="24"/>
          <w:highlight w:val="none"/>
          <w:u w:val="single"/>
          <w:lang w:val="en-US" w:eastAsia="zh-CN"/>
        </w:rPr>
        <w:t>550</w:t>
      </w:r>
      <w:r>
        <w:rPr>
          <w:rFonts w:hint="default" w:ascii="Times New Roman" w:hAnsi="Times New Roman" w:eastAsia="宋体" w:cs="Times New Roman"/>
          <w:color w:val="auto"/>
          <w:sz w:val="24"/>
          <w:szCs w:val="24"/>
          <w:highlight w:val="none"/>
          <w:u w:val="single"/>
        </w:rPr>
        <w:t>m</w:t>
      </w:r>
      <w:r>
        <w:rPr>
          <w:rFonts w:hint="default" w:ascii="Times New Roman" w:hAnsi="Times New Roman" w:eastAsia="宋体" w:cs="Times New Roman"/>
          <w:color w:val="auto"/>
          <w:sz w:val="24"/>
          <w:szCs w:val="24"/>
          <w:highlight w:val="none"/>
          <w:u w:val="single"/>
          <w:vertAlign w:val="superscript"/>
        </w:rPr>
        <w:t>3</w:t>
      </w:r>
      <w:r>
        <w:rPr>
          <w:rFonts w:hint="eastAsia" w:ascii="Times New Roman" w:hAnsi="Times New Roman" w:eastAsia="宋体" w:cs="Times New Roman"/>
          <w:color w:val="auto"/>
          <w:sz w:val="24"/>
          <w:szCs w:val="24"/>
          <w:highlight w:val="none"/>
          <w:u w:val="single"/>
          <w:vertAlign w:val="baseline"/>
          <w:lang w:val="en-US" w:eastAsia="zh-CN"/>
        </w:rPr>
        <w:t>初期雨水池。</w:t>
      </w:r>
    </w:p>
    <w:p w14:paraId="2A4A8856">
      <w:pPr>
        <w:autoSpaceDE w:val="0"/>
        <w:autoSpaceDN w:val="0"/>
        <w:spacing w:line="360" w:lineRule="auto"/>
        <w:ind w:firstLine="480" w:firstLineChars="200"/>
        <w:rPr>
          <w:color w:val="auto"/>
          <w:u w:val="none" w:color="auto"/>
        </w:rPr>
      </w:pPr>
      <w:r>
        <w:rPr>
          <w:rFonts w:hint="eastAsia" w:ascii="Times New Roman" w:hAnsi="Times New Roman" w:eastAsia="宋体" w:cs="Times New Roman"/>
          <w:color w:val="auto"/>
          <w:kern w:val="0"/>
          <w:sz w:val="24"/>
          <w:szCs w:val="24"/>
          <w:u w:val="none" w:color="auto"/>
        </w:rPr>
        <w:t>项目拟建事故应急池、化粪池</w:t>
      </w:r>
      <w:r>
        <w:rPr>
          <w:rFonts w:hint="eastAsia" w:ascii="Times New Roman" w:hAnsi="Times New Roman" w:eastAsia="宋体" w:cs="Times New Roman"/>
          <w:color w:val="auto"/>
          <w:kern w:val="0"/>
          <w:sz w:val="24"/>
          <w:szCs w:val="24"/>
          <w:u w:val="none" w:color="auto"/>
          <w:lang w:eastAsia="zh-CN"/>
        </w:rPr>
        <w:t>、</w:t>
      </w:r>
      <w:r>
        <w:rPr>
          <w:rFonts w:hint="eastAsia" w:ascii="Times New Roman" w:hAnsi="Times New Roman" w:eastAsia="宋体" w:cs="Times New Roman"/>
          <w:color w:val="auto"/>
          <w:kern w:val="0"/>
          <w:sz w:val="24"/>
          <w:szCs w:val="24"/>
          <w:u w:val="none" w:color="auto"/>
          <w:lang w:val="en-US" w:eastAsia="zh-CN"/>
        </w:rPr>
        <w:t>初期雨水池</w:t>
      </w:r>
      <w:r>
        <w:rPr>
          <w:rFonts w:hint="eastAsia" w:ascii="Times New Roman" w:hAnsi="Times New Roman" w:eastAsia="宋体" w:cs="Times New Roman"/>
          <w:color w:val="auto"/>
          <w:kern w:val="0"/>
          <w:sz w:val="24"/>
          <w:szCs w:val="24"/>
          <w:u w:val="none" w:color="auto"/>
        </w:rPr>
        <w:t>等，新增费用</w:t>
      </w:r>
      <w:r>
        <w:rPr>
          <w:rFonts w:hint="eastAsia" w:ascii="Times New Roman" w:hAnsi="Times New Roman" w:eastAsia="宋体" w:cs="Times New Roman"/>
          <w:color w:val="auto"/>
          <w:kern w:val="0"/>
          <w:sz w:val="24"/>
          <w:szCs w:val="24"/>
          <w:u w:val="none" w:color="auto"/>
          <w:lang w:val="en-US" w:eastAsia="zh-CN"/>
        </w:rPr>
        <w:t>30</w:t>
      </w:r>
      <w:r>
        <w:rPr>
          <w:rFonts w:hint="eastAsia" w:ascii="Times New Roman" w:hAnsi="Times New Roman" w:eastAsia="宋体" w:cs="Times New Roman"/>
          <w:color w:val="auto"/>
          <w:kern w:val="0"/>
          <w:sz w:val="24"/>
          <w:szCs w:val="24"/>
          <w:u w:val="none" w:color="auto"/>
        </w:rPr>
        <w:t>万元，约占总投资的0.0</w:t>
      </w:r>
      <w:r>
        <w:rPr>
          <w:rFonts w:hint="eastAsia" w:ascii="Times New Roman" w:hAnsi="Times New Roman" w:eastAsia="宋体" w:cs="Times New Roman"/>
          <w:color w:val="auto"/>
          <w:kern w:val="0"/>
          <w:sz w:val="24"/>
          <w:szCs w:val="24"/>
          <w:u w:val="none" w:color="auto"/>
          <w:lang w:val="en-US" w:eastAsia="zh-CN"/>
        </w:rPr>
        <w:t>6</w:t>
      </w:r>
      <w:r>
        <w:rPr>
          <w:rFonts w:hint="eastAsia" w:ascii="Times New Roman" w:hAnsi="Times New Roman" w:eastAsia="宋体" w:cs="Times New Roman"/>
          <w:color w:val="auto"/>
          <w:kern w:val="0"/>
          <w:sz w:val="24"/>
          <w:szCs w:val="24"/>
          <w:u w:val="none" w:color="auto"/>
        </w:rPr>
        <w:t>%，在经济技术上是可行的。综上所述，项目生活污水经合理有效处理后，在技术和经济上可行。</w:t>
      </w:r>
    </w:p>
    <w:bookmarkEnd w:id="261"/>
    <w:p w14:paraId="3529B28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262" w:name="_Toc3728279"/>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.2.3噪声污染防治措施可行性分析</w:t>
      </w:r>
      <w:bookmarkEnd w:id="262"/>
    </w:p>
    <w:p w14:paraId="70526795">
      <w:pPr>
        <w:autoSpaceDE w:val="0"/>
        <w:autoSpaceDN w:val="0"/>
        <w:spacing w:line="360" w:lineRule="auto"/>
        <w:ind w:firstLine="480" w:firstLineChars="200"/>
        <w:jc w:val="left"/>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项目高噪声设备主要包括</w:t>
      </w:r>
      <w:r>
        <w:rPr>
          <w:rFonts w:ascii="Times New Roman" w:hAnsi="Times New Roman" w:eastAsia="宋体" w:cs="Times New Roman"/>
          <w:color w:val="auto"/>
          <w:sz w:val="24"/>
          <w:szCs w:val="24"/>
          <w:u w:val="none" w:color="auto"/>
        </w:rPr>
        <w:t>切割机、锯床、组立机、矫正机、钻床、冲孔机、割圆机、剪板机、冲剪机、折弯机、卷弯机、型弯机、卷板机、铣削机、抛丸机、喷砂机、空压机及风机等，噪声在75-90dB（A）之间</w:t>
      </w:r>
      <w:r>
        <w:rPr>
          <w:rFonts w:ascii="Times New Roman" w:hAnsi="Times New Roman" w:eastAsia="宋体" w:cs="Times New Roman"/>
          <w:color w:val="auto"/>
          <w:sz w:val="24"/>
          <w:u w:val="none" w:color="auto"/>
        </w:rPr>
        <w:t>。针对本项目特点，将采取不同的噪声防治措施。</w:t>
      </w:r>
    </w:p>
    <w:p w14:paraId="7E423926">
      <w:pPr>
        <w:autoSpaceDE w:val="0"/>
        <w:autoSpaceDN w:val="0"/>
        <w:adjustRightInd w:val="0"/>
        <w:spacing w:line="500" w:lineRule="exact"/>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1、设备选型</w:t>
      </w:r>
    </w:p>
    <w:p w14:paraId="70305A51">
      <w:pPr>
        <w:autoSpaceDE w:val="0"/>
        <w:autoSpaceDN w:val="0"/>
        <w:adjustRightInd w:val="0"/>
        <w:spacing w:line="500" w:lineRule="exact"/>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尽量选用低噪声设备。</w:t>
      </w:r>
      <w:r>
        <w:rPr>
          <w:rFonts w:hint="eastAsia" w:ascii="Times New Roman" w:hAnsi="Times New Roman" w:eastAsia="宋体" w:cs="Times New Roman"/>
          <w:color w:val="auto"/>
          <w:kern w:val="0"/>
          <w:sz w:val="24"/>
          <w:szCs w:val="24"/>
          <w:u w:val="none" w:color="auto"/>
        </w:rPr>
        <w:t>风机、切割机、焊机</w:t>
      </w:r>
      <w:r>
        <w:rPr>
          <w:rFonts w:ascii="Times New Roman" w:hAnsi="Times New Roman" w:eastAsia="宋体" w:cs="Times New Roman"/>
          <w:color w:val="auto"/>
          <w:kern w:val="0"/>
          <w:sz w:val="24"/>
          <w:szCs w:val="24"/>
          <w:u w:val="none" w:color="auto"/>
        </w:rPr>
        <w:t>等均采用性能好、噪声发生源强小和生产效率高的设备。</w:t>
      </w:r>
    </w:p>
    <w:p w14:paraId="36F71A51">
      <w:pPr>
        <w:autoSpaceDE w:val="0"/>
        <w:autoSpaceDN w:val="0"/>
        <w:adjustRightInd w:val="0"/>
        <w:spacing w:line="500" w:lineRule="exact"/>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2、采用建筑物隔声</w:t>
      </w:r>
    </w:p>
    <w:p w14:paraId="3FC3908D">
      <w:pPr>
        <w:autoSpaceDE w:val="0"/>
        <w:autoSpaceDN w:val="0"/>
        <w:adjustRightInd w:val="0"/>
        <w:spacing w:line="500" w:lineRule="exact"/>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对于部分体积较小、噪声量较大的设备，采取设置独立的操作室和控制机房的建筑隔声方式，对于室外风机等采取消声器的基础上通过周围其他建筑物隔声减少对厂界的噪声贡献。</w:t>
      </w:r>
    </w:p>
    <w:p w14:paraId="47AD6B15">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3、噪声消声、减振措施</w:t>
      </w:r>
    </w:p>
    <w:p w14:paraId="664F9DE9">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主要噪声设备采取隔声、消音、减振等综合降噪措施。风机采取隔振和消声措施，动力设备采用钢砼隔振基础。噪声源的降噪值在10~20dB(A)。</w:t>
      </w:r>
    </w:p>
    <w:p w14:paraId="6F50D987">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项目所有生产设备均设置于厂房内、进行基础减振，风机加装消声器等隔声降噪，可降低噪声20～30dB(A)，根据预测各厂界噪声</w:t>
      </w:r>
      <w:r>
        <w:rPr>
          <w:rFonts w:hint="eastAsia" w:ascii="Times New Roman" w:hAnsi="Times New Roman" w:eastAsia="宋体" w:cs="Times New Roman"/>
          <w:color w:val="auto"/>
          <w:sz w:val="24"/>
          <w:u w:val="none" w:color="auto"/>
        </w:rPr>
        <w:t>昼夜贡献值均可</w:t>
      </w:r>
      <w:r>
        <w:rPr>
          <w:rFonts w:hint="eastAsia" w:ascii="Times New Roman" w:hAnsi="Times New Roman" w:eastAsia="宋体" w:cs="Times New Roman"/>
          <w:color w:val="auto"/>
          <w:sz w:val="24"/>
          <w:u w:val="none" w:color="auto"/>
          <w:lang w:eastAsia="zh-CN"/>
        </w:rPr>
        <w:t>满足</w:t>
      </w:r>
      <w:r>
        <w:rPr>
          <w:rFonts w:ascii="Times New Roman" w:hAnsi="Times New Roman" w:eastAsia="宋体" w:cs="Times New Roman"/>
          <w:color w:val="auto"/>
          <w:sz w:val="24"/>
          <w:u w:val="none" w:color="auto"/>
        </w:rPr>
        <w:t>《工业企业厂界环境噪声排放标准》（GB12348-2008）3类标准要求。项目噪声治理措施可行。</w:t>
      </w:r>
    </w:p>
    <w:p w14:paraId="45FB432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263" w:name="_Toc3728280"/>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.2.4</w:t>
      </w:r>
      <w:r>
        <w:rPr>
          <w:rFonts w:hint="eastAsia" w:ascii="Times New Roman" w:hAnsi="Times New Roman" w:eastAsia="宋体" w:cs="Times New Roman"/>
          <w:b/>
          <w:color w:val="auto"/>
          <w:kern w:val="0"/>
          <w:sz w:val="28"/>
          <w:szCs w:val="20"/>
          <w:u w:val="none" w:color="auto"/>
        </w:rPr>
        <w:t>固体废物</w:t>
      </w:r>
      <w:r>
        <w:rPr>
          <w:rFonts w:ascii="Times New Roman" w:hAnsi="Times New Roman" w:eastAsia="宋体" w:cs="Times New Roman"/>
          <w:b/>
          <w:color w:val="auto"/>
          <w:kern w:val="0"/>
          <w:sz w:val="28"/>
          <w:szCs w:val="20"/>
          <w:u w:val="none" w:color="auto"/>
        </w:rPr>
        <w:t>污染防治措施可行性分析</w:t>
      </w:r>
      <w:bookmarkEnd w:id="263"/>
    </w:p>
    <w:p w14:paraId="4A2927CA">
      <w:pPr>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项目产生的一般</w:t>
      </w:r>
      <w:r>
        <w:rPr>
          <w:rFonts w:hint="eastAsia" w:ascii="Times New Roman" w:hAnsi="Times New Roman" w:eastAsia="宋体" w:cs="Times New Roman"/>
          <w:color w:val="auto"/>
          <w:sz w:val="24"/>
          <w:u w:val="none" w:color="auto"/>
        </w:rPr>
        <w:t>固体废物</w:t>
      </w:r>
      <w:r>
        <w:rPr>
          <w:rFonts w:ascii="Times New Roman" w:hAnsi="Times New Roman" w:eastAsia="宋体" w:cs="Times New Roman"/>
          <w:color w:val="auto"/>
          <w:sz w:val="24"/>
          <w:u w:val="none" w:color="auto"/>
        </w:rPr>
        <w:t>外售</w:t>
      </w:r>
      <w:r>
        <w:rPr>
          <w:rFonts w:hint="eastAsia" w:ascii="Times New Roman" w:hAnsi="Times New Roman" w:eastAsia="宋体" w:cs="Times New Roman"/>
          <w:color w:val="auto"/>
          <w:sz w:val="24"/>
          <w:u w:val="none" w:color="auto"/>
        </w:rPr>
        <w:t>处理</w:t>
      </w:r>
      <w:r>
        <w:rPr>
          <w:rFonts w:ascii="Times New Roman" w:hAnsi="Times New Roman" w:eastAsia="宋体" w:cs="Times New Roman"/>
          <w:color w:val="auto"/>
          <w:sz w:val="24"/>
          <w:u w:val="none" w:color="auto"/>
        </w:rPr>
        <w:t>；危险废物</w:t>
      </w:r>
      <w:r>
        <w:rPr>
          <w:rFonts w:hint="eastAsia" w:ascii="Times New Roman" w:hAnsi="Times New Roman" w:eastAsia="宋体" w:cs="Times New Roman"/>
          <w:color w:val="auto"/>
          <w:sz w:val="24"/>
          <w:u w:val="none" w:color="auto"/>
        </w:rPr>
        <w:t>交</w:t>
      </w:r>
      <w:r>
        <w:rPr>
          <w:rFonts w:ascii="Times New Roman" w:hAnsi="Times New Roman" w:eastAsia="宋体" w:cs="Times New Roman"/>
          <w:color w:val="auto"/>
          <w:sz w:val="24"/>
          <w:u w:val="none" w:color="auto"/>
        </w:rPr>
        <w:t>有</w:t>
      </w:r>
      <w:r>
        <w:rPr>
          <w:rFonts w:hint="eastAsia" w:ascii="Times New Roman" w:hAnsi="Times New Roman" w:eastAsia="宋体" w:cs="Times New Roman"/>
          <w:color w:val="auto"/>
          <w:sz w:val="24"/>
          <w:u w:val="none" w:color="auto"/>
          <w:lang w:eastAsia="zh-CN"/>
        </w:rPr>
        <w:t>资质</w:t>
      </w:r>
      <w:r>
        <w:rPr>
          <w:rFonts w:ascii="Times New Roman" w:hAnsi="Times New Roman" w:eastAsia="宋体" w:cs="Times New Roman"/>
          <w:color w:val="auto"/>
          <w:sz w:val="24"/>
          <w:u w:val="none" w:color="auto"/>
        </w:rPr>
        <w:t>的单位处理</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废物处理过程中，严格</w:t>
      </w:r>
      <w:r>
        <w:rPr>
          <w:rFonts w:hint="eastAsia" w:ascii="Times New Roman" w:hAnsi="Times New Roman" w:eastAsia="宋体" w:cs="Times New Roman"/>
          <w:color w:val="auto"/>
          <w:sz w:val="24"/>
          <w:u w:val="none" w:color="auto"/>
        </w:rPr>
        <w:t>遵守</w:t>
      </w:r>
      <w:r>
        <w:rPr>
          <w:rFonts w:ascii="Times New Roman" w:hAnsi="Times New Roman" w:eastAsia="宋体" w:cs="Times New Roman"/>
          <w:color w:val="auto"/>
          <w:sz w:val="24"/>
          <w:u w:val="none" w:color="auto"/>
        </w:rPr>
        <w:t>国家和地方对固废处理的</w:t>
      </w:r>
      <w:r>
        <w:rPr>
          <w:rFonts w:hint="eastAsia" w:ascii="Times New Roman" w:hAnsi="Times New Roman" w:eastAsia="宋体" w:cs="Times New Roman"/>
          <w:color w:val="auto"/>
          <w:sz w:val="24"/>
          <w:u w:val="none" w:color="auto"/>
        </w:rPr>
        <w:t>相关</w:t>
      </w:r>
      <w:r>
        <w:rPr>
          <w:rFonts w:ascii="Times New Roman" w:hAnsi="Times New Roman" w:eastAsia="宋体" w:cs="Times New Roman"/>
          <w:color w:val="auto"/>
          <w:sz w:val="24"/>
          <w:u w:val="none" w:color="auto"/>
        </w:rPr>
        <w:t>规定</w:t>
      </w:r>
      <w:r>
        <w:rPr>
          <w:rFonts w:hint="eastAsia" w:ascii="Times New Roman" w:hAnsi="Times New Roman" w:eastAsia="宋体" w:cs="Times New Roman"/>
          <w:color w:val="auto"/>
          <w:sz w:val="24"/>
          <w:u w:val="none" w:color="auto"/>
        </w:rPr>
        <w:t>。</w:t>
      </w:r>
      <w:r>
        <w:rPr>
          <w:rFonts w:ascii="Times New Roman" w:hAnsi="Times New Roman" w:eastAsia="宋体" w:cs="Times New Roman"/>
          <w:color w:val="auto"/>
          <w:sz w:val="24"/>
          <w:u w:val="none" w:color="auto"/>
        </w:rPr>
        <w:t>危险废物收集、临时贮存、运输直至安全处置全过程须符合《危险废物污染防治技术政策》、《危险废物贮存污染控制标准》、《危险废物处置工程技术导则》以及《危险废物转移联单管理办法》中的要求以及规定。</w:t>
      </w:r>
    </w:p>
    <w:p w14:paraId="7F26D2F7">
      <w:pPr>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u w:val="single" w:color="auto"/>
        </w:rPr>
        <w:t>1、一般固体废物治理措施</w:t>
      </w:r>
    </w:p>
    <w:p w14:paraId="18FE7F9C">
      <w:pPr>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本项目产生切割下脚料、净化器除尘灰、</w:t>
      </w:r>
      <w:r>
        <w:rPr>
          <w:rFonts w:hint="eastAsia" w:ascii="Times New Roman" w:hAnsi="Times New Roman" w:eastAsia="宋体" w:cs="Times New Roman"/>
          <w:color w:val="auto"/>
          <w:sz w:val="24"/>
          <w:szCs w:val="24"/>
          <w:u w:val="single" w:color="auto"/>
        </w:rPr>
        <w:t>滤筒除尘灰、沉降粉尘、</w:t>
      </w:r>
      <w:r>
        <w:rPr>
          <w:rFonts w:ascii="Times New Roman" w:hAnsi="Times New Roman" w:eastAsia="宋体" w:cs="Times New Roman"/>
          <w:color w:val="auto"/>
          <w:sz w:val="24"/>
          <w:szCs w:val="24"/>
          <w:u w:val="single" w:color="auto"/>
        </w:rPr>
        <w:t>废焊条焊渣、废钢丸</w:t>
      </w:r>
      <w:r>
        <w:rPr>
          <w:rFonts w:hint="eastAsia" w:ascii="Times New Roman" w:hAnsi="Times New Roman" w:eastAsia="宋体" w:cs="Times New Roman"/>
          <w:color w:val="auto"/>
          <w:sz w:val="24"/>
          <w:szCs w:val="24"/>
          <w:u w:val="single" w:color="auto"/>
        </w:rPr>
        <w:t>就近收集在</w:t>
      </w:r>
      <w:r>
        <w:rPr>
          <w:rFonts w:hint="eastAsia" w:ascii="Times New Roman" w:hAnsi="Times New Roman" w:eastAsia="宋体" w:cs="Times New Roman"/>
          <w:color w:val="auto"/>
          <w:sz w:val="24"/>
          <w:szCs w:val="24"/>
          <w:u w:val="single" w:color="auto"/>
          <w:lang w:val="en-US" w:eastAsia="zh-CN"/>
        </w:rPr>
        <w:t>装焊</w:t>
      </w:r>
      <w:r>
        <w:rPr>
          <w:rFonts w:hint="eastAsia" w:ascii="Times New Roman" w:hAnsi="Times New Roman" w:eastAsia="宋体" w:cs="Times New Roman"/>
          <w:color w:val="auto"/>
          <w:sz w:val="24"/>
          <w:szCs w:val="24"/>
          <w:u w:val="single" w:color="auto"/>
          <w:lang w:eastAsia="zh-CN"/>
        </w:rPr>
        <w:t>车间</w:t>
      </w:r>
      <w:r>
        <w:rPr>
          <w:rFonts w:hint="eastAsia" w:ascii="Times New Roman" w:hAnsi="Times New Roman" w:eastAsia="宋体" w:cs="Times New Roman"/>
          <w:color w:val="auto"/>
          <w:sz w:val="24"/>
          <w:szCs w:val="24"/>
          <w:u w:val="single" w:color="auto"/>
        </w:rPr>
        <w:t>的一般固废暂存间</w:t>
      </w:r>
      <w:r>
        <w:rPr>
          <w:rFonts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rPr>
        <w:t>并</w:t>
      </w:r>
      <w:r>
        <w:rPr>
          <w:rFonts w:ascii="Times New Roman" w:hAnsi="Times New Roman" w:eastAsia="宋体" w:cs="Times New Roman"/>
          <w:color w:val="auto"/>
          <w:sz w:val="24"/>
          <w:szCs w:val="24"/>
          <w:u w:val="single" w:color="auto"/>
        </w:rPr>
        <w:t>定期外售</w:t>
      </w:r>
      <w:r>
        <w:rPr>
          <w:rFonts w:hint="eastAsia" w:ascii="Times New Roman" w:hAnsi="Times New Roman" w:eastAsia="宋体" w:cs="Times New Roman"/>
          <w:color w:val="auto"/>
          <w:sz w:val="24"/>
          <w:szCs w:val="24"/>
          <w:u w:val="single" w:color="auto"/>
        </w:rPr>
        <w:t>。一般固体废物产生量总计</w:t>
      </w:r>
      <w:r>
        <w:rPr>
          <w:rFonts w:hint="eastAsia" w:ascii="Times New Roman" w:hAnsi="Times New Roman" w:eastAsia="宋体" w:cs="Times New Roman"/>
          <w:color w:val="auto"/>
          <w:sz w:val="24"/>
          <w:szCs w:val="24"/>
          <w:u w:val="single" w:color="auto"/>
          <w:lang w:val="en-US" w:eastAsia="zh-CN"/>
        </w:rPr>
        <w:t>2306.242</w:t>
      </w:r>
      <w:r>
        <w:rPr>
          <w:rFonts w:hint="eastAsia" w:ascii="Times New Roman" w:hAnsi="Times New Roman" w:eastAsia="宋体" w:cs="Times New Roman"/>
          <w:color w:val="auto"/>
          <w:sz w:val="24"/>
          <w:szCs w:val="24"/>
          <w:u w:val="single" w:color="auto"/>
        </w:rPr>
        <w:t>t/a，项目拟在</w:t>
      </w:r>
      <w:r>
        <w:rPr>
          <w:rFonts w:hint="eastAsia" w:ascii="Times New Roman" w:hAnsi="Times New Roman" w:eastAsia="宋体" w:cs="Times New Roman"/>
          <w:color w:val="auto"/>
          <w:sz w:val="24"/>
          <w:szCs w:val="24"/>
          <w:u w:val="single" w:color="auto"/>
          <w:lang w:val="en-US" w:eastAsia="zh-CN"/>
        </w:rPr>
        <w:t>装焊</w:t>
      </w:r>
      <w:r>
        <w:rPr>
          <w:rFonts w:hint="eastAsia" w:ascii="Times New Roman" w:hAnsi="Times New Roman" w:eastAsia="宋体" w:cs="Times New Roman"/>
          <w:color w:val="auto"/>
          <w:sz w:val="24"/>
          <w:szCs w:val="24"/>
          <w:u w:val="single" w:color="auto"/>
          <w:lang w:eastAsia="zh-CN"/>
        </w:rPr>
        <w:t>车间</w:t>
      </w:r>
      <w:r>
        <w:rPr>
          <w:rFonts w:hint="eastAsia" w:ascii="Times New Roman" w:hAnsi="Times New Roman" w:eastAsia="宋体" w:cs="Times New Roman"/>
          <w:color w:val="auto"/>
          <w:sz w:val="24"/>
          <w:szCs w:val="24"/>
          <w:u w:val="single" w:color="auto"/>
          <w:lang w:val="en-US" w:eastAsia="zh-CN"/>
        </w:rPr>
        <w:t>内</w:t>
      </w:r>
      <w:r>
        <w:rPr>
          <w:rFonts w:hint="eastAsia" w:ascii="Times New Roman" w:hAnsi="Times New Roman" w:eastAsia="宋体" w:cs="Times New Roman"/>
          <w:color w:val="auto"/>
          <w:sz w:val="24"/>
          <w:szCs w:val="24"/>
          <w:u w:val="single" w:color="auto"/>
        </w:rPr>
        <w:t>设置1个占地</w:t>
      </w:r>
      <w:r>
        <w:rPr>
          <w:rFonts w:hint="eastAsia" w:ascii="Times New Roman" w:hAnsi="Times New Roman" w:eastAsia="宋体" w:cs="Times New Roman"/>
          <w:color w:val="auto"/>
          <w:sz w:val="24"/>
          <w:szCs w:val="24"/>
          <w:u w:val="single" w:color="auto"/>
          <w:lang w:val="en-US" w:eastAsia="zh-CN"/>
        </w:rPr>
        <w:t>100</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2</w:t>
      </w:r>
      <w:r>
        <w:rPr>
          <w:rFonts w:hint="eastAsia" w:ascii="Times New Roman" w:hAnsi="Times New Roman" w:eastAsia="宋体" w:cs="Times New Roman"/>
          <w:color w:val="auto"/>
          <w:sz w:val="24"/>
          <w:szCs w:val="24"/>
          <w:u w:val="single" w:color="auto"/>
        </w:rPr>
        <w:t>的一般固体废物暂存间，项目一般固体废物均可外售废品回收站，正常情况下每月外售一次，周转速度极快，不会造成固废在一般固体废物暂存间的积压，故项目拟建一般固废暂存间容量能满足项目暂存需求。一般固废暂存间应满足“三防”（防风、防雨、防渗漏）的要求。</w:t>
      </w:r>
    </w:p>
    <w:p w14:paraId="4F3AC83C">
      <w:pPr>
        <w:pStyle w:val="65"/>
        <w:spacing w:line="240" w:lineRule="auto"/>
        <w:rPr>
          <w:color w:val="auto"/>
          <w:sz w:val="21"/>
          <w:szCs w:val="21"/>
          <w:u w:val="single" w:color="auto"/>
        </w:rPr>
      </w:pPr>
      <w:r>
        <w:rPr>
          <w:rFonts w:hint="eastAsia"/>
          <w:color w:val="auto"/>
          <w:sz w:val="21"/>
          <w:szCs w:val="21"/>
          <w:u w:val="single" w:color="auto"/>
        </w:rPr>
        <w:t>表5.2-4 项目一般固废贮存场所（设施）基本情况样表</w:t>
      </w:r>
    </w:p>
    <w:tbl>
      <w:tblPr>
        <w:tblStyle w:val="38"/>
        <w:tblW w:w="82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1490"/>
        <w:gridCol w:w="1392"/>
        <w:gridCol w:w="1404"/>
        <w:gridCol w:w="764"/>
        <w:gridCol w:w="661"/>
        <w:gridCol w:w="661"/>
        <w:gridCol w:w="789"/>
      </w:tblGrid>
      <w:tr w14:paraId="072F9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Align w:val="center"/>
          </w:tcPr>
          <w:p w14:paraId="58D23FA4">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贮存场所 （设施） 名称</w:t>
            </w:r>
          </w:p>
        </w:tc>
        <w:tc>
          <w:tcPr>
            <w:tcW w:w="1490" w:type="dxa"/>
            <w:vAlign w:val="center"/>
          </w:tcPr>
          <w:p w14:paraId="528DEE3E">
            <w:pPr>
              <w:pStyle w:val="35"/>
              <w:spacing w:after="0"/>
              <w:ind w:firstLine="0" w:firstLineChars="0"/>
              <w:jc w:val="center"/>
              <w:rPr>
                <w:rFonts w:ascii="Times New Roman" w:hAnsi="Times New Roman" w:eastAsia="宋体" w:cs="Times New Roman"/>
                <w:b/>
                <w:bCs/>
                <w:color w:val="auto"/>
                <w:szCs w:val="21"/>
                <w:u w:val="single" w:color="auto"/>
              </w:rPr>
            </w:pPr>
            <w:r>
              <w:rPr>
                <w:rFonts w:hint="eastAsia" w:ascii="Times New Roman" w:hAnsi="Times New Roman" w:eastAsia="宋体" w:cs="Times New Roman"/>
                <w:b/>
                <w:bCs/>
                <w:color w:val="auto"/>
                <w:szCs w:val="21"/>
                <w:u w:val="single" w:color="auto"/>
              </w:rPr>
              <w:t>一般固废</w:t>
            </w:r>
            <w:r>
              <w:rPr>
                <w:rFonts w:ascii="Times New Roman" w:hAnsi="Times New Roman" w:eastAsia="宋体" w:cs="Times New Roman"/>
                <w:b/>
                <w:bCs/>
                <w:color w:val="auto"/>
                <w:szCs w:val="21"/>
                <w:u w:val="single" w:color="auto"/>
              </w:rPr>
              <w:t>名称</w:t>
            </w:r>
          </w:p>
        </w:tc>
        <w:tc>
          <w:tcPr>
            <w:tcW w:w="1392" w:type="dxa"/>
            <w:vAlign w:val="center"/>
          </w:tcPr>
          <w:p w14:paraId="5F7289B1">
            <w:pPr>
              <w:pStyle w:val="35"/>
              <w:spacing w:after="0"/>
              <w:ind w:firstLine="0" w:firstLineChars="0"/>
              <w:jc w:val="center"/>
              <w:rPr>
                <w:rFonts w:ascii="Times New Roman" w:hAnsi="Times New Roman" w:eastAsia="宋体" w:cs="Times New Roman"/>
                <w:b/>
                <w:bCs/>
                <w:color w:val="auto"/>
                <w:szCs w:val="21"/>
                <w:u w:val="single" w:color="auto"/>
              </w:rPr>
            </w:pPr>
            <w:r>
              <w:rPr>
                <w:rFonts w:hint="eastAsia" w:ascii="Times New Roman" w:hAnsi="Times New Roman" w:eastAsia="宋体" w:cs="Times New Roman"/>
                <w:b/>
                <w:bCs/>
                <w:color w:val="auto"/>
                <w:szCs w:val="21"/>
                <w:u w:val="single" w:color="auto"/>
              </w:rPr>
              <w:t>产生量t/a</w:t>
            </w:r>
          </w:p>
        </w:tc>
        <w:tc>
          <w:tcPr>
            <w:tcW w:w="1404" w:type="dxa"/>
            <w:vAlign w:val="center"/>
          </w:tcPr>
          <w:p w14:paraId="7CA82FB6">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位置</w:t>
            </w:r>
          </w:p>
        </w:tc>
        <w:tc>
          <w:tcPr>
            <w:tcW w:w="764" w:type="dxa"/>
            <w:vAlign w:val="center"/>
          </w:tcPr>
          <w:p w14:paraId="76AAC795">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占地面积</w:t>
            </w:r>
          </w:p>
        </w:tc>
        <w:tc>
          <w:tcPr>
            <w:tcW w:w="661" w:type="dxa"/>
            <w:vAlign w:val="center"/>
          </w:tcPr>
          <w:p w14:paraId="16824902">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贮存方式</w:t>
            </w:r>
          </w:p>
        </w:tc>
        <w:tc>
          <w:tcPr>
            <w:tcW w:w="661" w:type="dxa"/>
            <w:vAlign w:val="center"/>
          </w:tcPr>
          <w:p w14:paraId="5F94B1C8">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贮存能力</w:t>
            </w:r>
          </w:p>
        </w:tc>
        <w:tc>
          <w:tcPr>
            <w:tcW w:w="789" w:type="dxa"/>
            <w:vAlign w:val="center"/>
          </w:tcPr>
          <w:p w14:paraId="57D16DBC">
            <w:pPr>
              <w:pStyle w:val="35"/>
              <w:spacing w:after="0"/>
              <w:ind w:firstLine="0" w:firstLineChars="0"/>
              <w:jc w:val="center"/>
              <w:rPr>
                <w:rFonts w:ascii="Times New Roman" w:hAnsi="Times New Roman" w:eastAsia="宋体" w:cs="Times New Roman"/>
                <w:b/>
                <w:bCs/>
                <w:color w:val="auto"/>
                <w:szCs w:val="21"/>
                <w:u w:val="single" w:color="auto"/>
              </w:rPr>
            </w:pPr>
            <w:r>
              <w:rPr>
                <w:rFonts w:ascii="Times New Roman" w:hAnsi="Times New Roman" w:eastAsia="宋体" w:cs="Times New Roman"/>
                <w:b/>
                <w:bCs/>
                <w:color w:val="auto"/>
                <w:szCs w:val="21"/>
                <w:u w:val="single" w:color="auto"/>
              </w:rPr>
              <w:t>贮存周期</w:t>
            </w:r>
          </w:p>
        </w:tc>
      </w:tr>
      <w:tr w14:paraId="20279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restart"/>
            <w:vAlign w:val="center"/>
          </w:tcPr>
          <w:p w14:paraId="32DCA29E">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一般固体废物暂存</w:t>
            </w:r>
            <w:r>
              <w:rPr>
                <w:rFonts w:hint="eastAsia" w:ascii="Times New Roman" w:hAnsi="Times New Roman" w:eastAsia="宋体" w:cs="Times New Roman"/>
                <w:color w:val="auto"/>
                <w:szCs w:val="21"/>
                <w:u w:val="single" w:color="auto"/>
              </w:rPr>
              <w:t>间</w:t>
            </w:r>
          </w:p>
        </w:tc>
        <w:tc>
          <w:tcPr>
            <w:tcW w:w="1490" w:type="dxa"/>
            <w:vAlign w:val="center"/>
          </w:tcPr>
          <w:p w14:paraId="7E3B3B39">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切割下脚料</w:t>
            </w:r>
          </w:p>
        </w:tc>
        <w:tc>
          <w:tcPr>
            <w:tcW w:w="1392" w:type="dxa"/>
            <w:vAlign w:val="center"/>
          </w:tcPr>
          <w:p w14:paraId="1475B9A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1300</w:t>
            </w:r>
          </w:p>
        </w:tc>
        <w:tc>
          <w:tcPr>
            <w:tcW w:w="1404" w:type="dxa"/>
            <w:vAlign w:val="center"/>
          </w:tcPr>
          <w:p w14:paraId="0259A6B7">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rPr>
              <w:t>车间</w:t>
            </w:r>
          </w:p>
        </w:tc>
        <w:tc>
          <w:tcPr>
            <w:tcW w:w="764" w:type="dxa"/>
            <w:vMerge w:val="restart"/>
            <w:vAlign w:val="center"/>
          </w:tcPr>
          <w:p w14:paraId="4EACFBF5">
            <w:pPr>
              <w:pStyle w:val="35"/>
              <w:spacing w:after="0"/>
              <w:ind w:firstLine="0" w:firstLineChars="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rPr>
              <w:t>共</w:t>
            </w:r>
            <w:r>
              <w:rPr>
                <w:rFonts w:hint="eastAsia" w:ascii="Times New Roman" w:hAnsi="Times New Roman" w:eastAsia="宋体" w:cs="Times New Roman"/>
                <w:color w:val="auto"/>
                <w:szCs w:val="21"/>
                <w:u w:val="single" w:color="auto"/>
                <w:lang w:val="en-US" w:eastAsia="zh-CN"/>
              </w:rPr>
              <w:t>100</w:t>
            </w:r>
          </w:p>
          <w:p w14:paraId="506628D7">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m</w:t>
            </w:r>
            <w:r>
              <w:rPr>
                <w:rFonts w:hint="eastAsia" w:ascii="Times New Roman" w:hAnsi="Times New Roman" w:eastAsia="宋体" w:cs="Times New Roman"/>
                <w:color w:val="auto"/>
                <w:szCs w:val="21"/>
                <w:u w:val="single" w:color="auto"/>
                <w:vertAlign w:val="superscript"/>
              </w:rPr>
              <w:t>2</w:t>
            </w:r>
          </w:p>
        </w:tc>
        <w:tc>
          <w:tcPr>
            <w:tcW w:w="661" w:type="dxa"/>
            <w:vMerge w:val="restart"/>
            <w:vAlign w:val="center"/>
          </w:tcPr>
          <w:p w14:paraId="69374454">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分类贮存</w:t>
            </w:r>
          </w:p>
        </w:tc>
        <w:tc>
          <w:tcPr>
            <w:tcW w:w="661" w:type="dxa"/>
            <w:vMerge w:val="restart"/>
            <w:vAlign w:val="center"/>
          </w:tcPr>
          <w:p w14:paraId="4FE76202">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500t</w:t>
            </w:r>
          </w:p>
        </w:tc>
        <w:tc>
          <w:tcPr>
            <w:tcW w:w="789" w:type="dxa"/>
            <w:vMerge w:val="restart"/>
            <w:vAlign w:val="center"/>
          </w:tcPr>
          <w:p w14:paraId="4385663B">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1个月</w:t>
            </w:r>
          </w:p>
        </w:tc>
      </w:tr>
      <w:tr w14:paraId="6DCE8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0AC0203C">
            <w:pPr>
              <w:pStyle w:val="35"/>
              <w:spacing w:after="0"/>
              <w:ind w:firstLine="0" w:firstLineChars="0"/>
              <w:jc w:val="center"/>
              <w:rPr>
                <w:rFonts w:ascii="Times New Roman" w:hAnsi="Times New Roman" w:eastAsia="宋体" w:cs="Times New Roman"/>
                <w:color w:val="auto"/>
                <w:szCs w:val="21"/>
                <w:u w:val="single" w:color="auto"/>
              </w:rPr>
            </w:pPr>
          </w:p>
        </w:tc>
        <w:tc>
          <w:tcPr>
            <w:tcW w:w="1490" w:type="dxa"/>
            <w:vAlign w:val="center"/>
          </w:tcPr>
          <w:p w14:paraId="18BB132E">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净化器除尘灰</w:t>
            </w:r>
          </w:p>
        </w:tc>
        <w:tc>
          <w:tcPr>
            <w:tcW w:w="1392" w:type="dxa"/>
            <w:vAlign w:val="center"/>
          </w:tcPr>
          <w:p w14:paraId="628EDDCF">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70.402</w:t>
            </w:r>
          </w:p>
        </w:tc>
        <w:tc>
          <w:tcPr>
            <w:tcW w:w="1404" w:type="dxa"/>
            <w:vAlign w:val="center"/>
          </w:tcPr>
          <w:p w14:paraId="0C4B5D24">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rPr>
              <w:t>车间</w:t>
            </w:r>
          </w:p>
        </w:tc>
        <w:tc>
          <w:tcPr>
            <w:tcW w:w="764" w:type="dxa"/>
            <w:vMerge w:val="continue"/>
            <w:vAlign w:val="center"/>
          </w:tcPr>
          <w:p w14:paraId="3E481123">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14E9B427">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1745D22A">
            <w:pPr>
              <w:pStyle w:val="35"/>
              <w:spacing w:after="0"/>
              <w:ind w:firstLine="0" w:firstLineChars="0"/>
              <w:jc w:val="center"/>
              <w:rPr>
                <w:rFonts w:ascii="Times New Roman" w:hAnsi="Times New Roman" w:eastAsia="宋体" w:cs="Times New Roman"/>
                <w:color w:val="auto"/>
                <w:szCs w:val="21"/>
                <w:u w:val="single" w:color="auto"/>
              </w:rPr>
            </w:pPr>
          </w:p>
        </w:tc>
        <w:tc>
          <w:tcPr>
            <w:tcW w:w="789" w:type="dxa"/>
            <w:vMerge w:val="continue"/>
            <w:vAlign w:val="center"/>
          </w:tcPr>
          <w:p w14:paraId="49D8F324">
            <w:pPr>
              <w:pStyle w:val="35"/>
              <w:spacing w:after="0"/>
              <w:ind w:firstLine="0" w:firstLineChars="0"/>
              <w:jc w:val="center"/>
              <w:rPr>
                <w:rFonts w:ascii="Times New Roman" w:hAnsi="Times New Roman" w:eastAsia="宋体" w:cs="Times New Roman"/>
                <w:color w:val="auto"/>
                <w:szCs w:val="21"/>
                <w:u w:val="single" w:color="auto"/>
              </w:rPr>
            </w:pPr>
          </w:p>
        </w:tc>
      </w:tr>
      <w:tr w14:paraId="10E2D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75B0C1D0">
            <w:pPr>
              <w:pStyle w:val="35"/>
              <w:spacing w:after="0"/>
              <w:ind w:firstLine="0" w:firstLineChars="0"/>
              <w:jc w:val="center"/>
              <w:rPr>
                <w:rFonts w:ascii="Times New Roman" w:hAnsi="Times New Roman" w:eastAsia="宋体" w:cs="Times New Roman"/>
                <w:color w:val="auto"/>
                <w:szCs w:val="21"/>
                <w:u w:val="single" w:color="auto"/>
              </w:rPr>
            </w:pPr>
          </w:p>
        </w:tc>
        <w:tc>
          <w:tcPr>
            <w:tcW w:w="1490" w:type="dxa"/>
            <w:vAlign w:val="center"/>
          </w:tcPr>
          <w:p w14:paraId="7B99F033">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滤筒除尘灰</w:t>
            </w:r>
          </w:p>
        </w:tc>
        <w:tc>
          <w:tcPr>
            <w:tcW w:w="1392" w:type="dxa"/>
            <w:vAlign w:val="center"/>
          </w:tcPr>
          <w:p w14:paraId="2012A181">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224.064</w:t>
            </w:r>
          </w:p>
        </w:tc>
        <w:tc>
          <w:tcPr>
            <w:tcW w:w="1404" w:type="dxa"/>
            <w:vAlign w:val="center"/>
          </w:tcPr>
          <w:p w14:paraId="77A13DCE">
            <w:pPr>
              <w:pStyle w:val="35"/>
              <w:spacing w:after="0"/>
              <w:ind w:firstLine="0" w:firstLineChars="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eastAsia="zh-CN"/>
              </w:rPr>
              <w:t>涂装车间</w:t>
            </w:r>
          </w:p>
        </w:tc>
        <w:tc>
          <w:tcPr>
            <w:tcW w:w="764" w:type="dxa"/>
            <w:vMerge w:val="continue"/>
            <w:vAlign w:val="center"/>
          </w:tcPr>
          <w:p w14:paraId="69532C22">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77A1AC46">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2B2AEAF2">
            <w:pPr>
              <w:pStyle w:val="35"/>
              <w:spacing w:after="0"/>
              <w:ind w:firstLine="0" w:firstLineChars="0"/>
              <w:jc w:val="center"/>
              <w:rPr>
                <w:rFonts w:ascii="Times New Roman" w:hAnsi="Times New Roman" w:eastAsia="宋体" w:cs="Times New Roman"/>
                <w:color w:val="auto"/>
                <w:szCs w:val="21"/>
                <w:u w:val="single" w:color="auto"/>
              </w:rPr>
            </w:pPr>
          </w:p>
        </w:tc>
        <w:tc>
          <w:tcPr>
            <w:tcW w:w="789" w:type="dxa"/>
            <w:vMerge w:val="continue"/>
            <w:vAlign w:val="center"/>
          </w:tcPr>
          <w:p w14:paraId="4B050EF1">
            <w:pPr>
              <w:pStyle w:val="35"/>
              <w:spacing w:after="0"/>
              <w:ind w:firstLine="0" w:firstLineChars="0"/>
              <w:jc w:val="center"/>
              <w:rPr>
                <w:rFonts w:ascii="Times New Roman" w:hAnsi="Times New Roman" w:eastAsia="宋体" w:cs="Times New Roman"/>
                <w:color w:val="auto"/>
                <w:szCs w:val="21"/>
                <w:u w:val="single" w:color="auto"/>
              </w:rPr>
            </w:pPr>
          </w:p>
        </w:tc>
      </w:tr>
      <w:tr w14:paraId="094AB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073" w:type="dxa"/>
            <w:vMerge w:val="continue"/>
            <w:vAlign w:val="center"/>
          </w:tcPr>
          <w:p w14:paraId="495EB184">
            <w:pPr>
              <w:pStyle w:val="35"/>
              <w:spacing w:after="0"/>
              <w:ind w:firstLine="0" w:firstLineChars="0"/>
              <w:jc w:val="center"/>
              <w:rPr>
                <w:rFonts w:ascii="Times New Roman" w:hAnsi="Times New Roman" w:eastAsia="宋体" w:cs="Times New Roman"/>
                <w:color w:val="auto"/>
                <w:szCs w:val="21"/>
                <w:u w:val="single" w:color="auto"/>
              </w:rPr>
            </w:pPr>
          </w:p>
        </w:tc>
        <w:tc>
          <w:tcPr>
            <w:tcW w:w="1490" w:type="dxa"/>
            <w:vAlign w:val="center"/>
          </w:tcPr>
          <w:p w14:paraId="6F9E2DD8">
            <w:pPr>
              <w:pStyle w:val="35"/>
              <w:spacing w:after="0"/>
              <w:ind w:firstLine="0" w:firstLineChars="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沉降粉尘</w:t>
            </w:r>
          </w:p>
        </w:tc>
        <w:tc>
          <w:tcPr>
            <w:tcW w:w="1392" w:type="dxa"/>
            <w:vAlign w:val="center"/>
          </w:tcPr>
          <w:p w14:paraId="6AD8B594">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35.35</w:t>
            </w:r>
          </w:p>
        </w:tc>
        <w:tc>
          <w:tcPr>
            <w:tcW w:w="1404" w:type="dxa"/>
            <w:vAlign w:val="center"/>
          </w:tcPr>
          <w:p w14:paraId="3DF85070">
            <w:pPr>
              <w:pStyle w:val="35"/>
              <w:spacing w:after="0"/>
              <w:ind w:firstLine="0" w:firstLineChars="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rPr>
              <w:t>车间、</w:t>
            </w:r>
            <w:r>
              <w:rPr>
                <w:rFonts w:hint="eastAsia" w:ascii="Times New Roman" w:hAnsi="Times New Roman" w:eastAsia="宋体" w:cs="Times New Roman"/>
                <w:color w:val="auto"/>
                <w:szCs w:val="21"/>
                <w:u w:val="single" w:color="auto"/>
                <w:lang w:eastAsia="zh-CN"/>
              </w:rPr>
              <w:t>涂装车间</w:t>
            </w:r>
          </w:p>
        </w:tc>
        <w:tc>
          <w:tcPr>
            <w:tcW w:w="764" w:type="dxa"/>
            <w:vMerge w:val="continue"/>
            <w:vAlign w:val="center"/>
          </w:tcPr>
          <w:p w14:paraId="1C4C9071">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5A1DD9F3">
            <w:pPr>
              <w:pStyle w:val="35"/>
              <w:spacing w:after="0"/>
              <w:ind w:firstLine="0" w:firstLineChars="0"/>
              <w:jc w:val="center"/>
              <w:rPr>
                <w:rFonts w:ascii="Times New Roman" w:hAnsi="Times New Roman" w:eastAsia="宋体" w:cs="Times New Roman"/>
                <w:color w:val="auto"/>
                <w:szCs w:val="21"/>
                <w:u w:val="single" w:color="auto"/>
              </w:rPr>
            </w:pPr>
          </w:p>
        </w:tc>
        <w:tc>
          <w:tcPr>
            <w:tcW w:w="661" w:type="dxa"/>
            <w:vMerge w:val="continue"/>
            <w:vAlign w:val="center"/>
          </w:tcPr>
          <w:p w14:paraId="3A767AEB">
            <w:pPr>
              <w:pStyle w:val="35"/>
              <w:spacing w:after="0"/>
              <w:ind w:firstLine="0" w:firstLineChars="0"/>
              <w:jc w:val="center"/>
              <w:rPr>
                <w:rFonts w:ascii="Times New Roman" w:hAnsi="Times New Roman" w:eastAsia="宋体" w:cs="Times New Roman"/>
                <w:color w:val="auto"/>
                <w:szCs w:val="21"/>
                <w:u w:val="single" w:color="auto"/>
              </w:rPr>
            </w:pPr>
          </w:p>
        </w:tc>
        <w:tc>
          <w:tcPr>
            <w:tcW w:w="789" w:type="dxa"/>
            <w:vMerge w:val="continue"/>
            <w:vAlign w:val="center"/>
          </w:tcPr>
          <w:p w14:paraId="094C8A08">
            <w:pPr>
              <w:pStyle w:val="35"/>
              <w:spacing w:after="0"/>
              <w:ind w:firstLine="0" w:firstLineChars="0"/>
              <w:jc w:val="center"/>
              <w:rPr>
                <w:rFonts w:ascii="Times New Roman" w:hAnsi="Times New Roman" w:eastAsia="宋体" w:cs="Times New Roman"/>
                <w:color w:val="auto"/>
                <w:szCs w:val="21"/>
                <w:u w:val="single" w:color="auto"/>
              </w:rPr>
            </w:pPr>
          </w:p>
        </w:tc>
      </w:tr>
      <w:tr w14:paraId="22D69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073" w:type="dxa"/>
            <w:vMerge w:val="continue"/>
            <w:vAlign w:val="center"/>
          </w:tcPr>
          <w:p w14:paraId="209E24F4">
            <w:pPr>
              <w:jc w:val="center"/>
              <w:rPr>
                <w:color w:val="auto"/>
                <w:u w:val="single" w:color="auto"/>
              </w:rPr>
            </w:pPr>
          </w:p>
        </w:tc>
        <w:tc>
          <w:tcPr>
            <w:tcW w:w="1490" w:type="dxa"/>
            <w:vAlign w:val="center"/>
          </w:tcPr>
          <w:p w14:paraId="63D2623D">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废焊条焊渣</w:t>
            </w:r>
          </w:p>
        </w:tc>
        <w:tc>
          <w:tcPr>
            <w:tcW w:w="1392" w:type="dxa"/>
            <w:vAlign w:val="center"/>
          </w:tcPr>
          <w:p w14:paraId="605FAFA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500</w:t>
            </w:r>
          </w:p>
        </w:tc>
        <w:tc>
          <w:tcPr>
            <w:tcW w:w="1404" w:type="dxa"/>
            <w:vAlign w:val="center"/>
          </w:tcPr>
          <w:p w14:paraId="5FED49A7">
            <w:pPr>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lang w:val="en-US" w:eastAsia="zh-CN"/>
              </w:rPr>
              <w:t>装焊</w:t>
            </w:r>
            <w:r>
              <w:rPr>
                <w:rFonts w:hint="eastAsia" w:ascii="Times New Roman" w:hAnsi="Times New Roman" w:eastAsia="宋体" w:cs="Times New Roman"/>
                <w:color w:val="auto"/>
                <w:szCs w:val="21"/>
                <w:u w:val="single" w:color="auto"/>
              </w:rPr>
              <w:t>车间</w:t>
            </w:r>
          </w:p>
        </w:tc>
        <w:tc>
          <w:tcPr>
            <w:tcW w:w="764" w:type="dxa"/>
            <w:vMerge w:val="continue"/>
            <w:vAlign w:val="center"/>
          </w:tcPr>
          <w:p w14:paraId="6E2D40FD">
            <w:pPr>
              <w:jc w:val="center"/>
              <w:rPr>
                <w:rFonts w:ascii="Times New Roman" w:hAnsi="Times New Roman" w:eastAsia="宋体" w:cs="Times New Roman"/>
                <w:color w:val="auto"/>
                <w:szCs w:val="21"/>
                <w:u w:val="single" w:color="auto"/>
              </w:rPr>
            </w:pPr>
          </w:p>
        </w:tc>
        <w:tc>
          <w:tcPr>
            <w:tcW w:w="661" w:type="dxa"/>
            <w:vMerge w:val="continue"/>
            <w:vAlign w:val="center"/>
          </w:tcPr>
          <w:p w14:paraId="1CD43D6B">
            <w:pPr>
              <w:jc w:val="center"/>
              <w:rPr>
                <w:rFonts w:ascii="Times New Roman" w:hAnsi="Times New Roman" w:eastAsia="宋体" w:cs="Times New Roman"/>
                <w:color w:val="auto"/>
                <w:szCs w:val="21"/>
                <w:u w:val="single" w:color="auto"/>
              </w:rPr>
            </w:pPr>
          </w:p>
        </w:tc>
        <w:tc>
          <w:tcPr>
            <w:tcW w:w="661" w:type="dxa"/>
            <w:vMerge w:val="continue"/>
            <w:vAlign w:val="center"/>
          </w:tcPr>
          <w:p w14:paraId="26EE29CD">
            <w:pPr>
              <w:jc w:val="center"/>
              <w:rPr>
                <w:rFonts w:ascii="Times New Roman" w:hAnsi="Times New Roman" w:eastAsia="宋体" w:cs="Times New Roman"/>
                <w:color w:val="auto"/>
                <w:szCs w:val="21"/>
                <w:u w:val="single" w:color="auto"/>
              </w:rPr>
            </w:pPr>
          </w:p>
        </w:tc>
        <w:tc>
          <w:tcPr>
            <w:tcW w:w="789" w:type="dxa"/>
            <w:vMerge w:val="continue"/>
            <w:vAlign w:val="center"/>
          </w:tcPr>
          <w:p w14:paraId="43DA37A8">
            <w:pPr>
              <w:jc w:val="center"/>
              <w:rPr>
                <w:rFonts w:ascii="Times New Roman" w:hAnsi="Times New Roman" w:eastAsia="宋体" w:cs="Times New Roman"/>
                <w:color w:val="auto"/>
                <w:szCs w:val="21"/>
                <w:u w:val="single" w:color="auto"/>
              </w:rPr>
            </w:pPr>
          </w:p>
        </w:tc>
      </w:tr>
      <w:tr w14:paraId="45661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073" w:type="dxa"/>
            <w:vMerge w:val="continue"/>
            <w:vAlign w:val="center"/>
          </w:tcPr>
          <w:p w14:paraId="183EE10C">
            <w:pPr>
              <w:jc w:val="center"/>
              <w:rPr>
                <w:rFonts w:ascii="Times New Roman" w:hAnsi="Times New Roman" w:eastAsia="宋体" w:cs="Times New Roman"/>
                <w:color w:val="auto"/>
                <w:szCs w:val="21"/>
                <w:u w:val="single" w:color="auto"/>
              </w:rPr>
            </w:pPr>
          </w:p>
        </w:tc>
        <w:tc>
          <w:tcPr>
            <w:tcW w:w="1490" w:type="dxa"/>
            <w:vAlign w:val="center"/>
          </w:tcPr>
          <w:p w14:paraId="2A65A6A7">
            <w:pPr>
              <w:pStyle w:val="35"/>
              <w:spacing w:after="0"/>
              <w:ind w:firstLine="0" w:firstLineChars="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废钢丸</w:t>
            </w:r>
          </w:p>
        </w:tc>
        <w:tc>
          <w:tcPr>
            <w:tcW w:w="1392" w:type="dxa"/>
            <w:vAlign w:val="center"/>
          </w:tcPr>
          <w:p w14:paraId="0577C6E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176.426</w:t>
            </w:r>
          </w:p>
        </w:tc>
        <w:tc>
          <w:tcPr>
            <w:tcW w:w="1404" w:type="dxa"/>
            <w:vAlign w:val="center"/>
          </w:tcPr>
          <w:p w14:paraId="66F0D437">
            <w:pPr>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eastAsia="zh-CN"/>
              </w:rPr>
              <w:t>涂装车间</w:t>
            </w:r>
          </w:p>
        </w:tc>
        <w:tc>
          <w:tcPr>
            <w:tcW w:w="764" w:type="dxa"/>
            <w:vMerge w:val="continue"/>
            <w:vAlign w:val="center"/>
          </w:tcPr>
          <w:p w14:paraId="7302143A">
            <w:pPr>
              <w:jc w:val="center"/>
              <w:rPr>
                <w:rFonts w:ascii="Times New Roman" w:hAnsi="Times New Roman" w:eastAsia="宋体" w:cs="Times New Roman"/>
                <w:color w:val="auto"/>
                <w:szCs w:val="21"/>
                <w:u w:val="single" w:color="auto"/>
              </w:rPr>
            </w:pPr>
          </w:p>
        </w:tc>
        <w:tc>
          <w:tcPr>
            <w:tcW w:w="661" w:type="dxa"/>
            <w:vMerge w:val="continue"/>
            <w:vAlign w:val="center"/>
          </w:tcPr>
          <w:p w14:paraId="4803B8B5">
            <w:pPr>
              <w:jc w:val="center"/>
              <w:rPr>
                <w:rFonts w:ascii="Times New Roman" w:hAnsi="Times New Roman" w:eastAsia="宋体" w:cs="Times New Roman"/>
                <w:color w:val="auto"/>
                <w:szCs w:val="21"/>
                <w:u w:val="single" w:color="auto"/>
              </w:rPr>
            </w:pPr>
          </w:p>
        </w:tc>
        <w:tc>
          <w:tcPr>
            <w:tcW w:w="661" w:type="dxa"/>
            <w:vMerge w:val="continue"/>
            <w:vAlign w:val="center"/>
          </w:tcPr>
          <w:p w14:paraId="6C830E10">
            <w:pPr>
              <w:jc w:val="center"/>
              <w:rPr>
                <w:rFonts w:ascii="Times New Roman" w:hAnsi="Times New Roman" w:eastAsia="宋体" w:cs="Times New Roman"/>
                <w:color w:val="auto"/>
                <w:szCs w:val="21"/>
                <w:u w:val="single" w:color="auto"/>
              </w:rPr>
            </w:pPr>
          </w:p>
        </w:tc>
        <w:tc>
          <w:tcPr>
            <w:tcW w:w="789" w:type="dxa"/>
            <w:vMerge w:val="continue"/>
            <w:vAlign w:val="center"/>
          </w:tcPr>
          <w:p w14:paraId="7082230A">
            <w:pPr>
              <w:jc w:val="center"/>
              <w:rPr>
                <w:rFonts w:ascii="Times New Roman" w:hAnsi="Times New Roman" w:eastAsia="宋体" w:cs="Times New Roman"/>
                <w:color w:val="auto"/>
                <w:szCs w:val="21"/>
                <w:u w:val="single" w:color="auto"/>
              </w:rPr>
            </w:pPr>
          </w:p>
        </w:tc>
      </w:tr>
    </w:tbl>
    <w:p w14:paraId="02C81A66">
      <w:pPr>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2、危险废物治理措施</w:t>
      </w:r>
    </w:p>
    <w:p w14:paraId="60139617">
      <w:pPr>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项目根据不同</w:t>
      </w:r>
      <w:r>
        <w:rPr>
          <w:rFonts w:hint="eastAsia" w:ascii="Times New Roman" w:hAnsi="Times New Roman" w:eastAsia="宋体" w:cs="Times New Roman"/>
          <w:color w:val="auto"/>
          <w:sz w:val="24"/>
          <w:szCs w:val="24"/>
          <w:u w:val="single" w:color="auto"/>
        </w:rPr>
        <w:t>危险</w:t>
      </w:r>
      <w:r>
        <w:rPr>
          <w:rFonts w:ascii="Times New Roman" w:hAnsi="Times New Roman" w:eastAsia="宋体" w:cs="Times New Roman"/>
          <w:color w:val="auto"/>
          <w:sz w:val="24"/>
          <w:szCs w:val="24"/>
          <w:u w:val="single" w:color="auto"/>
        </w:rPr>
        <w:t>废物的性质和状态存放在不同的</w:t>
      </w:r>
      <w:r>
        <w:rPr>
          <w:rFonts w:hint="eastAsia" w:ascii="Times New Roman" w:hAnsi="Times New Roman" w:eastAsia="宋体" w:cs="Times New Roman"/>
          <w:color w:val="auto"/>
          <w:sz w:val="24"/>
          <w:szCs w:val="24"/>
          <w:u w:val="single" w:color="auto"/>
        </w:rPr>
        <w:t>容器</w:t>
      </w:r>
      <w:r>
        <w:rPr>
          <w:rFonts w:ascii="Times New Roman" w:hAnsi="Times New Roman" w:eastAsia="宋体" w:cs="Times New Roman"/>
          <w:color w:val="auto"/>
          <w:sz w:val="24"/>
          <w:szCs w:val="24"/>
          <w:u w:val="single" w:color="auto"/>
        </w:rPr>
        <w:t>中，并</w:t>
      </w:r>
      <w:r>
        <w:rPr>
          <w:rFonts w:hint="eastAsia" w:ascii="Times New Roman" w:hAnsi="Times New Roman" w:eastAsia="宋体" w:cs="Times New Roman"/>
          <w:color w:val="auto"/>
          <w:sz w:val="24"/>
          <w:szCs w:val="24"/>
          <w:u w:val="single" w:color="auto"/>
        </w:rPr>
        <w:t>分区</w:t>
      </w:r>
      <w:r>
        <w:rPr>
          <w:rFonts w:ascii="Times New Roman" w:hAnsi="Times New Roman" w:eastAsia="宋体" w:cs="Times New Roman"/>
          <w:color w:val="auto"/>
          <w:sz w:val="24"/>
          <w:szCs w:val="24"/>
          <w:u w:val="single" w:color="auto"/>
        </w:rPr>
        <w:t>暂存在危险废物</w:t>
      </w:r>
      <w:r>
        <w:rPr>
          <w:rFonts w:hint="eastAsia" w:ascii="Times New Roman" w:hAnsi="Times New Roman" w:eastAsia="宋体" w:cs="Times New Roman"/>
          <w:color w:val="auto"/>
          <w:sz w:val="24"/>
          <w:szCs w:val="24"/>
          <w:u w:val="single" w:color="auto"/>
        </w:rPr>
        <w:t>暂存间</w:t>
      </w:r>
      <w:r>
        <w:rPr>
          <w:rFonts w:ascii="Times New Roman" w:hAnsi="Times New Roman" w:eastAsia="宋体" w:cs="Times New Roman"/>
          <w:color w:val="auto"/>
          <w:sz w:val="24"/>
          <w:szCs w:val="24"/>
          <w:u w:val="single" w:color="auto"/>
        </w:rPr>
        <w:t>。在装卸、运输、堆放过程中，应严格进行固体废物包装的检查，在运出危险废物</w:t>
      </w:r>
      <w:r>
        <w:rPr>
          <w:rFonts w:hint="eastAsia" w:ascii="Times New Roman" w:hAnsi="Times New Roman" w:eastAsia="宋体" w:cs="Times New Roman"/>
          <w:color w:val="auto"/>
          <w:sz w:val="24"/>
          <w:szCs w:val="24"/>
          <w:u w:val="single" w:color="auto"/>
        </w:rPr>
        <w:t>暂存间</w:t>
      </w:r>
      <w:r>
        <w:rPr>
          <w:rFonts w:ascii="Times New Roman" w:hAnsi="Times New Roman" w:eastAsia="宋体" w:cs="Times New Roman"/>
          <w:color w:val="auto"/>
          <w:sz w:val="24"/>
          <w:szCs w:val="24"/>
          <w:u w:val="single" w:color="auto"/>
        </w:rPr>
        <w:t>时其包装应是完好和密封的，避免有害废物的泄漏等产生二次污染</w:t>
      </w:r>
      <w:r>
        <w:rPr>
          <w:rFonts w:hint="eastAsia" w:ascii="Times New Roman" w:hAnsi="Times New Roman" w:eastAsia="宋体" w:cs="Times New Roman"/>
          <w:color w:val="auto"/>
          <w:sz w:val="24"/>
          <w:szCs w:val="24"/>
          <w:u w:val="single" w:color="auto"/>
        </w:rPr>
        <w:t>。</w:t>
      </w:r>
    </w:p>
    <w:p w14:paraId="77DF3DAD">
      <w:pPr>
        <w:spacing w:line="360" w:lineRule="auto"/>
        <w:ind w:firstLine="480" w:firstLineChars="200"/>
        <w:rPr>
          <w:rFonts w:ascii="Times New Roman" w:hAnsi="Times New Roman" w:eastAsia="宋体" w:cs="Times New Roman"/>
          <w:color w:val="auto"/>
          <w:sz w:val="24"/>
          <w:u w:val="single" w:color="auto"/>
        </w:rPr>
      </w:pPr>
      <w:r>
        <w:rPr>
          <w:rFonts w:hint="eastAsia" w:ascii="Times New Roman" w:hAnsi="Times New Roman" w:eastAsia="宋体" w:cs="Times New Roman"/>
          <w:color w:val="auto"/>
          <w:sz w:val="24"/>
          <w:szCs w:val="24"/>
          <w:u w:val="single" w:color="auto"/>
        </w:rPr>
        <w:t>项目产生的危险废物主要是</w:t>
      </w:r>
      <w:r>
        <w:rPr>
          <w:rFonts w:ascii="Times New Roman" w:hAnsi="Times New Roman" w:eastAsia="宋体" w:cs="Times New Roman"/>
          <w:color w:val="auto"/>
          <w:sz w:val="24"/>
          <w:szCs w:val="24"/>
          <w:u w:val="single" w:color="auto"/>
        </w:rPr>
        <w:t>废过滤棉、废活性炭、</w:t>
      </w:r>
      <w:r>
        <w:rPr>
          <w:rFonts w:hint="eastAsia" w:ascii="Times New Roman" w:hAnsi="Times New Roman" w:eastAsia="宋体" w:cs="Times New Roman"/>
          <w:color w:val="auto"/>
          <w:sz w:val="24"/>
          <w:szCs w:val="24"/>
          <w:u w:val="single" w:color="auto"/>
        </w:rPr>
        <w:t>废催化剂、</w:t>
      </w:r>
      <w:r>
        <w:rPr>
          <w:rFonts w:ascii="Times New Roman" w:hAnsi="Times New Roman" w:eastAsia="宋体" w:cs="Times New Roman"/>
          <w:color w:val="auto"/>
          <w:sz w:val="24"/>
          <w:szCs w:val="24"/>
          <w:u w:val="single" w:color="auto"/>
        </w:rPr>
        <w:t>废油漆桶、废</w:t>
      </w:r>
      <w:r>
        <w:rPr>
          <w:rFonts w:hint="eastAsia" w:ascii="Times New Roman" w:hAnsi="Times New Roman" w:eastAsia="宋体" w:cs="Times New Roman"/>
          <w:color w:val="auto"/>
          <w:sz w:val="24"/>
          <w:szCs w:val="24"/>
          <w:u w:val="single" w:color="auto"/>
        </w:rPr>
        <w:t>固化剂</w:t>
      </w:r>
      <w:r>
        <w:rPr>
          <w:rFonts w:ascii="Times New Roman" w:hAnsi="Times New Roman" w:eastAsia="宋体" w:cs="Times New Roman"/>
          <w:color w:val="auto"/>
          <w:sz w:val="24"/>
          <w:szCs w:val="24"/>
          <w:u w:val="single" w:color="auto"/>
        </w:rPr>
        <w:t>桶、废</w:t>
      </w:r>
      <w:r>
        <w:rPr>
          <w:rFonts w:hint="eastAsia" w:ascii="Times New Roman" w:hAnsi="Times New Roman" w:eastAsia="宋体" w:cs="Times New Roman"/>
          <w:color w:val="auto"/>
          <w:sz w:val="24"/>
          <w:szCs w:val="24"/>
          <w:u w:val="single" w:color="auto"/>
        </w:rPr>
        <w:t>稀释剂</w:t>
      </w:r>
      <w:r>
        <w:rPr>
          <w:rFonts w:ascii="Times New Roman" w:hAnsi="Times New Roman" w:eastAsia="宋体" w:cs="Times New Roman"/>
          <w:color w:val="auto"/>
          <w:sz w:val="24"/>
          <w:szCs w:val="24"/>
          <w:u w:val="single" w:color="auto"/>
        </w:rPr>
        <w:t>桶、废</w:t>
      </w:r>
      <w:r>
        <w:rPr>
          <w:rFonts w:hint="eastAsia" w:ascii="Times New Roman" w:hAnsi="Times New Roman" w:eastAsia="宋体" w:cs="Times New Roman"/>
          <w:color w:val="auto"/>
          <w:sz w:val="24"/>
          <w:szCs w:val="24"/>
          <w:u w:val="single" w:color="auto"/>
        </w:rPr>
        <w:t>润滑油</w:t>
      </w:r>
      <w:r>
        <w:rPr>
          <w:rFonts w:ascii="Times New Roman" w:hAnsi="Times New Roman" w:eastAsia="宋体" w:cs="Times New Roman"/>
          <w:color w:val="auto"/>
          <w:sz w:val="24"/>
          <w:szCs w:val="24"/>
          <w:u w:val="single" w:color="auto"/>
        </w:rPr>
        <w:t>桶、废润滑油</w:t>
      </w:r>
      <w:r>
        <w:rPr>
          <w:rFonts w:hint="eastAsia" w:ascii="Times New Roman" w:hAnsi="Times New Roman" w:eastAsia="宋体" w:cs="Times New Roman"/>
          <w:color w:val="auto"/>
          <w:sz w:val="24"/>
          <w:szCs w:val="24"/>
          <w:u w:val="single" w:color="auto"/>
        </w:rPr>
        <w:t>和漆渣，共计产生量为</w:t>
      </w:r>
      <w:r>
        <w:rPr>
          <w:rFonts w:hint="eastAsia" w:ascii="Times New Roman" w:hAnsi="Times New Roman" w:eastAsia="宋体" w:cs="Times New Roman"/>
          <w:color w:val="auto"/>
          <w:sz w:val="24"/>
          <w:szCs w:val="24"/>
          <w:u w:val="single" w:color="auto"/>
          <w:lang w:val="en-US" w:eastAsia="zh-CN"/>
        </w:rPr>
        <w:t>42.732</w:t>
      </w:r>
      <w:r>
        <w:rPr>
          <w:rFonts w:hint="eastAsia"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u w:val="single" w:color="auto"/>
        </w:rPr>
        <w:t>废油漆桶、废固化剂桶、废稀释剂桶、废润滑油桶密封后暂存在厂内危废暂存间内；废催化剂、废润滑油、漆渣由塑料桶盛放，暂存于危废暂存间；废过滤棉、废活性炭、废含油抹布采用双层塑编胶带包装，每袋20-25kg，暂存于厂内危废暂存间内。项目危险废物</w:t>
      </w:r>
      <w:r>
        <w:rPr>
          <w:rFonts w:hint="eastAsia" w:ascii="Times New Roman" w:hAnsi="Times New Roman" w:eastAsia="宋体" w:cs="Times New Roman"/>
          <w:color w:val="auto"/>
          <w:sz w:val="24"/>
          <w:szCs w:val="24"/>
          <w:u w:val="single" w:color="auto"/>
        </w:rPr>
        <w:t>经专用容器收集后，分类</w:t>
      </w:r>
      <w:r>
        <w:rPr>
          <w:rFonts w:ascii="Times New Roman" w:hAnsi="Times New Roman" w:eastAsia="宋体" w:cs="Times New Roman"/>
          <w:color w:val="auto"/>
          <w:sz w:val="24"/>
          <w:szCs w:val="24"/>
          <w:u w:val="single" w:color="auto"/>
        </w:rPr>
        <w:t>暂存</w:t>
      </w:r>
      <w:r>
        <w:rPr>
          <w:rFonts w:hint="eastAsia" w:ascii="Times New Roman" w:hAnsi="Times New Roman" w:eastAsia="宋体" w:cs="Times New Roman"/>
          <w:color w:val="auto"/>
          <w:sz w:val="24"/>
          <w:szCs w:val="24"/>
          <w:u w:val="single" w:color="auto"/>
        </w:rPr>
        <w:t>于</w:t>
      </w:r>
      <w:r>
        <w:rPr>
          <w:rFonts w:ascii="Times New Roman" w:hAnsi="Times New Roman" w:eastAsia="宋体" w:cs="Times New Roman"/>
          <w:color w:val="auto"/>
          <w:sz w:val="24"/>
          <w:szCs w:val="24"/>
          <w:u w:val="single" w:color="auto"/>
        </w:rPr>
        <w:t>危险废物暂存间后，定期交给有</w:t>
      </w:r>
      <w:r>
        <w:rPr>
          <w:rFonts w:hint="eastAsia" w:ascii="Times New Roman" w:hAnsi="Times New Roman" w:eastAsia="宋体" w:cs="Times New Roman"/>
          <w:color w:val="auto"/>
          <w:sz w:val="24"/>
          <w:szCs w:val="24"/>
          <w:u w:val="single" w:color="auto"/>
        </w:rPr>
        <w:t>资质</w:t>
      </w:r>
      <w:r>
        <w:rPr>
          <w:rFonts w:ascii="Times New Roman" w:hAnsi="Times New Roman" w:eastAsia="宋体" w:cs="Times New Roman"/>
          <w:color w:val="auto"/>
          <w:sz w:val="24"/>
          <w:szCs w:val="24"/>
          <w:u w:val="single" w:color="auto"/>
        </w:rPr>
        <w:t>的单位</w:t>
      </w:r>
      <w:r>
        <w:rPr>
          <w:rFonts w:hint="eastAsia" w:ascii="Times New Roman" w:hAnsi="Times New Roman" w:eastAsia="宋体" w:cs="Times New Roman"/>
          <w:color w:val="auto"/>
          <w:sz w:val="24"/>
          <w:szCs w:val="24"/>
          <w:u w:val="single" w:color="auto"/>
        </w:rPr>
        <w:t>处置</w:t>
      </w:r>
      <w:r>
        <w:rPr>
          <w:rFonts w:ascii="Times New Roman" w:hAnsi="Times New Roman" w:eastAsia="宋体" w:cs="Times New Roman"/>
          <w:color w:val="auto"/>
          <w:sz w:val="24"/>
          <w:u w:val="single" w:color="auto"/>
        </w:rPr>
        <w:t>。</w:t>
      </w:r>
      <w:r>
        <w:rPr>
          <w:rFonts w:hint="eastAsia" w:ascii="Times New Roman" w:hAnsi="Times New Roman" w:eastAsia="宋体" w:cs="Times New Roman"/>
          <w:color w:val="auto"/>
          <w:sz w:val="24"/>
          <w:u w:val="single" w:color="auto"/>
        </w:rPr>
        <w:t>项目拟在</w:t>
      </w:r>
      <w:r>
        <w:rPr>
          <w:rFonts w:hint="eastAsia" w:ascii="Times New Roman" w:hAnsi="Times New Roman" w:eastAsia="宋体" w:cs="Times New Roman"/>
          <w:color w:val="auto"/>
          <w:sz w:val="24"/>
          <w:u w:val="single" w:color="auto"/>
          <w:lang w:eastAsia="zh-CN"/>
        </w:rPr>
        <w:t>涂装车间</w:t>
      </w:r>
      <w:r>
        <w:rPr>
          <w:rFonts w:hint="eastAsia" w:ascii="Times New Roman" w:hAnsi="Times New Roman" w:eastAsia="宋体" w:cs="Times New Roman"/>
          <w:color w:val="auto"/>
          <w:sz w:val="24"/>
          <w:u w:val="single" w:color="auto"/>
        </w:rPr>
        <w:t>内设置</w:t>
      </w:r>
      <w:r>
        <w:rPr>
          <w:rFonts w:hint="eastAsia" w:ascii="Times New Roman" w:hAnsi="Times New Roman" w:eastAsia="宋体" w:cs="Times New Roman"/>
          <w:color w:val="auto"/>
          <w:sz w:val="24"/>
          <w:u w:val="single" w:color="auto"/>
          <w:lang w:val="en-US" w:eastAsia="zh-CN"/>
        </w:rPr>
        <w:t>2</w:t>
      </w:r>
      <w:r>
        <w:rPr>
          <w:rFonts w:hint="eastAsia" w:ascii="Times New Roman" w:hAnsi="Times New Roman" w:eastAsia="宋体" w:cs="Times New Roman"/>
          <w:color w:val="auto"/>
          <w:sz w:val="24"/>
          <w:u w:val="single" w:color="auto"/>
        </w:rPr>
        <w:t>00m</w:t>
      </w:r>
      <w:r>
        <w:rPr>
          <w:rFonts w:hint="eastAsia" w:ascii="Times New Roman" w:hAnsi="Times New Roman" w:eastAsia="宋体" w:cs="Times New Roman"/>
          <w:color w:val="auto"/>
          <w:sz w:val="24"/>
          <w:u w:val="single" w:color="auto"/>
          <w:vertAlign w:val="superscript"/>
        </w:rPr>
        <w:t>2</w:t>
      </w:r>
      <w:r>
        <w:rPr>
          <w:rFonts w:hint="eastAsia" w:ascii="Times New Roman" w:hAnsi="Times New Roman" w:eastAsia="宋体" w:cs="Times New Roman"/>
          <w:color w:val="auto"/>
          <w:sz w:val="24"/>
          <w:u w:val="single" w:color="auto"/>
        </w:rPr>
        <w:t>的危险废物暂存间，能满足暂存要求。</w:t>
      </w:r>
    </w:p>
    <w:p w14:paraId="57284308">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根据</w:t>
      </w:r>
      <w:r>
        <w:rPr>
          <w:rFonts w:hint="eastAsia" w:ascii="Times New Roman" w:hAnsi="Times New Roman" w:eastAsia="宋体" w:cs="Times New Roman"/>
          <w:color w:val="auto"/>
          <w:sz w:val="24"/>
          <w:u w:val="single" w:color="auto"/>
          <w:lang w:eastAsia="zh-CN"/>
        </w:rPr>
        <w:t>《危险废物贮存污染控制标准》（GB18597-2023）</w:t>
      </w:r>
      <w:r>
        <w:rPr>
          <w:rFonts w:ascii="Times New Roman" w:hAnsi="Times New Roman" w:eastAsia="宋体" w:cs="Times New Roman"/>
          <w:color w:val="auto"/>
          <w:sz w:val="24"/>
          <w:u w:val="single" w:color="auto"/>
        </w:rPr>
        <w:t>，危废暂存点需做好“三防” 措施，防风、防雨、防晒，防止二次污染，必须按规定设置警示标志，配备通讯设备、照明设施、安全防护服装及工具，并设有应急防护设施。另外，拟建项目在危险废物转移过程中，要严格执行“五联单”制度。</w:t>
      </w:r>
    </w:p>
    <w:p w14:paraId="72692603">
      <w:pPr>
        <w:autoSpaceDE w:val="0"/>
        <w:autoSpaceDN w:val="0"/>
        <w:spacing w:line="360" w:lineRule="auto"/>
        <w:ind w:firstLine="480" w:firstLineChars="200"/>
        <w:rPr>
          <w:rFonts w:ascii="Times New Roman" w:hAnsi="Times New Roman" w:eastAsia="宋体" w:cs="Times New Roman"/>
          <w:color w:val="auto"/>
          <w:sz w:val="24"/>
          <w:u w:val="single" w:color="auto"/>
        </w:rPr>
      </w:pPr>
      <w:r>
        <w:rPr>
          <w:rFonts w:ascii="Times New Roman" w:hAnsi="Times New Roman" w:eastAsia="宋体" w:cs="Times New Roman"/>
          <w:color w:val="auto"/>
          <w:sz w:val="24"/>
          <w:u w:val="single" w:color="auto"/>
        </w:rPr>
        <w:t>根据《建设项目危险废物环境影响评价指南》（</w:t>
      </w:r>
      <w:r>
        <w:rPr>
          <w:rFonts w:hint="eastAsia" w:ascii="Times New Roman" w:hAnsi="Times New Roman" w:eastAsia="宋体" w:cs="Times New Roman"/>
          <w:color w:val="auto"/>
          <w:sz w:val="24"/>
          <w:u w:val="single" w:color="auto"/>
          <w:lang w:eastAsia="zh-CN"/>
        </w:rPr>
        <w:t>生态环境部</w:t>
      </w:r>
      <w:r>
        <w:rPr>
          <w:rFonts w:ascii="Times New Roman" w:hAnsi="Times New Roman" w:eastAsia="宋体" w:cs="Times New Roman"/>
          <w:color w:val="auto"/>
          <w:sz w:val="24"/>
          <w:u w:val="single" w:color="auto"/>
        </w:rPr>
        <w:t>公告</w:t>
      </w:r>
      <w:r>
        <w:rPr>
          <w:rFonts w:hint="eastAsia" w:ascii="Times New Roman" w:hAnsi="Times New Roman" w:eastAsia="宋体" w:cs="Times New Roman"/>
          <w:color w:val="auto"/>
          <w:sz w:val="24"/>
          <w:u w:val="single" w:color="auto"/>
        </w:rPr>
        <w:t xml:space="preserve"> </w:t>
      </w:r>
      <w:r>
        <w:rPr>
          <w:rFonts w:ascii="Times New Roman" w:hAnsi="Times New Roman" w:eastAsia="宋体" w:cs="Times New Roman"/>
          <w:color w:val="auto"/>
          <w:sz w:val="24"/>
          <w:u w:val="single" w:color="auto"/>
        </w:rPr>
        <w:t>2017年，第43号）要求；项目危险废物贮存场所（设施）污染防治措施情况见</w:t>
      </w:r>
      <w:r>
        <w:rPr>
          <w:rFonts w:hint="eastAsia" w:ascii="Times New Roman" w:hAnsi="Times New Roman" w:eastAsia="宋体" w:cs="Times New Roman"/>
          <w:color w:val="auto"/>
          <w:sz w:val="24"/>
          <w:u w:val="single" w:color="auto"/>
        </w:rPr>
        <w:t>下表：</w:t>
      </w:r>
    </w:p>
    <w:p w14:paraId="70E33CF7">
      <w:pPr>
        <w:pStyle w:val="65"/>
        <w:spacing w:line="240" w:lineRule="auto"/>
        <w:rPr>
          <w:color w:val="auto"/>
          <w:sz w:val="21"/>
          <w:szCs w:val="21"/>
          <w:u w:val="none" w:color="auto"/>
        </w:rPr>
      </w:pPr>
      <w:r>
        <w:rPr>
          <w:rFonts w:hint="eastAsia"/>
          <w:color w:val="auto"/>
          <w:sz w:val="21"/>
          <w:szCs w:val="21"/>
          <w:u w:val="none" w:color="auto"/>
        </w:rPr>
        <w:t>表5.2-5 项目项目危险废物贮存场所（设施）基本情况样表</w:t>
      </w:r>
    </w:p>
    <w:tbl>
      <w:tblPr>
        <w:tblStyle w:val="38"/>
        <w:tblW w:w="82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1414"/>
        <w:gridCol w:w="956"/>
        <w:gridCol w:w="1266"/>
        <w:gridCol w:w="618"/>
        <w:gridCol w:w="731"/>
        <w:gridCol w:w="661"/>
        <w:gridCol w:w="661"/>
        <w:gridCol w:w="789"/>
      </w:tblGrid>
      <w:tr w14:paraId="5F4A8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8" w:type="dxa"/>
            <w:vAlign w:val="center"/>
          </w:tcPr>
          <w:p w14:paraId="4E40DEBC">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贮存场所 （设施） 名称</w:t>
            </w:r>
          </w:p>
        </w:tc>
        <w:tc>
          <w:tcPr>
            <w:tcW w:w="1414" w:type="dxa"/>
            <w:vAlign w:val="center"/>
          </w:tcPr>
          <w:p w14:paraId="585B9D77">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危险废物名称</w:t>
            </w:r>
          </w:p>
        </w:tc>
        <w:tc>
          <w:tcPr>
            <w:tcW w:w="956" w:type="dxa"/>
            <w:vAlign w:val="center"/>
          </w:tcPr>
          <w:p w14:paraId="6D4031C4">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危险废物类别</w:t>
            </w:r>
          </w:p>
        </w:tc>
        <w:tc>
          <w:tcPr>
            <w:tcW w:w="1266" w:type="dxa"/>
            <w:vAlign w:val="center"/>
          </w:tcPr>
          <w:p w14:paraId="32F537E1">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危险废物代码</w:t>
            </w:r>
          </w:p>
        </w:tc>
        <w:tc>
          <w:tcPr>
            <w:tcW w:w="618" w:type="dxa"/>
            <w:vAlign w:val="center"/>
          </w:tcPr>
          <w:p w14:paraId="74123AB6">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位置</w:t>
            </w:r>
          </w:p>
        </w:tc>
        <w:tc>
          <w:tcPr>
            <w:tcW w:w="731" w:type="dxa"/>
            <w:vAlign w:val="center"/>
          </w:tcPr>
          <w:p w14:paraId="73998E85">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占地面积</w:t>
            </w:r>
          </w:p>
        </w:tc>
        <w:tc>
          <w:tcPr>
            <w:tcW w:w="661" w:type="dxa"/>
            <w:vAlign w:val="center"/>
          </w:tcPr>
          <w:p w14:paraId="1FBDBFEB">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贮存方式</w:t>
            </w:r>
          </w:p>
        </w:tc>
        <w:tc>
          <w:tcPr>
            <w:tcW w:w="661" w:type="dxa"/>
            <w:vAlign w:val="center"/>
          </w:tcPr>
          <w:p w14:paraId="6CD3C742">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贮存能力</w:t>
            </w:r>
          </w:p>
        </w:tc>
        <w:tc>
          <w:tcPr>
            <w:tcW w:w="789" w:type="dxa"/>
            <w:vAlign w:val="center"/>
          </w:tcPr>
          <w:p w14:paraId="6B679AB1">
            <w:pPr>
              <w:pStyle w:val="35"/>
              <w:spacing w:after="0"/>
              <w:ind w:firstLine="0" w:firstLineChars="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贮存周期</w:t>
            </w:r>
          </w:p>
        </w:tc>
      </w:tr>
      <w:tr w14:paraId="2B90E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8" w:type="dxa"/>
            <w:vMerge w:val="restart"/>
            <w:vAlign w:val="center"/>
          </w:tcPr>
          <w:p w14:paraId="077855C2">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危险废物暂存间</w:t>
            </w:r>
          </w:p>
        </w:tc>
        <w:tc>
          <w:tcPr>
            <w:tcW w:w="1414" w:type="dxa"/>
            <w:vAlign w:val="center"/>
          </w:tcPr>
          <w:p w14:paraId="200BFA7C">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废过滤棉</w:t>
            </w:r>
          </w:p>
        </w:tc>
        <w:tc>
          <w:tcPr>
            <w:tcW w:w="956" w:type="dxa"/>
            <w:vAlign w:val="center"/>
          </w:tcPr>
          <w:p w14:paraId="49E00532">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58871D0E">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restart"/>
            <w:vAlign w:val="center"/>
          </w:tcPr>
          <w:p w14:paraId="02A1DB2E">
            <w:pPr>
              <w:pStyle w:val="35"/>
              <w:spacing w:after="0"/>
              <w:ind w:firstLine="0" w:firstLineChars="0"/>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涂装车间西南侧</w:t>
            </w:r>
          </w:p>
        </w:tc>
        <w:tc>
          <w:tcPr>
            <w:tcW w:w="731" w:type="dxa"/>
            <w:vMerge w:val="restart"/>
            <w:vAlign w:val="center"/>
          </w:tcPr>
          <w:p w14:paraId="37BBCD0E">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2</w:t>
            </w:r>
            <w:r>
              <w:rPr>
                <w:rFonts w:hint="eastAsia" w:ascii="Times New Roman" w:hAnsi="Times New Roman" w:eastAsia="宋体" w:cs="Times New Roman"/>
                <w:color w:val="auto"/>
                <w:szCs w:val="21"/>
                <w:u w:val="none" w:color="auto"/>
              </w:rPr>
              <w:t>00</w:t>
            </w:r>
          </w:p>
          <w:p w14:paraId="3205E2E6">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m</w:t>
            </w:r>
            <w:r>
              <w:rPr>
                <w:rFonts w:hint="eastAsia" w:ascii="Times New Roman" w:hAnsi="Times New Roman" w:eastAsia="宋体" w:cs="Times New Roman"/>
                <w:color w:val="auto"/>
                <w:szCs w:val="21"/>
                <w:u w:val="none" w:color="auto"/>
                <w:vertAlign w:val="superscript"/>
              </w:rPr>
              <w:t>2</w:t>
            </w:r>
          </w:p>
        </w:tc>
        <w:tc>
          <w:tcPr>
            <w:tcW w:w="661" w:type="dxa"/>
            <w:vMerge w:val="restart"/>
            <w:vAlign w:val="center"/>
          </w:tcPr>
          <w:p w14:paraId="62C01B88">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分类贮存</w:t>
            </w:r>
          </w:p>
        </w:tc>
        <w:tc>
          <w:tcPr>
            <w:tcW w:w="661" w:type="dxa"/>
            <w:vMerge w:val="restart"/>
            <w:vAlign w:val="center"/>
          </w:tcPr>
          <w:p w14:paraId="0483DBA4">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100t</w:t>
            </w:r>
          </w:p>
        </w:tc>
        <w:tc>
          <w:tcPr>
            <w:tcW w:w="789" w:type="dxa"/>
            <w:vMerge w:val="restart"/>
            <w:vAlign w:val="center"/>
          </w:tcPr>
          <w:p w14:paraId="0104CFC3">
            <w:pPr>
              <w:pStyle w:val="35"/>
              <w:spacing w:after="0"/>
              <w:ind w:firstLine="0" w:firstLineChars="0"/>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3个月</w:t>
            </w:r>
          </w:p>
        </w:tc>
      </w:tr>
      <w:tr w14:paraId="5A572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8" w:type="dxa"/>
            <w:vMerge w:val="continue"/>
            <w:vAlign w:val="center"/>
          </w:tcPr>
          <w:p w14:paraId="58120E89">
            <w:pPr>
              <w:pStyle w:val="35"/>
              <w:spacing w:after="0"/>
              <w:ind w:firstLine="0" w:firstLineChars="0"/>
              <w:jc w:val="center"/>
              <w:rPr>
                <w:rFonts w:ascii="Times New Roman" w:hAnsi="Times New Roman" w:eastAsia="宋体" w:cs="Times New Roman"/>
                <w:color w:val="auto"/>
                <w:szCs w:val="21"/>
                <w:u w:val="none" w:color="auto"/>
              </w:rPr>
            </w:pPr>
          </w:p>
        </w:tc>
        <w:tc>
          <w:tcPr>
            <w:tcW w:w="1414" w:type="dxa"/>
            <w:vAlign w:val="center"/>
          </w:tcPr>
          <w:p w14:paraId="33B565A7">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废活性炭</w:t>
            </w:r>
          </w:p>
        </w:tc>
        <w:tc>
          <w:tcPr>
            <w:tcW w:w="956" w:type="dxa"/>
            <w:vAlign w:val="center"/>
          </w:tcPr>
          <w:p w14:paraId="368FCC89">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577002F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7F49DEDD">
            <w:pPr>
              <w:pStyle w:val="35"/>
              <w:spacing w:after="0"/>
              <w:ind w:firstLine="0" w:firstLineChars="0"/>
              <w:jc w:val="center"/>
              <w:rPr>
                <w:rFonts w:ascii="Times New Roman" w:hAnsi="Times New Roman" w:eastAsia="宋体" w:cs="Times New Roman"/>
                <w:color w:val="auto"/>
                <w:szCs w:val="21"/>
                <w:u w:val="none" w:color="auto"/>
              </w:rPr>
            </w:pPr>
          </w:p>
        </w:tc>
        <w:tc>
          <w:tcPr>
            <w:tcW w:w="731" w:type="dxa"/>
            <w:vMerge w:val="continue"/>
            <w:vAlign w:val="center"/>
          </w:tcPr>
          <w:p w14:paraId="1D1A5C85">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182AD782">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13F80D6A">
            <w:pPr>
              <w:pStyle w:val="35"/>
              <w:spacing w:after="0"/>
              <w:ind w:firstLine="0" w:firstLineChars="0"/>
              <w:jc w:val="center"/>
              <w:rPr>
                <w:rFonts w:ascii="Times New Roman" w:hAnsi="Times New Roman" w:eastAsia="宋体" w:cs="Times New Roman"/>
                <w:color w:val="auto"/>
                <w:szCs w:val="21"/>
                <w:u w:val="none" w:color="auto"/>
              </w:rPr>
            </w:pPr>
          </w:p>
        </w:tc>
        <w:tc>
          <w:tcPr>
            <w:tcW w:w="789" w:type="dxa"/>
            <w:vMerge w:val="continue"/>
            <w:vAlign w:val="center"/>
          </w:tcPr>
          <w:p w14:paraId="679ABD46">
            <w:pPr>
              <w:pStyle w:val="35"/>
              <w:spacing w:after="0"/>
              <w:ind w:firstLine="0" w:firstLineChars="0"/>
              <w:jc w:val="center"/>
              <w:rPr>
                <w:rFonts w:ascii="Times New Roman" w:hAnsi="Times New Roman" w:eastAsia="宋体" w:cs="Times New Roman"/>
                <w:color w:val="auto"/>
                <w:szCs w:val="21"/>
                <w:u w:val="none" w:color="auto"/>
              </w:rPr>
            </w:pPr>
          </w:p>
        </w:tc>
      </w:tr>
      <w:tr w14:paraId="26A8C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8" w:type="dxa"/>
            <w:vMerge w:val="continue"/>
            <w:vAlign w:val="center"/>
          </w:tcPr>
          <w:p w14:paraId="45A21E98">
            <w:pPr>
              <w:pStyle w:val="35"/>
              <w:spacing w:after="0"/>
              <w:ind w:firstLine="0" w:firstLineChars="0"/>
              <w:jc w:val="center"/>
              <w:rPr>
                <w:rFonts w:ascii="Times New Roman" w:hAnsi="Times New Roman" w:eastAsia="宋体" w:cs="Times New Roman"/>
                <w:color w:val="auto"/>
                <w:szCs w:val="21"/>
                <w:u w:val="none" w:color="auto"/>
              </w:rPr>
            </w:pPr>
          </w:p>
        </w:tc>
        <w:tc>
          <w:tcPr>
            <w:tcW w:w="1414" w:type="dxa"/>
            <w:vAlign w:val="center"/>
          </w:tcPr>
          <w:p w14:paraId="7E6F2C43">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废催化剂</w:t>
            </w:r>
          </w:p>
        </w:tc>
        <w:tc>
          <w:tcPr>
            <w:tcW w:w="956" w:type="dxa"/>
            <w:vAlign w:val="center"/>
          </w:tcPr>
          <w:p w14:paraId="3F5496A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227FA4C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054E6B92">
            <w:pPr>
              <w:pStyle w:val="35"/>
              <w:spacing w:after="0"/>
              <w:ind w:firstLine="0" w:firstLineChars="0"/>
              <w:jc w:val="center"/>
              <w:rPr>
                <w:rFonts w:ascii="Times New Roman" w:hAnsi="Times New Roman" w:eastAsia="宋体" w:cs="Times New Roman"/>
                <w:color w:val="auto"/>
                <w:szCs w:val="21"/>
                <w:u w:val="none" w:color="auto"/>
              </w:rPr>
            </w:pPr>
          </w:p>
        </w:tc>
        <w:tc>
          <w:tcPr>
            <w:tcW w:w="731" w:type="dxa"/>
            <w:vMerge w:val="continue"/>
            <w:vAlign w:val="center"/>
          </w:tcPr>
          <w:p w14:paraId="6062F690">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6110A72B">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55177039">
            <w:pPr>
              <w:pStyle w:val="35"/>
              <w:spacing w:after="0"/>
              <w:ind w:firstLine="0" w:firstLineChars="0"/>
              <w:jc w:val="center"/>
              <w:rPr>
                <w:rFonts w:ascii="Times New Roman" w:hAnsi="Times New Roman" w:eastAsia="宋体" w:cs="Times New Roman"/>
                <w:color w:val="auto"/>
                <w:szCs w:val="21"/>
                <w:u w:val="none" w:color="auto"/>
              </w:rPr>
            </w:pPr>
          </w:p>
        </w:tc>
        <w:tc>
          <w:tcPr>
            <w:tcW w:w="789" w:type="dxa"/>
            <w:vMerge w:val="continue"/>
            <w:vAlign w:val="center"/>
          </w:tcPr>
          <w:p w14:paraId="5CF4AC64">
            <w:pPr>
              <w:pStyle w:val="35"/>
              <w:spacing w:after="0"/>
              <w:ind w:firstLine="0" w:firstLineChars="0"/>
              <w:jc w:val="center"/>
              <w:rPr>
                <w:rFonts w:ascii="Times New Roman" w:hAnsi="Times New Roman" w:eastAsia="宋体" w:cs="Times New Roman"/>
                <w:color w:val="auto"/>
                <w:szCs w:val="21"/>
                <w:u w:val="none" w:color="auto"/>
              </w:rPr>
            </w:pPr>
          </w:p>
        </w:tc>
      </w:tr>
      <w:tr w14:paraId="0AE75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138" w:type="dxa"/>
            <w:vMerge w:val="continue"/>
            <w:vAlign w:val="center"/>
          </w:tcPr>
          <w:p w14:paraId="5BDA9FC0">
            <w:pPr>
              <w:pStyle w:val="35"/>
              <w:spacing w:after="0"/>
              <w:ind w:firstLine="0" w:firstLineChars="0"/>
              <w:jc w:val="center"/>
              <w:rPr>
                <w:rFonts w:ascii="Times New Roman" w:hAnsi="Times New Roman" w:eastAsia="宋体" w:cs="Times New Roman"/>
                <w:color w:val="auto"/>
                <w:szCs w:val="21"/>
                <w:u w:val="none" w:color="auto"/>
              </w:rPr>
            </w:pPr>
          </w:p>
        </w:tc>
        <w:tc>
          <w:tcPr>
            <w:tcW w:w="1414" w:type="dxa"/>
            <w:vAlign w:val="center"/>
          </w:tcPr>
          <w:p w14:paraId="147975D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废油漆桶</w:t>
            </w:r>
          </w:p>
        </w:tc>
        <w:tc>
          <w:tcPr>
            <w:tcW w:w="956" w:type="dxa"/>
            <w:vAlign w:val="center"/>
          </w:tcPr>
          <w:p w14:paraId="41CCB72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475F0B3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09B9DDCA">
            <w:pPr>
              <w:pStyle w:val="35"/>
              <w:spacing w:after="0"/>
              <w:ind w:firstLine="0" w:firstLineChars="0"/>
              <w:jc w:val="center"/>
              <w:rPr>
                <w:rFonts w:ascii="Times New Roman" w:hAnsi="Times New Roman" w:eastAsia="宋体" w:cs="Times New Roman"/>
                <w:color w:val="auto"/>
                <w:szCs w:val="21"/>
                <w:u w:val="none" w:color="auto"/>
              </w:rPr>
            </w:pPr>
          </w:p>
        </w:tc>
        <w:tc>
          <w:tcPr>
            <w:tcW w:w="731" w:type="dxa"/>
            <w:vMerge w:val="continue"/>
            <w:vAlign w:val="center"/>
          </w:tcPr>
          <w:p w14:paraId="0733EA5B">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5B2DD967">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0E977CBE">
            <w:pPr>
              <w:pStyle w:val="35"/>
              <w:spacing w:after="0"/>
              <w:ind w:firstLine="0" w:firstLineChars="0"/>
              <w:jc w:val="center"/>
              <w:rPr>
                <w:rFonts w:ascii="Times New Roman" w:hAnsi="Times New Roman" w:eastAsia="宋体" w:cs="Times New Roman"/>
                <w:color w:val="auto"/>
                <w:szCs w:val="21"/>
                <w:u w:val="none" w:color="auto"/>
              </w:rPr>
            </w:pPr>
          </w:p>
        </w:tc>
        <w:tc>
          <w:tcPr>
            <w:tcW w:w="789" w:type="dxa"/>
            <w:vMerge w:val="continue"/>
            <w:vAlign w:val="center"/>
          </w:tcPr>
          <w:p w14:paraId="3A1DB525">
            <w:pPr>
              <w:pStyle w:val="35"/>
              <w:spacing w:after="0"/>
              <w:ind w:firstLine="0" w:firstLineChars="0"/>
              <w:jc w:val="center"/>
              <w:rPr>
                <w:rFonts w:ascii="Times New Roman" w:hAnsi="Times New Roman" w:eastAsia="宋体" w:cs="Times New Roman"/>
                <w:color w:val="auto"/>
                <w:szCs w:val="21"/>
                <w:u w:val="none" w:color="auto"/>
              </w:rPr>
            </w:pPr>
          </w:p>
        </w:tc>
      </w:tr>
      <w:tr w14:paraId="0DFA6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138" w:type="dxa"/>
            <w:vMerge w:val="continue"/>
            <w:vAlign w:val="center"/>
          </w:tcPr>
          <w:p w14:paraId="4028B1C9">
            <w:pPr>
              <w:jc w:val="center"/>
              <w:rPr>
                <w:color w:val="auto"/>
                <w:u w:val="none" w:color="auto"/>
              </w:rPr>
            </w:pPr>
          </w:p>
        </w:tc>
        <w:tc>
          <w:tcPr>
            <w:tcW w:w="1414" w:type="dxa"/>
            <w:vAlign w:val="center"/>
          </w:tcPr>
          <w:p w14:paraId="28DB3F8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固化剂</w:t>
            </w:r>
            <w:r>
              <w:rPr>
                <w:rFonts w:ascii="Times New Roman" w:hAnsi="Times New Roman" w:eastAsia="宋体" w:cs="Times New Roman"/>
                <w:color w:val="auto"/>
                <w:szCs w:val="21"/>
                <w:u w:val="none" w:color="auto"/>
              </w:rPr>
              <w:t>桶</w:t>
            </w:r>
          </w:p>
        </w:tc>
        <w:tc>
          <w:tcPr>
            <w:tcW w:w="956" w:type="dxa"/>
            <w:vAlign w:val="center"/>
          </w:tcPr>
          <w:p w14:paraId="29F21444">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56D47939">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7D0C886E">
            <w:pPr>
              <w:jc w:val="center"/>
              <w:rPr>
                <w:rFonts w:ascii="Times New Roman" w:hAnsi="Times New Roman" w:eastAsia="宋体" w:cs="Times New Roman"/>
                <w:color w:val="auto"/>
                <w:szCs w:val="21"/>
                <w:u w:val="none" w:color="auto"/>
              </w:rPr>
            </w:pPr>
          </w:p>
        </w:tc>
        <w:tc>
          <w:tcPr>
            <w:tcW w:w="731" w:type="dxa"/>
            <w:vMerge w:val="continue"/>
            <w:vAlign w:val="center"/>
          </w:tcPr>
          <w:p w14:paraId="6D8C78CF">
            <w:pPr>
              <w:jc w:val="center"/>
              <w:rPr>
                <w:rFonts w:ascii="Times New Roman" w:hAnsi="Times New Roman" w:eastAsia="宋体" w:cs="Times New Roman"/>
                <w:color w:val="auto"/>
                <w:szCs w:val="21"/>
                <w:u w:val="none" w:color="auto"/>
              </w:rPr>
            </w:pPr>
          </w:p>
        </w:tc>
        <w:tc>
          <w:tcPr>
            <w:tcW w:w="661" w:type="dxa"/>
            <w:vMerge w:val="continue"/>
            <w:vAlign w:val="center"/>
          </w:tcPr>
          <w:p w14:paraId="6E2CC64B">
            <w:pPr>
              <w:jc w:val="center"/>
              <w:rPr>
                <w:rFonts w:ascii="Times New Roman" w:hAnsi="Times New Roman" w:eastAsia="宋体" w:cs="Times New Roman"/>
                <w:color w:val="auto"/>
                <w:szCs w:val="21"/>
                <w:u w:val="none" w:color="auto"/>
              </w:rPr>
            </w:pPr>
          </w:p>
        </w:tc>
        <w:tc>
          <w:tcPr>
            <w:tcW w:w="661" w:type="dxa"/>
            <w:vMerge w:val="continue"/>
            <w:vAlign w:val="center"/>
          </w:tcPr>
          <w:p w14:paraId="0792A57E">
            <w:pPr>
              <w:jc w:val="center"/>
              <w:rPr>
                <w:rFonts w:ascii="Times New Roman" w:hAnsi="Times New Roman" w:eastAsia="宋体" w:cs="Times New Roman"/>
                <w:color w:val="auto"/>
                <w:szCs w:val="21"/>
                <w:u w:val="none" w:color="auto"/>
              </w:rPr>
            </w:pPr>
          </w:p>
        </w:tc>
        <w:tc>
          <w:tcPr>
            <w:tcW w:w="789" w:type="dxa"/>
            <w:vMerge w:val="continue"/>
            <w:vAlign w:val="center"/>
          </w:tcPr>
          <w:p w14:paraId="47C341C8">
            <w:pPr>
              <w:jc w:val="center"/>
              <w:rPr>
                <w:rFonts w:ascii="Times New Roman" w:hAnsi="Times New Roman" w:eastAsia="宋体" w:cs="Times New Roman"/>
                <w:color w:val="auto"/>
                <w:szCs w:val="21"/>
                <w:u w:val="none" w:color="auto"/>
              </w:rPr>
            </w:pPr>
          </w:p>
        </w:tc>
      </w:tr>
      <w:tr w14:paraId="076AF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138" w:type="dxa"/>
            <w:vMerge w:val="continue"/>
            <w:vAlign w:val="center"/>
          </w:tcPr>
          <w:p w14:paraId="74BBE7A7">
            <w:pPr>
              <w:jc w:val="center"/>
              <w:rPr>
                <w:rFonts w:ascii="Times New Roman" w:hAnsi="Times New Roman" w:eastAsia="宋体" w:cs="Times New Roman"/>
                <w:color w:val="auto"/>
                <w:szCs w:val="21"/>
                <w:u w:val="none" w:color="auto"/>
              </w:rPr>
            </w:pPr>
          </w:p>
        </w:tc>
        <w:tc>
          <w:tcPr>
            <w:tcW w:w="1414" w:type="dxa"/>
            <w:vAlign w:val="center"/>
          </w:tcPr>
          <w:p w14:paraId="3310C9B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稀释剂</w:t>
            </w:r>
            <w:r>
              <w:rPr>
                <w:rFonts w:ascii="Times New Roman" w:hAnsi="Times New Roman" w:eastAsia="宋体" w:cs="Times New Roman"/>
                <w:color w:val="auto"/>
                <w:szCs w:val="21"/>
                <w:u w:val="none" w:color="auto"/>
              </w:rPr>
              <w:t>桶</w:t>
            </w:r>
          </w:p>
        </w:tc>
        <w:tc>
          <w:tcPr>
            <w:tcW w:w="956" w:type="dxa"/>
            <w:vAlign w:val="center"/>
          </w:tcPr>
          <w:p w14:paraId="34205E9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72370BD3">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7EA0A724">
            <w:pPr>
              <w:jc w:val="center"/>
              <w:rPr>
                <w:rFonts w:ascii="Times New Roman" w:hAnsi="Times New Roman" w:eastAsia="宋体" w:cs="Times New Roman"/>
                <w:color w:val="auto"/>
                <w:szCs w:val="21"/>
                <w:u w:val="none" w:color="auto"/>
              </w:rPr>
            </w:pPr>
          </w:p>
        </w:tc>
        <w:tc>
          <w:tcPr>
            <w:tcW w:w="731" w:type="dxa"/>
            <w:vMerge w:val="continue"/>
            <w:vAlign w:val="center"/>
          </w:tcPr>
          <w:p w14:paraId="34844CFD">
            <w:pPr>
              <w:jc w:val="center"/>
              <w:rPr>
                <w:rFonts w:ascii="Times New Roman" w:hAnsi="Times New Roman" w:eastAsia="宋体" w:cs="Times New Roman"/>
                <w:color w:val="auto"/>
                <w:szCs w:val="21"/>
                <w:u w:val="none" w:color="auto"/>
              </w:rPr>
            </w:pPr>
          </w:p>
        </w:tc>
        <w:tc>
          <w:tcPr>
            <w:tcW w:w="661" w:type="dxa"/>
            <w:vMerge w:val="continue"/>
            <w:vAlign w:val="center"/>
          </w:tcPr>
          <w:p w14:paraId="3F62160C">
            <w:pPr>
              <w:jc w:val="center"/>
              <w:rPr>
                <w:rFonts w:ascii="Times New Roman" w:hAnsi="Times New Roman" w:eastAsia="宋体" w:cs="Times New Roman"/>
                <w:color w:val="auto"/>
                <w:szCs w:val="21"/>
                <w:u w:val="none" w:color="auto"/>
              </w:rPr>
            </w:pPr>
          </w:p>
        </w:tc>
        <w:tc>
          <w:tcPr>
            <w:tcW w:w="661" w:type="dxa"/>
            <w:vMerge w:val="continue"/>
            <w:vAlign w:val="center"/>
          </w:tcPr>
          <w:p w14:paraId="18E5E730">
            <w:pPr>
              <w:jc w:val="center"/>
              <w:rPr>
                <w:rFonts w:ascii="Times New Roman" w:hAnsi="Times New Roman" w:eastAsia="宋体" w:cs="Times New Roman"/>
                <w:color w:val="auto"/>
                <w:szCs w:val="21"/>
                <w:u w:val="none" w:color="auto"/>
              </w:rPr>
            </w:pPr>
          </w:p>
        </w:tc>
        <w:tc>
          <w:tcPr>
            <w:tcW w:w="789" w:type="dxa"/>
            <w:vMerge w:val="continue"/>
            <w:vAlign w:val="center"/>
          </w:tcPr>
          <w:p w14:paraId="7EC33D9D">
            <w:pPr>
              <w:jc w:val="center"/>
              <w:rPr>
                <w:rFonts w:ascii="Times New Roman" w:hAnsi="Times New Roman" w:eastAsia="宋体" w:cs="Times New Roman"/>
                <w:color w:val="auto"/>
                <w:szCs w:val="21"/>
                <w:u w:val="none" w:color="auto"/>
              </w:rPr>
            </w:pPr>
          </w:p>
        </w:tc>
      </w:tr>
      <w:tr w14:paraId="1211B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1138" w:type="dxa"/>
            <w:vMerge w:val="continue"/>
            <w:vAlign w:val="center"/>
          </w:tcPr>
          <w:p w14:paraId="072553C7">
            <w:pPr>
              <w:jc w:val="center"/>
              <w:rPr>
                <w:rFonts w:ascii="Times New Roman" w:hAnsi="Times New Roman" w:eastAsia="宋体" w:cs="Times New Roman"/>
                <w:color w:val="auto"/>
                <w:szCs w:val="21"/>
                <w:u w:val="none" w:color="auto"/>
              </w:rPr>
            </w:pPr>
          </w:p>
        </w:tc>
        <w:tc>
          <w:tcPr>
            <w:tcW w:w="1414" w:type="dxa"/>
            <w:vAlign w:val="center"/>
          </w:tcPr>
          <w:p w14:paraId="5F9F30D2">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w:t>
            </w:r>
            <w:r>
              <w:rPr>
                <w:rFonts w:hint="eastAsia" w:ascii="Times New Roman" w:hAnsi="Times New Roman" w:eastAsia="宋体" w:cs="Times New Roman"/>
                <w:color w:val="auto"/>
                <w:szCs w:val="21"/>
                <w:u w:val="none" w:color="auto"/>
              </w:rPr>
              <w:t>润滑油</w:t>
            </w:r>
            <w:r>
              <w:rPr>
                <w:rFonts w:ascii="Times New Roman" w:hAnsi="Times New Roman" w:eastAsia="宋体" w:cs="Times New Roman"/>
                <w:color w:val="auto"/>
                <w:szCs w:val="21"/>
                <w:u w:val="none" w:color="auto"/>
              </w:rPr>
              <w:t>桶</w:t>
            </w:r>
          </w:p>
        </w:tc>
        <w:tc>
          <w:tcPr>
            <w:tcW w:w="956" w:type="dxa"/>
            <w:vAlign w:val="center"/>
          </w:tcPr>
          <w:p w14:paraId="16CF91E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2D1647AC">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37F93005">
            <w:pPr>
              <w:jc w:val="center"/>
              <w:rPr>
                <w:rFonts w:ascii="Times New Roman" w:hAnsi="Times New Roman" w:eastAsia="宋体" w:cs="Times New Roman"/>
                <w:color w:val="auto"/>
                <w:szCs w:val="21"/>
                <w:u w:val="none" w:color="auto"/>
              </w:rPr>
            </w:pPr>
          </w:p>
        </w:tc>
        <w:tc>
          <w:tcPr>
            <w:tcW w:w="731" w:type="dxa"/>
            <w:vMerge w:val="continue"/>
            <w:vAlign w:val="center"/>
          </w:tcPr>
          <w:p w14:paraId="492102FD">
            <w:pPr>
              <w:jc w:val="center"/>
              <w:rPr>
                <w:rFonts w:ascii="Times New Roman" w:hAnsi="Times New Roman" w:eastAsia="宋体" w:cs="Times New Roman"/>
                <w:color w:val="auto"/>
                <w:szCs w:val="21"/>
                <w:u w:val="none" w:color="auto"/>
              </w:rPr>
            </w:pPr>
          </w:p>
        </w:tc>
        <w:tc>
          <w:tcPr>
            <w:tcW w:w="661" w:type="dxa"/>
            <w:vMerge w:val="continue"/>
            <w:vAlign w:val="center"/>
          </w:tcPr>
          <w:p w14:paraId="4ECE5DFA">
            <w:pPr>
              <w:jc w:val="center"/>
              <w:rPr>
                <w:rFonts w:ascii="Times New Roman" w:hAnsi="Times New Roman" w:eastAsia="宋体" w:cs="Times New Roman"/>
                <w:color w:val="auto"/>
                <w:szCs w:val="21"/>
                <w:u w:val="none" w:color="auto"/>
              </w:rPr>
            </w:pPr>
          </w:p>
        </w:tc>
        <w:tc>
          <w:tcPr>
            <w:tcW w:w="661" w:type="dxa"/>
            <w:vMerge w:val="continue"/>
            <w:vAlign w:val="center"/>
          </w:tcPr>
          <w:p w14:paraId="5E35519D">
            <w:pPr>
              <w:jc w:val="center"/>
              <w:rPr>
                <w:rFonts w:ascii="Times New Roman" w:hAnsi="Times New Roman" w:eastAsia="宋体" w:cs="Times New Roman"/>
                <w:color w:val="auto"/>
                <w:szCs w:val="21"/>
                <w:u w:val="none" w:color="auto"/>
              </w:rPr>
            </w:pPr>
          </w:p>
        </w:tc>
        <w:tc>
          <w:tcPr>
            <w:tcW w:w="789" w:type="dxa"/>
            <w:vMerge w:val="continue"/>
            <w:vAlign w:val="center"/>
          </w:tcPr>
          <w:p w14:paraId="1050A33F">
            <w:pPr>
              <w:jc w:val="center"/>
              <w:rPr>
                <w:rFonts w:ascii="Times New Roman" w:hAnsi="Times New Roman" w:eastAsia="宋体" w:cs="Times New Roman"/>
                <w:color w:val="auto"/>
                <w:szCs w:val="21"/>
                <w:u w:val="none" w:color="auto"/>
              </w:rPr>
            </w:pPr>
          </w:p>
        </w:tc>
      </w:tr>
      <w:tr w14:paraId="66F90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8" w:type="dxa"/>
            <w:vMerge w:val="continue"/>
            <w:vAlign w:val="center"/>
          </w:tcPr>
          <w:p w14:paraId="71F8DB37">
            <w:pPr>
              <w:pStyle w:val="35"/>
              <w:spacing w:after="0"/>
              <w:ind w:firstLine="0" w:firstLineChars="0"/>
              <w:jc w:val="center"/>
              <w:rPr>
                <w:rFonts w:ascii="Times New Roman" w:hAnsi="Times New Roman" w:eastAsia="宋体" w:cs="Times New Roman"/>
                <w:color w:val="auto"/>
                <w:szCs w:val="21"/>
                <w:u w:val="none" w:color="auto"/>
              </w:rPr>
            </w:pPr>
          </w:p>
        </w:tc>
        <w:tc>
          <w:tcPr>
            <w:tcW w:w="1414" w:type="dxa"/>
            <w:vAlign w:val="center"/>
          </w:tcPr>
          <w:p w14:paraId="359E2C2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废润滑油</w:t>
            </w:r>
          </w:p>
        </w:tc>
        <w:tc>
          <w:tcPr>
            <w:tcW w:w="956" w:type="dxa"/>
            <w:vAlign w:val="center"/>
          </w:tcPr>
          <w:p w14:paraId="7122F20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HW08</w:t>
            </w:r>
          </w:p>
        </w:tc>
        <w:tc>
          <w:tcPr>
            <w:tcW w:w="1266" w:type="dxa"/>
            <w:vAlign w:val="center"/>
          </w:tcPr>
          <w:p w14:paraId="692F7D3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900-214-08</w:t>
            </w:r>
          </w:p>
        </w:tc>
        <w:tc>
          <w:tcPr>
            <w:tcW w:w="618" w:type="dxa"/>
            <w:vMerge w:val="continue"/>
            <w:vAlign w:val="center"/>
          </w:tcPr>
          <w:p w14:paraId="1B339C95">
            <w:pPr>
              <w:pStyle w:val="35"/>
              <w:spacing w:after="0"/>
              <w:ind w:firstLine="0" w:firstLineChars="0"/>
              <w:jc w:val="center"/>
              <w:rPr>
                <w:rFonts w:ascii="Times New Roman" w:hAnsi="Times New Roman" w:eastAsia="宋体" w:cs="Times New Roman"/>
                <w:color w:val="auto"/>
                <w:szCs w:val="21"/>
                <w:u w:val="none" w:color="auto"/>
              </w:rPr>
            </w:pPr>
          </w:p>
        </w:tc>
        <w:tc>
          <w:tcPr>
            <w:tcW w:w="731" w:type="dxa"/>
            <w:vMerge w:val="continue"/>
            <w:vAlign w:val="center"/>
          </w:tcPr>
          <w:p w14:paraId="4B96AA67">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1198836E">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38707EA7">
            <w:pPr>
              <w:pStyle w:val="35"/>
              <w:spacing w:after="0"/>
              <w:ind w:firstLine="0" w:firstLineChars="0"/>
              <w:jc w:val="center"/>
              <w:rPr>
                <w:rFonts w:ascii="Times New Roman" w:hAnsi="Times New Roman" w:eastAsia="宋体" w:cs="Times New Roman"/>
                <w:color w:val="auto"/>
                <w:szCs w:val="21"/>
                <w:u w:val="none" w:color="auto"/>
              </w:rPr>
            </w:pPr>
          </w:p>
        </w:tc>
        <w:tc>
          <w:tcPr>
            <w:tcW w:w="789" w:type="dxa"/>
            <w:vMerge w:val="continue"/>
            <w:vAlign w:val="center"/>
          </w:tcPr>
          <w:p w14:paraId="26986A62">
            <w:pPr>
              <w:pStyle w:val="35"/>
              <w:spacing w:after="0"/>
              <w:ind w:firstLine="0" w:firstLineChars="0"/>
              <w:jc w:val="center"/>
              <w:rPr>
                <w:rFonts w:ascii="Times New Roman" w:hAnsi="Times New Roman" w:eastAsia="宋体" w:cs="Times New Roman"/>
                <w:color w:val="auto"/>
                <w:szCs w:val="21"/>
                <w:u w:val="none" w:color="auto"/>
              </w:rPr>
            </w:pPr>
          </w:p>
        </w:tc>
      </w:tr>
      <w:tr w14:paraId="39692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138" w:type="dxa"/>
            <w:vMerge w:val="continue"/>
            <w:vAlign w:val="center"/>
          </w:tcPr>
          <w:p w14:paraId="2DECD926">
            <w:pPr>
              <w:pStyle w:val="35"/>
              <w:spacing w:after="0"/>
              <w:ind w:firstLine="0" w:firstLineChars="0"/>
              <w:jc w:val="center"/>
              <w:rPr>
                <w:rFonts w:ascii="Times New Roman" w:hAnsi="Times New Roman" w:eastAsia="宋体" w:cs="Times New Roman"/>
                <w:color w:val="auto"/>
                <w:szCs w:val="21"/>
                <w:u w:val="none" w:color="auto"/>
              </w:rPr>
            </w:pPr>
          </w:p>
        </w:tc>
        <w:tc>
          <w:tcPr>
            <w:tcW w:w="1414" w:type="dxa"/>
            <w:vAlign w:val="center"/>
          </w:tcPr>
          <w:p w14:paraId="24ED45EA">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漆渣</w:t>
            </w:r>
          </w:p>
        </w:tc>
        <w:tc>
          <w:tcPr>
            <w:tcW w:w="956" w:type="dxa"/>
            <w:vAlign w:val="center"/>
          </w:tcPr>
          <w:p w14:paraId="7F43E1D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HW12</w:t>
            </w:r>
          </w:p>
        </w:tc>
        <w:tc>
          <w:tcPr>
            <w:tcW w:w="1266" w:type="dxa"/>
            <w:vAlign w:val="center"/>
          </w:tcPr>
          <w:p w14:paraId="4FE2BB5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900-252-12</w:t>
            </w:r>
          </w:p>
        </w:tc>
        <w:tc>
          <w:tcPr>
            <w:tcW w:w="618" w:type="dxa"/>
            <w:vMerge w:val="continue"/>
            <w:vAlign w:val="center"/>
          </w:tcPr>
          <w:p w14:paraId="56CB9C65">
            <w:pPr>
              <w:pStyle w:val="35"/>
              <w:spacing w:after="0"/>
              <w:ind w:firstLine="0" w:firstLineChars="0"/>
              <w:jc w:val="center"/>
              <w:rPr>
                <w:rFonts w:ascii="Times New Roman" w:hAnsi="Times New Roman" w:eastAsia="宋体" w:cs="Times New Roman"/>
                <w:color w:val="auto"/>
                <w:szCs w:val="21"/>
                <w:u w:val="none" w:color="auto"/>
              </w:rPr>
            </w:pPr>
          </w:p>
        </w:tc>
        <w:tc>
          <w:tcPr>
            <w:tcW w:w="731" w:type="dxa"/>
            <w:vMerge w:val="continue"/>
            <w:vAlign w:val="center"/>
          </w:tcPr>
          <w:p w14:paraId="09325678">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4B3FAB32">
            <w:pPr>
              <w:pStyle w:val="35"/>
              <w:spacing w:after="0"/>
              <w:ind w:firstLine="0" w:firstLineChars="0"/>
              <w:jc w:val="center"/>
              <w:rPr>
                <w:rFonts w:ascii="Times New Roman" w:hAnsi="Times New Roman" w:eastAsia="宋体" w:cs="Times New Roman"/>
                <w:color w:val="auto"/>
                <w:szCs w:val="21"/>
                <w:u w:val="none" w:color="auto"/>
              </w:rPr>
            </w:pPr>
          </w:p>
        </w:tc>
        <w:tc>
          <w:tcPr>
            <w:tcW w:w="661" w:type="dxa"/>
            <w:vMerge w:val="continue"/>
            <w:vAlign w:val="center"/>
          </w:tcPr>
          <w:p w14:paraId="5A5EE37C">
            <w:pPr>
              <w:pStyle w:val="35"/>
              <w:spacing w:after="0"/>
              <w:ind w:firstLine="0" w:firstLineChars="0"/>
              <w:jc w:val="center"/>
              <w:rPr>
                <w:rFonts w:ascii="Times New Roman" w:hAnsi="Times New Roman" w:eastAsia="宋体" w:cs="Times New Roman"/>
                <w:color w:val="auto"/>
                <w:szCs w:val="21"/>
                <w:u w:val="none" w:color="auto"/>
              </w:rPr>
            </w:pPr>
          </w:p>
        </w:tc>
        <w:tc>
          <w:tcPr>
            <w:tcW w:w="789" w:type="dxa"/>
            <w:vMerge w:val="continue"/>
            <w:vAlign w:val="center"/>
          </w:tcPr>
          <w:p w14:paraId="19C6811D">
            <w:pPr>
              <w:pStyle w:val="35"/>
              <w:spacing w:after="0"/>
              <w:ind w:firstLine="0" w:firstLineChars="0"/>
              <w:jc w:val="center"/>
              <w:rPr>
                <w:rFonts w:ascii="Times New Roman" w:hAnsi="Times New Roman" w:eastAsia="宋体" w:cs="Times New Roman"/>
                <w:color w:val="auto"/>
                <w:szCs w:val="21"/>
                <w:u w:val="none" w:color="auto"/>
              </w:rPr>
            </w:pPr>
          </w:p>
        </w:tc>
      </w:tr>
      <w:tr w14:paraId="55DA2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138" w:type="dxa"/>
            <w:vMerge w:val="continue"/>
            <w:vAlign w:val="center"/>
          </w:tcPr>
          <w:p w14:paraId="23FDC8A2">
            <w:pPr>
              <w:jc w:val="center"/>
              <w:rPr>
                <w:color w:val="auto"/>
                <w:u w:val="none" w:color="auto"/>
              </w:rPr>
            </w:pPr>
          </w:p>
        </w:tc>
        <w:tc>
          <w:tcPr>
            <w:tcW w:w="1414" w:type="dxa"/>
            <w:vAlign w:val="center"/>
          </w:tcPr>
          <w:p w14:paraId="4227CA1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废含油抹布</w:t>
            </w:r>
          </w:p>
        </w:tc>
        <w:tc>
          <w:tcPr>
            <w:tcW w:w="956" w:type="dxa"/>
            <w:vAlign w:val="center"/>
          </w:tcPr>
          <w:p w14:paraId="4967DCE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HW49</w:t>
            </w:r>
          </w:p>
        </w:tc>
        <w:tc>
          <w:tcPr>
            <w:tcW w:w="1266" w:type="dxa"/>
            <w:vAlign w:val="center"/>
          </w:tcPr>
          <w:p w14:paraId="198471D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900-041-49</w:t>
            </w:r>
          </w:p>
        </w:tc>
        <w:tc>
          <w:tcPr>
            <w:tcW w:w="618" w:type="dxa"/>
            <w:vMerge w:val="continue"/>
            <w:vAlign w:val="center"/>
          </w:tcPr>
          <w:p w14:paraId="46C98345">
            <w:pPr>
              <w:jc w:val="center"/>
              <w:rPr>
                <w:rFonts w:ascii="Times New Roman" w:hAnsi="Times New Roman" w:eastAsia="宋体" w:cs="Times New Roman"/>
                <w:color w:val="auto"/>
                <w:szCs w:val="21"/>
                <w:u w:val="none" w:color="auto"/>
              </w:rPr>
            </w:pPr>
          </w:p>
        </w:tc>
        <w:tc>
          <w:tcPr>
            <w:tcW w:w="731" w:type="dxa"/>
            <w:vMerge w:val="continue"/>
            <w:vAlign w:val="center"/>
          </w:tcPr>
          <w:p w14:paraId="22A8CCEE">
            <w:pPr>
              <w:jc w:val="center"/>
              <w:rPr>
                <w:rFonts w:ascii="Times New Roman" w:hAnsi="Times New Roman" w:eastAsia="宋体" w:cs="Times New Roman"/>
                <w:color w:val="auto"/>
                <w:szCs w:val="21"/>
                <w:u w:val="none" w:color="auto"/>
              </w:rPr>
            </w:pPr>
          </w:p>
        </w:tc>
        <w:tc>
          <w:tcPr>
            <w:tcW w:w="661" w:type="dxa"/>
            <w:vMerge w:val="continue"/>
            <w:vAlign w:val="center"/>
          </w:tcPr>
          <w:p w14:paraId="53E0C5C2">
            <w:pPr>
              <w:jc w:val="center"/>
              <w:rPr>
                <w:rFonts w:ascii="Times New Roman" w:hAnsi="Times New Roman" w:eastAsia="宋体" w:cs="Times New Roman"/>
                <w:color w:val="auto"/>
                <w:szCs w:val="21"/>
                <w:u w:val="none" w:color="auto"/>
              </w:rPr>
            </w:pPr>
          </w:p>
        </w:tc>
        <w:tc>
          <w:tcPr>
            <w:tcW w:w="661" w:type="dxa"/>
            <w:vMerge w:val="continue"/>
            <w:vAlign w:val="center"/>
          </w:tcPr>
          <w:p w14:paraId="6A0FD783">
            <w:pPr>
              <w:jc w:val="center"/>
              <w:rPr>
                <w:rFonts w:ascii="Times New Roman" w:hAnsi="Times New Roman" w:eastAsia="宋体" w:cs="Times New Roman"/>
                <w:color w:val="auto"/>
                <w:szCs w:val="21"/>
                <w:u w:val="none" w:color="auto"/>
              </w:rPr>
            </w:pPr>
          </w:p>
        </w:tc>
        <w:tc>
          <w:tcPr>
            <w:tcW w:w="789" w:type="dxa"/>
            <w:vMerge w:val="continue"/>
            <w:vAlign w:val="center"/>
          </w:tcPr>
          <w:p w14:paraId="029D6D8A">
            <w:pPr>
              <w:jc w:val="center"/>
              <w:rPr>
                <w:rFonts w:ascii="Times New Roman" w:hAnsi="Times New Roman" w:eastAsia="宋体" w:cs="Times New Roman"/>
                <w:color w:val="auto"/>
                <w:szCs w:val="21"/>
                <w:u w:val="none" w:color="auto"/>
              </w:rPr>
            </w:pPr>
          </w:p>
        </w:tc>
      </w:tr>
    </w:tbl>
    <w:p w14:paraId="5E606862">
      <w:pPr>
        <w:autoSpaceDE w:val="0"/>
        <w:autoSpaceDN w:val="0"/>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项目</w:t>
      </w:r>
      <w:r>
        <w:rPr>
          <w:rFonts w:hint="eastAsia" w:ascii="Times New Roman" w:hAnsi="Times New Roman" w:eastAsia="宋体" w:cs="Times New Roman"/>
          <w:color w:val="auto"/>
          <w:sz w:val="24"/>
          <w:u w:val="none" w:color="auto"/>
        </w:rPr>
        <w:t>产生的</w:t>
      </w:r>
      <w:r>
        <w:rPr>
          <w:rFonts w:ascii="Times New Roman" w:hAnsi="Times New Roman" w:eastAsia="宋体" w:cs="Times New Roman"/>
          <w:color w:val="auto"/>
          <w:sz w:val="24"/>
          <w:u w:val="none" w:color="auto"/>
        </w:rPr>
        <w:t>固体废物首先进行分类，</w:t>
      </w:r>
      <w:r>
        <w:rPr>
          <w:rFonts w:hint="eastAsia" w:ascii="Times New Roman" w:hAnsi="Times New Roman" w:eastAsia="宋体" w:cs="Times New Roman"/>
          <w:color w:val="auto"/>
          <w:sz w:val="24"/>
          <w:u w:val="none" w:color="auto"/>
        </w:rPr>
        <w:t>并</w:t>
      </w:r>
      <w:r>
        <w:rPr>
          <w:rFonts w:ascii="Times New Roman" w:hAnsi="Times New Roman" w:eastAsia="宋体" w:cs="Times New Roman"/>
          <w:color w:val="auto"/>
          <w:sz w:val="24"/>
          <w:u w:val="none" w:color="auto"/>
        </w:rPr>
        <w:t>按照“减量化、资源化、无害化”的原则，尽</w:t>
      </w:r>
      <w:r>
        <w:rPr>
          <w:rFonts w:hint="eastAsia" w:ascii="Times New Roman" w:hAnsi="Times New Roman" w:eastAsia="宋体" w:cs="Times New Roman"/>
          <w:color w:val="auto"/>
          <w:sz w:val="24"/>
          <w:u w:val="none" w:color="auto"/>
        </w:rPr>
        <w:t>可能进行</w:t>
      </w:r>
      <w:r>
        <w:rPr>
          <w:rFonts w:ascii="Times New Roman" w:hAnsi="Times New Roman" w:eastAsia="宋体" w:cs="Times New Roman"/>
          <w:color w:val="auto"/>
          <w:sz w:val="24"/>
          <w:u w:val="none" w:color="auto"/>
        </w:rPr>
        <w:t>回收和综合利用，不能利用采取其它有效处置</w:t>
      </w:r>
      <w:r>
        <w:rPr>
          <w:rFonts w:hint="eastAsia" w:ascii="Times New Roman" w:hAnsi="Times New Roman" w:eastAsia="宋体" w:cs="Times New Roman"/>
          <w:color w:val="auto"/>
          <w:sz w:val="24"/>
          <w:u w:val="none" w:color="auto"/>
        </w:rPr>
        <w:t>措施</w:t>
      </w:r>
      <w:r>
        <w:rPr>
          <w:rFonts w:ascii="Times New Roman" w:hAnsi="Times New Roman" w:eastAsia="宋体" w:cs="Times New Roman"/>
          <w:color w:val="auto"/>
          <w:sz w:val="24"/>
          <w:u w:val="none" w:color="auto"/>
        </w:rPr>
        <w:t>。项目产生的固体废物均得到妥善处理，不会对外环境产生影响。</w:t>
      </w:r>
    </w:p>
    <w:p w14:paraId="50F26C1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264" w:name="_Toc3728281"/>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.2.5地下水污染防治措施</w:t>
      </w:r>
      <w:bookmarkEnd w:id="264"/>
    </w:p>
    <w:p w14:paraId="3A330CB2">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1、源头控制</w:t>
      </w:r>
    </w:p>
    <w:p w14:paraId="2181262F">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（1）</w:t>
      </w:r>
      <w:r>
        <w:rPr>
          <w:rFonts w:ascii="Times New Roman" w:hAnsi="Times New Roman" w:eastAsia="宋体" w:cs="Times New Roman"/>
          <w:color w:val="auto"/>
          <w:kern w:val="0"/>
          <w:sz w:val="24"/>
          <w:szCs w:val="24"/>
          <w:u w:val="none" w:color="auto"/>
        </w:rPr>
        <w:t>根据厂区可能泄漏至地面区域污染物的性质和生产单元的构筑方式，将厂区划分为</w:t>
      </w:r>
      <w:r>
        <w:rPr>
          <w:rFonts w:hint="eastAsia" w:ascii="Times New Roman" w:hAnsi="Times New Roman" w:eastAsia="宋体" w:cs="Times New Roman"/>
          <w:color w:val="auto"/>
          <w:kern w:val="0"/>
          <w:sz w:val="24"/>
          <w:szCs w:val="24"/>
          <w:u w:val="none" w:color="auto"/>
        </w:rPr>
        <w:t>简单防渗区</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一般防渗区</w:t>
      </w:r>
      <w:r>
        <w:rPr>
          <w:rFonts w:ascii="Times New Roman" w:hAnsi="Times New Roman" w:eastAsia="宋体" w:cs="Times New Roman"/>
          <w:color w:val="auto"/>
          <w:kern w:val="0"/>
          <w:sz w:val="24"/>
          <w:szCs w:val="24"/>
          <w:u w:val="none" w:color="auto"/>
        </w:rPr>
        <w:t>和</w:t>
      </w:r>
      <w:r>
        <w:rPr>
          <w:rFonts w:hint="eastAsia" w:ascii="Times New Roman" w:hAnsi="Times New Roman" w:eastAsia="宋体" w:cs="Times New Roman"/>
          <w:color w:val="auto"/>
          <w:kern w:val="0"/>
          <w:sz w:val="24"/>
          <w:szCs w:val="24"/>
          <w:u w:val="none" w:color="auto"/>
        </w:rPr>
        <w:t>重点防渗区</w:t>
      </w:r>
      <w:r>
        <w:rPr>
          <w:rFonts w:ascii="Times New Roman" w:hAnsi="Times New Roman" w:eastAsia="宋体" w:cs="Times New Roman"/>
          <w:color w:val="auto"/>
          <w:kern w:val="0"/>
          <w:sz w:val="24"/>
          <w:szCs w:val="24"/>
          <w:u w:val="none" w:color="auto"/>
        </w:rPr>
        <w:t xml:space="preserve">，针对各防治区进行防渗处理； </w:t>
      </w:r>
    </w:p>
    <w:p w14:paraId="050BC729">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（2）</w:t>
      </w:r>
      <w:r>
        <w:rPr>
          <w:rFonts w:ascii="Times New Roman" w:hAnsi="Times New Roman" w:eastAsia="宋体" w:cs="Times New Roman"/>
          <w:color w:val="auto"/>
          <w:kern w:val="0"/>
          <w:sz w:val="24"/>
          <w:szCs w:val="24"/>
          <w:u w:val="none" w:color="auto"/>
        </w:rPr>
        <w:t>在工艺、设备及处理构筑物采取相应</w:t>
      </w:r>
      <w:r>
        <w:rPr>
          <w:rFonts w:hint="eastAsia" w:ascii="Times New Roman" w:hAnsi="Times New Roman" w:eastAsia="宋体" w:cs="Times New Roman"/>
          <w:color w:val="auto"/>
          <w:kern w:val="0"/>
          <w:sz w:val="24"/>
          <w:szCs w:val="24"/>
          <w:u w:val="none" w:color="auto"/>
        </w:rPr>
        <w:t>防渗</w:t>
      </w:r>
      <w:r>
        <w:rPr>
          <w:rFonts w:ascii="Times New Roman" w:hAnsi="Times New Roman" w:eastAsia="宋体" w:cs="Times New Roman"/>
          <w:color w:val="auto"/>
          <w:kern w:val="0"/>
          <w:sz w:val="24"/>
          <w:szCs w:val="24"/>
          <w:u w:val="none" w:color="auto"/>
        </w:rPr>
        <w:t>措施，防止和降低污染物</w:t>
      </w:r>
      <w:r>
        <w:rPr>
          <w:rFonts w:hint="eastAsia" w:ascii="Times New Roman" w:hAnsi="Times New Roman" w:eastAsia="宋体" w:cs="Times New Roman"/>
          <w:color w:val="auto"/>
          <w:kern w:val="0"/>
          <w:sz w:val="24"/>
          <w:szCs w:val="24"/>
          <w:u w:val="none" w:color="auto"/>
        </w:rPr>
        <w:t>的</w:t>
      </w:r>
      <w:r>
        <w:rPr>
          <w:rFonts w:ascii="Times New Roman" w:hAnsi="Times New Roman" w:eastAsia="宋体" w:cs="Times New Roman"/>
          <w:color w:val="auto"/>
          <w:kern w:val="0"/>
          <w:sz w:val="24"/>
          <w:szCs w:val="24"/>
          <w:u w:val="none" w:color="auto"/>
        </w:rPr>
        <w:t xml:space="preserve">跑、冒、滴、漏，将污染物泄漏的环境风险事故降到最低程度； </w:t>
      </w:r>
    </w:p>
    <w:p w14:paraId="70C6D0CF">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（3）防渗区</w:t>
      </w:r>
      <w:r>
        <w:rPr>
          <w:rFonts w:ascii="Times New Roman" w:hAnsi="Times New Roman" w:eastAsia="宋体" w:cs="Times New Roman"/>
          <w:color w:val="auto"/>
          <w:kern w:val="0"/>
          <w:sz w:val="24"/>
          <w:szCs w:val="24"/>
          <w:u w:val="none" w:color="auto"/>
        </w:rPr>
        <w:t>地面进行防渗处理，防止洒落地面的污染物渗入地下，并把滞留在地面的污染物收集起来，送至</w:t>
      </w:r>
      <w:r>
        <w:rPr>
          <w:rFonts w:hint="eastAsia" w:ascii="Times New Roman" w:hAnsi="Times New Roman" w:eastAsia="宋体" w:cs="Times New Roman"/>
          <w:color w:val="auto"/>
          <w:kern w:val="0"/>
          <w:sz w:val="24"/>
          <w:szCs w:val="24"/>
          <w:u w:val="none" w:color="auto"/>
        </w:rPr>
        <w:t>应急池</w:t>
      </w:r>
      <w:r>
        <w:rPr>
          <w:rFonts w:ascii="Times New Roman" w:hAnsi="Times New Roman" w:eastAsia="宋体" w:cs="Times New Roman"/>
          <w:color w:val="auto"/>
          <w:kern w:val="0"/>
          <w:sz w:val="24"/>
          <w:szCs w:val="24"/>
          <w:u w:val="none" w:color="auto"/>
        </w:rPr>
        <w:t xml:space="preserve">；  </w:t>
      </w:r>
    </w:p>
    <w:p w14:paraId="0D20670A">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（4）</w:t>
      </w:r>
      <w:r>
        <w:rPr>
          <w:rFonts w:ascii="Times New Roman" w:hAnsi="Times New Roman" w:eastAsia="宋体" w:cs="Times New Roman"/>
          <w:color w:val="auto"/>
          <w:kern w:val="0"/>
          <w:sz w:val="24"/>
          <w:szCs w:val="24"/>
          <w:u w:val="none" w:color="auto"/>
        </w:rPr>
        <w:t>当发生污染物泄漏</w:t>
      </w:r>
      <w:r>
        <w:rPr>
          <w:rFonts w:hint="eastAsia" w:ascii="Times New Roman" w:hAnsi="Times New Roman" w:eastAsia="宋体" w:cs="Times New Roman"/>
          <w:color w:val="auto"/>
          <w:kern w:val="0"/>
          <w:sz w:val="24"/>
          <w:szCs w:val="24"/>
          <w:u w:val="none" w:color="auto"/>
        </w:rPr>
        <w:t>，使厂区</w:t>
      </w:r>
      <w:r>
        <w:rPr>
          <w:rFonts w:ascii="Times New Roman" w:hAnsi="Times New Roman" w:eastAsia="宋体" w:cs="Times New Roman"/>
          <w:color w:val="auto"/>
          <w:kern w:val="0"/>
          <w:sz w:val="24"/>
          <w:szCs w:val="24"/>
          <w:u w:val="none" w:color="auto"/>
        </w:rPr>
        <w:t>地下水受到污染时，采取应急措施，防止污染物进一步扩散</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一旦发现地下水污染事故，立即启动应急预案</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采取应急措施控制地下水污染，并使污染得到治理</w:t>
      </w:r>
      <w:r>
        <w:rPr>
          <w:rFonts w:hint="eastAsia" w:ascii="Times New Roman" w:hAnsi="Times New Roman" w:eastAsia="宋体" w:cs="Times New Roman"/>
          <w:color w:val="auto"/>
          <w:kern w:val="0"/>
          <w:sz w:val="24"/>
          <w:szCs w:val="24"/>
          <w:u w:val="none" w:color="auto"/>
        </w:rPr>
        <w:t>。</w:t>
      </w:r>
    </w:p>
    <w:p w14:paraId="7F600F78">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2、分区防渗措施</w:t>
      </w:r>
    </w:p>
    <w:p w14:paraId="0015F5B3">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项目根据《环境影响评价技术导则 地下水环境》（HJ610-2016）的要求。结合项目区的总平面布置规划情况，</w:t>
      </w:r>
      <w:r>
        <w:rPr>
          <w:rFonts w:hint="eastAsia" w:ascii="Times New Roman" w:hAnsi="Times New Roman" w:eastAsia="宋体" w:cs="Times New Roman"/>
          <w:color w:val="auto"/>
          <w:kern w:val="0"/>
          <w:sz w:val="24"/>
          <w:szCs w:val="24"/>
          <w:u w:val="none" w:color="auto"/>
        </w:rPr>
        <w:t>项目厂区</w:t>
      </w:r>
      <w:r>
        <w:rPr>
          <w:rFonts w:ascii="Times New Roman" w:hAnsi="Times New Roman" w:eastAsia="宋体" w:cs="Times New Roman"/>
          <w:color w:val="auto"/>
          <w:kern w:val="0"/>
          <w:sz w:val="24"/>
          <w:szCs w:val="24"/>
          <w:u w:val="none" w:color="auto"/>
        </w:rPr>
        <w:t>分为重点防渗区、一般防渗区及简单防渗区，项目所采取的各项防渗分区具体见下表</w:t>
      </w:r>
      <w:r>
        <w:rPr>
          <w:rFonts w:hint="eastAsia" w:ascii="Times New Roman" w:hAnsi="Times New Roman" w:eastAsia="宋体" w:cs="Times New Roman"/>
          <w:color w:val="auto"/>
          <w:kern w:val="0"/>
          <w:sz w:val="24"/>
          <w:szCs w:val="24"/>
          <w:u w:val="none" w:color="auto"/>
        </w:rPr>
        <w:t>。</w:t>
      </w:r>
    </w:p>
    <w:p w14:paraId="0F6B65E2">
      <w:pPr>
        <w:pStyle w:val="65"/>
        <w:spacing w:line="240" w:lineRule="auto"/>
        <w:rPr>
          <w:color w:val="auto"/>
          <w:sz w:val="21"/>
          <w:szCs w:val="21"/>
          <w:u w:val="none" w:color="auto"/>
        </w:rPr>
      </w:pPr>
      <w:r>
        <w:rPr>
          <w:color w:val="auto"/>
          <w:sz w:val="21"/>
          <w:szCs w:val="21"/>
          <w:u w:val="none" w:color="auto"/>
        </w:rPr>
        <w:t>表</w:t>
      </w:r>
      <w:r>
        <w:rPr>
          <w:rFonts w:hint="eastAsia"/>
          <w:color w:val="auto"/>
          <w:sz w:val="21"/>
          <w:szCs w:val="21"/>
          <w:u w:val="none" w:color="auto"/>
        </w:rPr>
        <w:t>5</w:t>
      </w:r>
      <w:r>
        <w:rPr>
          <w:color w:val="auto"/>
          <w:sz w:val="21"/>
          <w:szCs w:val="21"/>
          <w:u w:val="none" w:color="auto"/>
        </w:rPr>
        <w:t>.2-</w:t>
      </w:r>
      <w:r>
        <w:rPr>
          <w:rFonts w:hint="eastAsia"/>
          <w:color w:val="auto"/>
          <w:sz w:val="21"/>
          <w:szCs w:val="21"/>
          <w:u w:val="none" w:color="auto"/>
        </w:rPr>
        <w:t>6</w:t>
      </w:r>
      <w:r>
        <w:rPr>
          <w:color w:val="auto"/>
          <w:sz w:val="21"/>
          <w:szCs w:val="21"/>
          <w:u w:val="none" w:color="auto"/>
        </w:rPr>
        <w:t xml:space="preserve"> 防渗工程污染防治分区表</w:t>
      </w:r>
    </w:p>
    <w:tbl>
      <w:tblPr>
        <w:tblStyle w:val="3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413"/>
        <w:gridCol w:w="3093"/>
        <w:gridCol w:w="3109"/>
      </w:tblGrid>
      <w:tr w14:paraId="23D50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4" w:type="dxa"/>
            <w:vAlign w:val="center"/>
          </w:tcPr>
          <w:p w14:paraId="56E162F5">
            <w:pPr>
              <w:autoSpaceDE w:val="0"/>
              <w:autoSpaceDN w:val="0"/>
              <w:spacing w:line="0" w:lineRule="atLeast"/>
              <w:jc w:val="center"/>
              <w:rPr>
                <w:rFonts w:ascii="Times New Roman" w:hAnsi="Times New Roman" w:eastAsia="宋体" w:cs="Times New Roman"/>
                <w:b/>
                <w:color w:val="auto"/>
                <w:spacing w:val="10"/>
                <w:szCs w:val="20"/>
                <w:u w:val="none" w:color="auto"/>
              </w:rPr>
            </w:pPr>
            <w:r>
              <w:rPr>
                <w:rFonts w:hint="eastAsia" w:ascii="Times New Roman" w:hAnsi="Times New Roman" w:eastAsia="宋体" w:cs="Times New Roman"/>
                <w:b/>
                <w:color w:val="auto"/>
                <w:spacing w:val="10"/>
                <w:szCs w:val="20"/>
                <w:u w:val="none" w:color="auto"/>
              </w:rPr>
              <w:t>序号</w:t>
            </w:r>
          </w:p>
        </w:tc>
        <w:tc>
          <w:tcPr>
            <w:tcW w:w="1413" w:type="dxa"/>
            <w:vAlign w:val="center"/>
          </w:tcPr>
          <w:p w14:paraId="19EF70CE">
            <w:pPr>
              <w:autoSpaceDE w:val="0"/>
              <w:autoSpaceDN w:val="0"/>
              <w:spacing w:line="0" w:lineRule="atLeast"/>
              <w:jc w:val="center"/>
              <w:rPr>
                <w:rFonts w:ascii="Times New Roman" w:hAnsi="Times New Roman" w:eastAsia="宋体" w:cs="Times New Roman"/>
                <w:b/>
                <w:color w:val="auto"/>
                <w:spacing w:val="10"/>
                <w:szCs w:val="20"/>
                <w:u w:val="none" w:color="auto"/>
              </w:rPr>
            </w:pPr>
            <w:r>
              <w:rPr>
                <w:rFonts w:ascii="Times New Roman" w:hAnsi="Times New Roman" w:eastAsia="宋体" w:cs="Times New Roman"/>
                <w:b/>
                <w:color w:val="auto"/>
                <w:spacing w:val="10"/>
                <w:szCs w:val="20"/>
                <w:u w:val="none" w:color="auto"/>
              </w:rPr>
              <w:t>分区</w:t>
            </w:r>
          </w:p>
        </w:tc>
        <w:tc>
          <w:tcPr>
            <w:tcW w:w="3093" w:type="dxa"/>
            <w:vAlign w:val="center"/>
          </w:tcPr>
          <w:p w14:paraId="3A86D04A">
            <w:pPr>
              <w:autoSpaceDE w:val="0"/>
              <w:autoSpaceDN w:val="0"/>
              <w:spacing w:line="0" w:lineRule="atLeast"/>
              <w:jc w:val="center"/>
              <w:rPr>
                <w:rFonts w:ascii="Times New Roman" w:hAnsi="Times New Roman" w:eastAsia="宋体" w:cs="Times New Roman"/>
                <w:b/>
                <w:color w:val="auto"/>
                <w:spacing w:val="10"/>
                <w:szCs w:val="20"/>
                <w:u w:val="none" w:color="auto"/>
              </w:rPr>
            </w:pPr>
            <w:r>
              <w:rPr>
                <w:rFonts w:ascii="Times New Roman" w:hAnsi="Times New Roman" w:eastAsia="宋体" w:cs="Times New Roman"/>
                <w:b/>
                <w:color w:val="auto"/>
                <w:spacing w:val="10"/>
                <w:szCs w:val="20"/>
                <w:u w:val="none" w:color="auto"/>
              </w:rPr>
              <w:t>污染区</w:t>
            </w:r>
          </w:p>
        </w:tc>
        <w:tc>
          <w:tcPr>
            <w:tcW w:w="3109" w:type="dxa"/>
            <w:vAlign w:val="center"/>
          </w:tcPr>
          <w:p w14:paraId="0D0191D1">
            <w:pPr>
              <w:autoSpaceDE w:val="0"/>
              <w:autoSpaceDN w:val="0"/>
              <w:spacing w:line="0" w:lineRule="atLeast"/>
              <w:jc w:val="center"/>
              <w:rPr>
                <w:rFonts w:ascii="Times New Roman" w:hAnsi="Times New Roman" w:eastAsia="宋体" w:cs="Times New Roman"/>
                <w:b/>
                <w:color w:val="auto"/>
                <w:spacing w:val="10"/>
                <w:szCs w:val="20"/>
                <w:u w:val="none" w:color="auto"/>
              </w:rPr>
            </w:pPr>
            <w:r>
              <w:rPr>
                <w:rFonts w:ascii="Times New Roman" w:hAnsi="Times New Roman" w:eastAsia="宋体" w:cs="Times New Roman"/>
                <w:b/>
                <w:color w:val="auto"/>
                <w:spacing w:val="10"/>
                <w:szCs w:val="20"/>
                <w:u w:val="none" w:color="auto"/>
              </w:rPr>
              <w:t>防渗技术要求</w:t>
            </w:r>
          </w:p>
        </w:tc>
      </w:tr>
      <w:tr w14:paraId="46091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04" w:type="dxa"/>
            <w:vAlign w:val="center"/>
          </w:tcPr>
          <w:p w14:paraId="29514A96">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rPr>
              <w:t>1</w:t>
            </w:r>
          </w:p>
        </w:tc>
        <w:tc>
          <w:tcPr>
            <w:tcW w:w="1413" w:type="dxa"/>
            <w:vAlign w:val="center"/>
          </w:tcPr>
          <w:p w14:paraId="26D767EC">
            <w:pPr>
              <w:autoSpaceDE w:val="0"/>
              <w:autoSpaceDN w:val="0"/>
              <w:spacing w:line="0" w:lineRule="atLeast"/>
              <w:jc w:val="center"/>
              <w:rPr>
                <w:rFonts w:ascii="Times New Roman" w:hAnsi="Times New Roman" w:eastAsia="宋体" w:cs="Times New Roman"/>
                <w:color w:val="auto"/>
                <w:spacing w:val="10"/>
                <w:szCs w:val="21"/>
                <w:u w:val="none" w:color="auto"/>
              </w:rPr>
            </w:pPr>
            <w:r>
              <w:rPr>
                <w:rFonts w:ascii="Times New Roman" w:hAnsi="Times New Roman" w:eastAsia="宋体" w:cs="Times New Roman"/>
                <w:color w:val="auto"/>
                <w:spacing w:val="10"/>
                <w:szCs w:val="20"/>
                <w:u w:val="none" w:color="auto"/>
              </w:rPr>
              <w:t>重点防渗区</w:t>
            </w:r>
          </w:p>
        </w:tc>
        <w:tc>
          <w:tcPr>
            <w:tcW w:w="3093" w:type="dxa"/>
            <w:vAlign w:val="center"/>
          </w:tcPr>
          <w:p w14:paraId="1B6951E4">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lang w:eastAsia="zh-CN"/>
              </w:rPr>
              <w:t>涂装车间</w:t>
            </w:r>
            <w:r>
              <w:rPr>
                <w:rFonts w:ascii="Times New Roman" w:hAnsi="Times New Roman" w:eastAsia="宋体" w:cs="Times New Roman"/>
                <w:color w:val="auto"/>
                <w:spacing w:val="10"/>
                <w:szCs w:val="20"/>
                <w:u w:val="none" w:color="auto"/>
              </w:rPr>
              <w:t>、</w:t>
            </w:r>
            <w:r>
              <w:rPr>
                <w:rFonts w:hint="eastAsia" w:ascii="Times New Roman" w:hAnsi="Times New Roman" w:eastAsia="宋体" w:cs="Times New Roman"/>
                <w:color w:val="auto"/>
                <w:spacing w:val="10"/>
                <w:szCs w:val="20"/>
                <w:u w:val="none" w:color="auto"/>
              </w:rPr>
              <w:t>油漆储存区、</w:t>
            </w:r>
            <w:r>
              <w:rPr>
                <w:rFonts w:ascii="Times New Roman" w:hAnsi="Times New Roman" w:eastAsia="宋体" w:cs="Times New Roman"/>
                <w:color w:val="auto"/>
                <w:spacing w:val="10"/>
                <w:szCs w:val="20"/>
                <w:u w:val="none" w:color="auto"/>
              </w:rPr>
              <w:t>事故应急池和危废暂存间</w:t>
            </w:r>
          </w:p>
        </w:tc>
        <w:tc>
          <w:tcPr>
            <w:tcW w:w="3109" w:type="dxa"/>
            <w:vAlign w:val="center"/>
          </w:tcPr>
          <w:p w14:paraId="294A722B">
            <w:pPr>
              <w:autoSpaceDE w:val="0"/>
              <w:autoSpaceDN w:val="0"/>
              <w:spacing w:line="0" w:lineRule="atLeast"/>
              <w:jc w:val="center"/>
              <w:rPr>
                <w:rFonts w:ascii="Times New Roman" w:hAnsi="Times New Roman" w:eastAsia="宋体" w:cs="Times New Roman"/>
                <w:color w:val="auto"/>
                <w:spacing w:val="10"/>
                <w:szCs w:val="20"/>
                <w:u w:val="none" w:color="auto"/>
              </w:rPr>
            </w:pPr>
            <w:r>
              <w:rPr>
                <w:rFonts w:ascii="Times New Roman" w:hAnsi="Times New Roman" w:eastAsia="宋体" w:cs="Times New Roman"/>
                <w:color w:val="auto"/>
                <w:spacing w:val="10"/>
                <w:szCs w:val="20"/>
                <w:u w:val="none" w:color="auto"/>
              </w:rPr>
              <w:t>等效黏土防渗层Mb≥6.0m，K≤1.0×10</w:t>
            </w:r>
            <w:r>
              <w:rPr>
                <w:rFonts w:ascii="Times New Roman" w:hAnsi="Times New Roman" w:eastAsia="宋体" w:cs="Times New Roman"/>
                <w:color w:val="auto"/>
                <w:spacing w:val="10"/>
                <w:szCs w:val="20"/>
                <w:u w:val="none" w:color="auto"/>
                <w:vertAlign w:val="superscript"/>
              </w:rPr>
              <w:t>-7</w:t>
            </w:r>
            <w:r>
              <w:rPr>
                <w:rFonts w:ascii="Times New Roman" w:hAnsi="Times New Roman" w:eastAsia="宋体" w:cs="Times New Roman"/>
                <w:color w:val="auto"/>
                <w:spacing w:val="10"/>
                <w:szCs w:val="20"/>
                <w:u w:val="none" w:color="auto"/>
              </w:rPr>
              <w:t xml:space="preserve">cm/s或参照 </w:t>
            </w:r>
          </w:p>
          <w:p w14:paraId="4312E3C9">
            <w:pPr>
              <w:autoSpaceDE w:val="0"/>
              <w:autoSpaceDN w:val="0"/>
              <w:spacing w:line="0" w:lineRule="atLeast"/>
              <w:jc w:val="center"/>
              <w:rPr>
                <w:rFonts w:ascii="Times New Roman" w:hAnsi="Times New Roman" w:eastAsia="宋体" w:cs="Times New Roman"/>
                <w:color w:val="auto"/>
                <w:spacing w:val="10"/>
                <w:szCs w:val="20"/>
                <w:u w:val="none" w:color="auto"/>
              </w:rPr>
            </w:pPr>
            <w:r>
              <w:rPr>
                <w:rFonts w:ascii="Times New Roman" w:hAnsi="Times New Roman" w:eastAsia="宋体" w:cs="Times New Roman"/>
                <w:color w:val="auto"/>
                <w:spacing w:val="10"/>
                <w:szCs w:val="20"/>
                <w:u w:val="none" w:color="auto"/>
              </w:rPr>
              <w:t>GB18598执行</w:t>
            </w:r>
          </w:p>
        </w:tc>
      </w:tr>
      <w:tr w14:paraId="0EA40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04" w:type="dxa"/>
            <w:vAlign w:val="center"/>
          </w:tcPr>
          <w:p w14:paraId="308EC32F">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rPr>
              <w:t>2</w:t>
            </w:r>
          </w:p>
        </w:tc>
        <w:tc>
          <w:tcPr>
            <w:tcW w:w="1413" w:type="dxa"/>
            <w:vAlign w:val="center"/>
          </w:tcPr>
          <w:p w14:paraId="49DF6491">
            <w:pPr>
              <w:autoSpaceDE w:val="0"/>
              <w:autoSpaceDN w:val="0"/>
              <w:spacing w:line="0" w:lineRule="atLeast"/>
              <w:jc w:val="center"/>
              <w:rPr>
                <w:rFonts w:ascii="Times New Roman" w:hAnsi="Times New Roman" w:eastAsia="宋体" w:cs="Times New Roman"/>
                <w:color w:val="auto"/>
                <w:spacing w:val="10"/>
                <w:szCs w:val="21"/>
                <w:u w:val="none" w:color="auto"/>
              </w:rPr>
            </w:pPr>
            <w:r>
              <w:rPr>
                <w:rFonts w:hint="eastAsia" w:ascii="Times New Roman" w:hAnsi="Times New Roman" w:eastAsia="宋体" w:cs="Times New Roman"/>
                <w:color w:val="auto"/>
                <w:spacing w:val="10"/>
                <w:szCs w:val="20"/>
                <w:u w:val="none" w:color="auto"/>
              </w:rPr>
              <w:t>一般防渗区</w:t>
            </w:r>
          </w:p>
        </w:tc>
        <w:tc>
          <w:tcPr>
            <w:tcW w:w="3093" w:type="dxa"/>
            <w:vAlign w:val="center"/>
          </w:tcPr>
          <w:p w14:paraId="2DD36F81">
            <w:pPr>
              <w:autoSpaceDE w:val="0"/>
              <w:autoSpaceDN w:val="0"/>
              <w:spacing w:line="0" w:lineRule="atLeast"/>
              <w:jc w:val="center"/>
              <w:rPr>
                <w:rFonts w:hint="eastAsia" w:ascii="Times New Roman" w:hAnsi="Times New Roman" w:eastAsia="宋体" w:cs="Times New Roman"/>
                <w:color w:val="auto"/>
                <w:spacing w:val="10"/>
                <w:szCs w:val="20"/>
                <w:u w:val="none" w:color="auto"/>
                <w:lang w:eastAsia="zh-CN"/>
              </w:rPr>
            </w:pPr>
            <w:r>
              <w:rPr>
                <w:rFonts w:hint="eastAsia" w:ascii="Times New Roman" w:hAnsi="Times New Roman" w:eastAsia="宋体" w:cs="Times New Roman"/>
                <w:color w:val="auto"/>
                <w:spacing w:val="10"/>
                <w:szCs w:val="21"/>
                <w:u w:val="none" w:color="auto"/>
                <w:lang w:val="en-US" w:eastAsia="zh-CN"/>
              </w:rPr>
              <w:t>装焊</w:t>
            </w:r>
            <w:r>
              <w:rPr>
                <w:rFonts w:hint="eastAsia" w:ascii="Times New Roman" w:hAnsi="Times New Roman" w:eastAsia="宋体" w:cs="Times New Roman"/>
                <w:color w:val="auto"/>
                <w:spacing w:val="10"/>
                <w:szCs w:val="21"/>
                <w:u w:val="none" w:color="auto"/>
                <w:lang w:eastAsia="zh-CN"/>
              </w:rPr>
              <w:t>车间</w:t>
            </w:r>
            <w:r>
              <w:rPr>
                <w:rFonts w:hint="eastAsia" w:ascii="Times New Roman" w:hAnsi="Times New Roman" w:eastAsia="宋体" w:cs="Times New Roman"/>
                <w:color w:val="auto"/>
                <w:spacing w:val="10"/>
                <w:szCs w:val="21"/>
                <w:u w:val="none" w:color="auto"/>
              </w:rPr>
              <w:t>、</w:t>
            </w:r>
            <w:r>
              <w:rPr>
                <w:rFonts w:hint="eastAsia" w:ascii="Times New Roman" w:hAnsi="Times New Roman" w:eastAsia="宋体" w:cs="Times New Roman"/>
                <w:color w:val="auto"/>
                <w:spacing w:val="10"/>
                <w:szCs w:val="21"/>
                <w:u w:val="none" w:color="auto"/>
                <w:lang w:val="en-US" w:eastAsia="zh-CN"/>
              </w:rPr>
              <w:t>涂装</w:t>
            </w:r>
            <w:r>
              <w:rPr>
                <w:rFonts w:hint="eastAsia" w:ascii="Times New Roman" w:hAnsi="Times New Roman" w:eastAsia="宋体" w:cs="Times New Roman"/>
                <w:color w:val="auto"/>
                <w:spacing w:val="10"/>
                <w:szCs w:val="21"/>
                <w:u w:val="none" w:color="auto"/>
                <w:lang w:eastAsia="zh-CN"/>
              </w:rPr>
              <w:t>车间</w:t>
            </w:r>
            <w:r>
              <w:rPr>
                <w:rFonts w:hint="eastAsia" w:ascii="Times New Roman" w:hAnsi="Times New Roman" w:eastAsia="宋体" w:cs="Times New Roman"/>
                <w:color w:val="auto"/>
                <w:spacing w:val="10"/>
                <w:szCs w:val="21"/>
                <w:u w:val="none" w:color="auto"/>
              </w:rPr>
              <w:t>、</w:t>
            </w:r>
            <w:r>
              <w:rPr>
                <w:rFonts w:hint="eastAsia" w:ascii="Times New Roman" w:hAnsi="Times New Roman" w:eastAsia="宋体" w:cs="Times New Roman"/>
                <w:color w:val="auto"/>
                <w:spacing w:val="10"/>
                <w:szCs w:val="21"/>
                <w:u w:val="none" w:color="auto"/>
                <w:lang w:val="en-US" w:eastAsia="zh-CN"/>
              </w:rPr>
              <w:t>卸货场地、</w:t>
            </w:r>
            <w:r>
              <w:rPr>
                <w:rFonts w:hint="eastAsia" w:ascii="Times New Roman" w:hAnsi="Times New Roman" w:eastAsia="宋体" w:cs="Times New Roman"/>
                <w:color w:val="auto"/>
                <w:spacing w:val="10"/>
                <w:szCs w:val="21"/>
                <w:u w:val="none" w:color="auto"/>
              </w:rPr>
              <w:t>成品堆</w:t>
            </w:r>
            <w:r>
              <w:rPr>
                <w:rFonts w:hint="eastAsia" w:ascii="Times New Roman" w:hAnsi="Times New Roman" w:eastAsia="宋体" w:cs="Times New Roman"/>
                <w:color w:val="auto"/>
                <w:spacing w:val="10"/>
                <w:szCs w:val="21"/>
                <w:u w:val="none" w:color="auto"/>
                <w:lang w:val="en-US" w:eastAsia="zh-CN"/>
              </w:rPr>
              <w:t>场</w:t>
            </w:r>
          </w:p>
        </w:tc>
        <w:tc>
          <w:tcPr>
            <w:tcW w:w="3109" w:type="dxa"/>
            <w:vAlign w:val="center"/>
          </w:tcPr>
          <w:p w14:paraId="30C6F933">
            <w:pPr>
              <w:autoSpaceDE w:val="0"/>
              <w:autoSpaceDN w:val="0"/>
              <w:spacing w:line="0" w:lineRule="atLeast"/>
              <w:jc w:val="center"/>
              <w:rPr>
                <w:rFonts w:ascii="Times New Roman" w:hAnsi="Times New Roman" w:eastAsia="宋体" w:cs="Times New Roman"/>
                <w:color w:val="auto"/>
                <w:spacing w:val="10"/>
                <w:szCs w:val="20"/>
                <w:u w:val="none" w:color="auto"/>
              </w:rPr>
            </w:pPr>
            <w:r>
              <w:rPr>
                <w:rFonts w:ascii="Times New Roman" w:hAnsi="Times New Roman" w:eastAsia="宋体" w:cs="Times New Roman"/>
                <w:color w:val="auto"/>
                <w:spacing w:val="10"/>
                <w:szCs w:val="20"/>
                <w:u w:val="none" w:color="auto"/>
              </w:rPr>
              <w:t>等效黏土防渗层Mb≥1.5m， K≤1×10</w:t>
            </w:r>
            <w:r>
              <w:rPr>
                <w:rFonts w:ascii="Times New Roman" w:hAnsi="Times New Roman" w:eastAsia="宋体" w:cs="Times New Roman"/>
                <w:color w:val="auto"/>
                <w:spacing w:val="10"/>
                <w:szCs w:val="20"/>
                <w:u w:val="none" w:color="auto"/>
                <w:vertAlign w:val="superscript"/>
              </w:rPr>
              <w:t>-7</w:t>
            </w:r>
            <w:r>
              <w:rPr>
                <w:rFonts w:ascii="Times New Roman" w:hAnsi="Times New Roman" w:eastAsia="宋体" w:cs="Times New Roman"/>
                <w:color w:val="auto"/>
                <w:spacing w:val="10"/>
                <w:szCs w:val="20"/>
                <w:u w:val="none" w:color="auto"/>
              </w:rPr>
              <w:t>cm/s</w:t>
            </w:r>
          </w:p>
        </w:tc>
      </w:tr>
      <w:tr w14:paraId="34C8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04" w:type="dxa"/>
            <w:vAlign w:val="center"/>
          </w:tcPr>
          <w:p w14:paraId="5868EF96">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rPr>
              <w:t>3</w:t>
            </w:r>
          </w:p>
        </w:tc>
        <w:tc>
          <w:tcPr>
            <w:tcW w:w="1413" w:type="dxa"/>
            <w:vAlign w:val="center"/>
          </w:tcPr>
          <w:p w14:paraId="016EBFE9">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rPr>
              <w:t>简单防渗区</w:t>
            </w:r>
          </w:p>
        </w:tc>
        <w:tc>
          <w:tcPr>
            <w:tcW w:w="3093" w:type="dxa"/>
            <w:vAlign w:val="center"/>
          </w:tcPr>
          <w:p w14:paraId="3E462669">
            <w:pPr>
              <w:autoSpaceDE w:val="0"/>
              <w:autoSpaceDN w:val="0"/>
              <w:spacing w:line="0" w:lineRule="atLeast"/>
              <w:jc w:val="center"/>
              <w:rPr>
                <w:rFonts w:ascii="Times New Roman" w:hAnsi="Times New Roman" w:eastAsia="宋体" w:cs="Times New Roman"/>
                <w:color w:val="auto"/>
                <w:spacing w:val="10"/>
                <w:szCs w:val="21"/>
                <w:u w:val="none" w:color="auto"/>
              </w:rPr>
            </w:pPr>
            <w:r>
              <w:rPr>
                <w:rFonts w:hint="eastAsia" w:ascii="Times New Roman" w:hAnsi="Times New Roman" w:eastAsia="宋体" w:cs="Times New Roman"/>
                <w:color w:val="auto"/>
                <w:spacing w:val="10"/>
                <w:szCs w:val="21"/>
                <w:u w:val="none" w:color="auto"/>
              </w:rPr>
              <w:t>办公区、道路等重点防渗区和一般防渗区以外的区域</w:t>
            </w:r>
          </w:p>
        </w:tc>
        <w:tc>
          <w:tcPr>
            <w:tcW w:w="3109" w:type="dxa"/>
            <w:vAlign w:val="center"/>
          </w:tcPr>
          <w:p w14:paraId="36E31F94">
            <w:pPr>
              <w:autoSpaceDE w:val="0"/>
              <w:autoSpaceDN w:val="0"/>
              <w:spacing w:line="0" w:lineRule="atLeast"/>
              <w:jc w:val="center"/>
              <w:rPr>
                <w:rFonts w:ascii="Times New Roman" w:hAnsi="Times New Roman" w:eastAsia="宋体" w:cs="Times New Roman"/>
                <w:color w:val="auto"/>
                <w:spacing w:val="10"/>
                <w:szCs w:val="20"/>
                <w:u w:val="none" w:color="auto"/>
              </w:rPr>
            </w:pPr>
            <w:r>
              <w:rPr>
                <w:rFonts w:hint="eastAsia" w:ascii="Times New Roman" w:hAnsi="Times New Roman" w:eastAsia="宋体" w:cs="Times New Roman"/>
                <w:color w:val="auto"/>
                <w:spacing w:val="10"/>
                <w:szCs w:val="20"/>
                <w:u w:val="none" w:color="auto"/>
              </w:rPr>
              <w:t>一般地面硬化</w:t>
            </w:r>
          </w:p>
        </w:tc>
      </w:tr>
    </w:tbl>
    <w:p w14:paraId="1AADD12D">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color w:val="auto"/>
          <w:kern w:val="0"/>
          <w:sz w:val="24"/>
          <w:szCs w:val="24"/>
          <w:highlight w:val="none"/>
          <w:u w:val="single" w:color="auto"/>
          <w:lang w:val="en-US" w:eastAsia="zh-CN"/>
        </w:rPr>
        <w:t>3、跟踪监测</w:t>
      </w:r>
    </w:p>
    <w:p w14:paraId="6D81CE61">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pacing w:val="-2"/>
          <w:sz w:val="24"/>
          <w:szCs w:val="24"/>
          <w:highlight w:val="none"/>
          <w:u w:val="single" w:color="auto"/>
          <w:lang w:val="en-US" w:eastAsia="zh-CN"/>
        </w:rPr>
      </w:pPr>
      <w:r>
        <w:rPr>
          <w:rFonts w:hint="eastAsia" w:ascii="Times New Roman" w:hAnsi="Times New Roman" w:eastAsia="宋体" w:cs="Times New Roman"/>
          <w:color w:val="auto"/>
          <w:spacing w:val="-2"/>
          <w:sz w:val="24"/>
          <w:szCs w:val="24"/>
          <w:highlight w:val="none"/>
          <w:u w:val="single" w:color="auto"/>
          <w:lang w:val="en-US" w:eastAsia="zh-CN"/>
        </w:rPr>
        <w:t>为了动态了解厂区地下水水质情况，在厂区下游设置监测井（U3）（21.720591°N，108.645798°E），见图3.2-1，定期开展监测。</w:t>
      </w:r>
    </w:p>
    <w:p w14:paraId="1E1777D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5</w:t>
      </w:r>
      <w:r>
        <w:rPr>
          <w:rFonts w:ascii="Times New Roman" w:hAnsi="Times New Roman" w:eastAsia="宋体" w:cs="Times New Roman"/>
          <w:b/>
          <w:color w:val="auto"/>
          <w:kern w:val="0"/>
          <w:sz w:val="28"/>
          <w:szCs w:val="20"/>
          <w:u w:val="none" w:color="auto"/>
        </w:rPr>
        <w:t>.2.6土壤污染防治措施</w:t>
      </w:r>
    </w:p>
    <w:p w14:paraId="2DA3B713">
      <w:pPr>
        <w:tabs>
          <w:tab w:val="left" w:pos="643"/>
        </w:tabs>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项目土壤防治的主要对象为厂区及周边土壤，防治的主要目标是项目厂区及周边土壤不受本项目排放污染物的污染。</w:t>
      </w:r>
      <w:r>
        <w:rPr>
          <w:rFonts w:ascii="Times New Roman" w:hAnsi="Times New Roman" w:eastAsia="宋体" w:cs="Times New Roman"/>
          <w:color w:val="auto"/>
          <w:sz w:val="24"/>
          <w:szCs w:val="24"/>
          <w:u w:val="none" w:color="auto"/>
        </w:rPr>
        <w:t xml:space="preserve"> </w:t>
      </w:r>
    </w:p>
    <w:p w14:paraId="690CE176">
      <w:pPr>
        <w:tabs>
          <w:tab w:val="left" w:pos="643"/>
        </w:tabs>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（1）源头控制措施</w:t>
      </w:r>
    </w:p>
    <w:p w14:paraId="14002EEA">
      <w:pPr>
        <w:tabs>
          <w:tab w:val="left" w:pos="643"/>
        </w:tabs>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本项目对土壤影响来自于污染物面源和污染物点源持续排放污染土壤。</w:t>
      </w:r>
    </w:p>
    <w:p w14:paraId="71B575B9">
      <w:pPr>
        <w:tabs>
          <w:tab w:val="left" w:pos="643"/>
        </w:tabs>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项目产生的大气污染物主要有TSP、</w:t>
      </w:r>
      <w:r>
        <w:rPr>
          <w:rFonts w:hint="eastAsia" w:ascii="Times New Roman" w:hAnsi="Times New Roman" w:eastAsia="宋体" w:cs="Times New Roman"/>
          <w:color w:val="auto"/>
          <w:sz w:val="24"/>
          <w:szCs w:val="24"/>
          <w:u w:val="none" w:color="auto"/>
        </w:rPr>
        <w:t>非甲烷总烃</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甲苯、</w:t>
      </w:r>
      <w:r>
        <w:rPr>
          <w:rFonts w:ascii="Times New Roman" w:hAnsi="Times New Roman" w:eastAsia="宋体" w:cs="Times New Roman"/>
          <w:color w:val="auto"/>
          <w:sz w:val="24"/>
          <w:szCs w:val="24"/>
          <w:u w:val="none" w:color="auto"/>
        </w:rPr>
        <w:t>二甲苯等，TSP、</w:t>
      </w:r>
      <w:r>
        <w:rPr>
          <w:rFonts w:hint="eastAsia" w:ascii="Times New Roman" w:hAnsi="Times New Roman" w:eastAsia="宋体" w:cs="Times New Roman"/>
          <w:color w:val="auto"/>
          <w:sz w:val="24"/>
          <w:szCs w:val="24"/>
          <w:u w:val="none" w:color="auto"/>
        </w:rPr>
        <w:t>非甲烷总烃</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甲苯、</w:t>
      </w:r>
      <w:r>
        <w:rPr>
          <w:rFonts w:ascii="Times New Roman" w:hAnsi="Times New Roman" w:eastAsia="宋体" w:cs="Times New Roman"/>
          <w:color w:val="auto"/>
          <w:sz w:val="24"/>
          <w:szCs w:val="24"/>
          <w:u w:val="none" w:color="auto"/>
        </w:rPr>
        <w:t>二甲苯不易沉淀造成土壤污染</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项目生产过程</w:t>
      </w:r>
      <w:r>
        <w:rPr>
          <w:rFonts w:hint="eastAsia" w:ascii="Times New Roman" w:hAnsi="Times New Roman" w:eastAsia="宋体" w:cs="Times New Roman"/>
          <w:color w:val="auto"/>
          <w:sz w:val="24"/>
          <w:szCs w:val="24"/>
          <w:u w:val="none" w:color="auto"/>
        </w:rPr>
        <w:t>中</w:t>
      </w:r>
      <w:r>
        <w:rPr>
          <w:rFonts w:ascii="Times New Roman" w:hAnsi="Times New Roman" w:eastAsia="宋体" w:cs="Times New Roman"/>
          <w:color w:val="auto"/>
          <w:sz w:val="24"/>
          <w:szCs w:val="24"/>
          <w:u w:val="none" w:color="auto"/>
        </w:rPr>
        <w:t>保证项目</w:t>
      </w:r>
      <w:r>
        <w:rPr>
          <w:rFonts w:hint="eastAsia" w:ascii="Times New Roman" w:hAnsi="Times New Roman" w:eastAsia="宋体" w:cs="Times New Roman"/>
          <w:color w:val="auto"/>
          <w:sz w:val="24"/>
          <w:szCs w:val="24"/>
          <w:u w:val="none" w:color="auto"/>
        </w:rPr>
        <w:t>废气</w:t>
      </w:r>
      <w:r>
        <w:rPr>
          <w:rFonts w:ascii="Times New Roman" w:hAnsi="Times New Roman" w:eastAsia="宋体" w:cs="Times New Roman"/>
          <w:color w:val="auto"/>
          <w:sz w:val="24"/>
          <w:szCs w:val="24"/>
          <w:u w:val="none" w:color="auto"/>
        </w:rPr>
        <w:t xml:space="preserve">处理设施正常运行、减少大气污染物排放量可进一步降低大气污染物沉降污染的可能性。 </w:t>
      </w:r>
    </w:p>
    <w:p w14:paraId="614C7507">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（2）过程防控措施 </w:t>
      </w:r>
    </w:p>
    <w:p w14:paraId="7CA8866A">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1、加强厂区绿化，种植对排放的大气污染物有较强吸收做用的植物； </w:t>
      </w:r>
    </w:p>
    <w:p w14:paraId="5B47E4B4">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 xml:space="preserve">2、项目设计和运行过程中，充分按照规范要求对厂区进行分区防渗处理、保证防渗层良好、严格按要求对地下水进行跟踪监测，可以防止点源污染土壤，当出现点源污染时，可以及时发现并进行修补，防止土壤污染进一步扩大。 </w:t>
      </w:r>
    </w:p>
    <w:p w14:paraId="2FC4F827">
      <w:pPr>
        <w:pStyle w:val="50"/>
        <w:adjustRightInd/>
        <w:ind w:firstLine="480" w:firstLineChars="200"/>
        <w:rPr>
          <w:rFonts w:ascii="Times New Roman" w:hAnsi="Times New Roman" w:cs="Times New Roman"/>
          <w:color w:val="auto"/>
          <w:u w:val="none" w:color="auto"/>
        </w:rPr>
      </w:pPr>
      <w:r>
        <w:rPr>
          <w:rFonts w:ascii="Times New Roman" w:hAnsi="Times New Roman" w:cs="Times New Roman"/>
          <w:color w:val="auto"/>
          <w:u w:val="none" w:color="auto"/>
        </w:rPr>
        <w:t>3、设备安装调试时，做好防渗措施，防止破坏地面基础防渗层。</w:t>
      </w:r>
    </w:p>
    <w:p w14:paraId="4AE40A33">
      <w:pPr>
        <w:pStyle w:val="50"/>
        <w:adjustRightInd/>
        <w:ind w:firstLine="480" w:firstLineChars="200"/>
        <w:rPr>
          <w:rFonts w:ascii="Times New Roman" w:hAnsi="Times New Roman" w:cs="Times New Roman"/>
          <w:color w:val="auto"/>
          <w:u w:val="none" w:color="auto"/>
        </w:rPr>
      </w:pPr>
    </w:p>
    <w:p w14:paraId="6ADF53BD">
      <w:pPr>
        <w:pStyle w:val="50"/>
        <w:adjustRightInd/>
        <w:ind w:firstLine="480" w:firstLineChars="200"/>
        <w:rPr>
          <w:rFonts w:ascii="Times New Roman" w:hAnsi="Times New Roman" w:cs="Times New Roman"/>
          <w:color w:val="auto"/>
          <w:u w:val="none" w:color="auto"/>
        </w:rPr>
      </w:pPr>
    </w:p>
    <w:p w14:paraId="19E7E355">
      <w:pPr>
        <w:tabs>
          <w:tab w:val="left" w:pos="643"/>
        </w:tabs>
        <w:spacing w:line="360" w:lineRule="auto"/>
        <w:ind w:firstLine="420" w:firstLineChars="200"/>
        <w:rPr>
          <w:rFonts w:ascii="Times New Roman" w:hAnsi="Times New Roman" w:cs="Times New Roman"/>
          <w:color w:val="auto"/>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936CF9E">
      <w:pPr>
        <w:pStyle w:val="2"/>
        <w:bidi w:val="0"/>
        <w:rPr>
          <w:color w:val="auto"/>
          <w:u w:val="none" w:color="auto"/>
        </w:rPr>
      </w:pPr>
      <w:bookmarkStart w:id="265" w:name="_Toc359916602"/>
      <w:bookmarkStart w:id="266" w:name="_Toc402906334"/>
      <w:bookmarkStart w:id="267" w:name="_Toc26402"/>
      <w:bookmarkStart w:id="268" w:name="_Toc530130481"/>
      <w:bookmarkStart w:id="269" w:name="_Toc3728282"/>
      <w:r>
        <w:rPr>
          <w:color w:val="auto"/>
          <w:u w:val="none" w:color="auto"/>
        </w:rPr>
        <w:t>环境影响经济损益分析</w:t>
      </w:r>
      <w:bookmarkEnd w:id="265"/>
      <w:bookmarkEnd w:id="266"/>
      <w:bookmarkEnd w:id="267"/>
      <w:bookmarkEnd w:id="268"/>
      <w:bookmarkEnd w:id="269"/>
    </w:p>
    <w:p w14:paraId="6CBF293D">
      <w:pPr>
        <w:autoSpaceDE w:val="0"/>
        <w:autoSpaceDN w:val="0"/>
        <w:adjustRightInd w:val="0"/>
        <w:spacing w:line="360" w:lineRule="auto"/>
        <w:ind w:left="105" w:leftChars="50"/>
        <w:jc w:val="left"/>
        <w:outlineLvl w:val="1"/>
        <w:rPr>
          <w:rFonts w:ascii="Times New Roman" w:hAnsi="Times New Roman" w:eastAsia="宋体" w:cs="Times New Roman"/>
          <w:b/>
          <w:bCs/>
          <w:color w:val="auto"/>
          <w:kern w:val="0"/>
          <w:sz w:val="32"/>
          <w:szCs w:val="24"/>
          <w:u w:val="none" w:color="auto"/>
        </w:rPr>
      </w:pPr>
      <w:bookmarkStart w:id="270" w:name="_Toc32334"/>
      <w:bookmarkStart w:id="271" w:name="_Toc31322"/>
      <w:bookmarkStart w:id="272" w:name="_Toc410662467"/>
      <w:bookmarkStart w:id="273" w:name="_Toc7310"/>
      <w:r>
        <w:rPr>
          <w:rFonts w:ascii="Times New Roman" w:hAnsi="Times New Roman" w:eastAsia="宋体" w:cs="Times New Roman"/>
          <w:b/>
          <w:bCs/>
          <w:color w:val="auto"/>
          <w:kern w:val="0"/>
          <w:sz w:val="32"/>
          <w:szCs w:val="24"/>
          <w:u w:val="none" w:color="auto"/>
        </w:rPr>
        <w:t>6.1经济效益分析</w:t>
      </w:r>
      <w:bookmarkEnd w:id="270"/>
      <w:bookmarkEnd w:id="271"/>
      <w:bookmarkEnd w:id="272"/>
      <w:bookmarkEnd w:id="273"/>
    </w:p>
    <w:p w14:paraId="4B6CC55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本项目总投资</w:t>
      </w:r>
      <w:r>
        <w:rPr>
          <w:rFonts w:hint="eastAsia" w:ascii="Times New Roman" w:hAnsi="Times New Roman" w:eastAsia="宋体" w:cs="Times New Roman"/>
          <w:color w:val="auto"/>
          <w:spacing w:val="-2"/>
          <w:kern w:val="0"/>
          <w:sz w:val="24"/>
          <w:szCs w:val="24"/>
          <w:u w:val="none" w:color="auto"/>
          <w:lang w:eastAsia="zh-CN"/>
        </w:rPr>
        <w:t>51250</w:t>
      </w:r>
      <w:r>
        <w:rPr>
          <w:rFonts w:ascii="Times New Roman" w:hAnsi="Times New Roman" w:eastAsia="宋体" w:cs="Times New Roman"/>
          <w:color w:val="auto"/>
          <w:spacing w:val="-2"/>
          <w:kern w:val="0"/>
          <w:sz w:val="24"/>
          <w:szCs w:val="24"/>
          <w:u w:val="none" w:color="auto"/>
        </w:rPr>
        <w:t>万元，项目年净利润为</w:t>
      </w:r>
      <w:r>
        <w:rPr>
          <w:rFonts w:hint="eastAsia" w:ascii="Times New Roman" w:hAnsi="Times New Roman" w:eastAsia="宋体" w:cs="Times New Roman"/>
          <w:color w:val="auto"/>
          <w:spacing w:val="-2"/>
          <w:kern w:val="0"/>
          <w:sz w:val="24"/>
          <w:szCs w:val="24"/>
          <w:u w:val="none" w:color="auto"/>
        </w:rPr>
        <w:t>30000</w:t>
      </w:r>
      <w:r>
        <w:rPr>
          <w:rFonts w:ascii="Times New Roman" w:hAnsi="Times New Roman" w:eastAsia="宋体" w:cs="Times New Roman"/>
          <w:color w:val="auto"/>
          <w:spacing w:val="-2"/>
          <w:kern w:val="0"/>
          <w:sz w:val="24"/>
          <w:szCs w:val="24"/>
          <w:u w:val="none" w:color="auto"/>
        </w:rPr>
        <w:t>万元，投资回收期</w:t>
      </w:r>
      <w:r>
        <w:rPr>
          <w:rFonts w:hint="eastAsia" w:ascii="Times New Roman" w:hAnsi="Times New Roman" w:eastAsia="宋体" w:cs="Times New Roman"/>
          <w:color w:val="auto"/>
          <w:spacing w:val="-2"/>
          <w:kern w:val="0"/>
          <w:sz w:val="24"/>
          <w:szCs w:val="24"/>
          <w:u w:val="none" w:color="auto"/>
        </w:rPr>
        <w:t>4.33</w:t>
      </w:r>
      <w:r>
        <w:rPr>
          <w:rFonts w:ascii="Times New Roman" w:hAnsi="Times New Roman" w:eastAsia="宋体" w:cs="Times New Roman"/>
          <w:color w:val="auto"/>
          <w:spacing w:val="-2"/>
          <w:kern w:val="0"/>
          <w:sz w:val="24"/>
          <w:szCs w:val="24"/>
          <w:u w:val="none" w:color="auto"/>
        </w:rPr>
        <w:t>a。</w:t>
      </w:r>
    </w:p>
    <w:p w14:paraId="6D32A569">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综上可见，项目具有一定盈利能力和清偿能力，并且具有一定的抗风险能力和良好的经济前景。</w:t>
      </w:r>
    </w:p>
    <w:p w14:paraId="050ADA86">
      <w:pPr>
        <w:autoSpaceDE w:val="0"/>
        <w:autoSpaceDN w:val="0"/>
        <w:adjustRightInd w:val="0"/>
        <w:spacing w:line="360" w:lineRule="auto"/>
        <w:ind w:left="105" w:leftChars="50"/>
        <w:jc w:val="left"/>
        <w:outlineLvl w:val="1"/>
        <w:rPr>
          <w:rFonts w:ascii="Times New Roman" w:hAnsi="Times New Roman" w:eastAsia="宋体" w:cs="Times New Roman"/>
          <w:b/>
          <w:bCs/>
          <w:color w:val="auto"/>
          <w:kern w:val="0"/>
          <w:sz w:val="32"/>
          <w:szCs w:val="24"/>
          <w:u w:val="none" w:color="auto"/>
        </w:rPr>
      </w:pPr>
      <w:bookmarkStart w:id="274" w:name="_Toc410662469"/>
      <w:bookmarkStart w:id="275" w:name="_Toc15723"/>
      <w:bookmarkStart w:id="276" w:name="_Toc29364"/>
      <w:bookmarkStart w:id="277" w:name="_Toc1247"/>
      <w:r>
        <w:rPr>
          <w:rFonts w:ascii="Times New Roman" w:hAnsi="Times New Roman" w:eastAsia="宋体" w:cs="Times New Roman"/>
          <w:b/>
          <w:bCs/>
          <w:color w:val="auto"/>
          <w:kern w:val="0"/>
          <w:sz w:val="32"/>
          <w:szCs w:val="24"/>
          <w:u w:val="none" w:color="auto"/>
        </w:rPr>
        <w:t>6.2环保投资估算</w:t>
      </w:r>
      <w:bookmarkEnd w:id="274"/>
      <w:bookmarkEnd w:id="275"/>
      <w:bookmarkEnd w:id="276"/>
      <w:bookmarkEnd w:id="277"/>
    </w:p>
    <w:p w14:paraId="678543A8">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总投资</w:t>
      </w:r>
      <w:r>
        <w:rPr>
          <w:rFonts w:hint="eastAsia" w:ascii="Times New Roman" w:hAnsi="Times New Roman" w:eastAsia="宋体" w:cs="Times New Roman"/>
          <w:color w:val="auto"/>
          <w:spacing w:val="-2"/>
          <w:kern w:val="0"/>
          <w:sz w:val="24"/>
          <w:szCs w:val="24"/>
          <w:u w:val="none" w:color="auto"/>
          <w:lang w:eastAsia="zh-CN"/>
        </w:rPr>
        <w:t>51250</w:t>
      </w:r>
      <w:r>
        <w:rPr>
          <w:rFonts w:ascii="Times New Roman" w:hAnsi="Times New Roman" w:eastAsia="宋体" w:cs="Times New Roman"/>
          <w:color w:val="auto"/>
          <w:spacing w:val="-2"/>
          <w:kern w:val="0"/>
          <w:sz w:val="24"/>
          <w:szCs w:val="24"/>
          <w:u w:val="none" w:color="auto"/>
        </w:rPr>
        <w:t>万元，其中环保投资5</w:t>
      </w:r>
      <w:r>
        <w:rPr>
          <w:rFonts w:hint="eastAsia" w:ascii="Times New Roman" w:hAnsi="Times New Roman" w:eastAsia="宋体" w:cs="Times New Roman"/>
          <w:color w:val="auto"/>
          <w:spacing w:val="-2"/>
          <w:kern w:val="0"/>
          <w:sz w:val="24"/>
          <w:szCs w:val="24"/>
          <w:u w:val="none" w:color="auto"/>
          <w:lang w:val="en-US" w:eastAsia="zh-CN"/>
        </w:rPr>
        <w:t>2</w:t>
      </w:r>
      <w:r>
        <w:rPr>
          <w:rFonts w:ascii="Times New Roman" w:hAnsi="Times New Roman" w:eastAsia="宋体" w:cs="Times New Roman"/>
          <w:color w:val="auto"/>
          <w:spacing w:val="-2"/>
          <w:kern w:val="0"/>
          <w:sz w:val="24"/>
          <w:szCs w:val="24"/>
          <w:u w:val="none" w:color="auto"/>
        </w:rPr>
        <w:t>0万元，环保投资占总投资约</w:t>
      </w:r>
      <w:r>
        <w:rPr>
          <w:rFonts w:hint="eastAsia" w:ascii="Times New Roman" w:hAnsi="Times New Roman" w:eastAsia="宋体" w:cs="Times New Roman"/>
          <w:color w:val="auto"/>
          <w:spacing w:val="-2"/>
          <w:kern w:val="0"/>
          <w:sz w:val="24"/>
          <w:szCs w:val="24"/>
          <w:u w:val="none" w:color="auto"/>
          <w:lang w:val="en-US" w:eastAsia="zh-CN"/>
        </w:rPr>
        <w:t>1.01</w:t>
      </w:r>
      <w:r>
        <w:rPr>
          <w:rFonts w:hint="eastAsia" w:ascii="Times New Roman" w:hAnsi="Times New Roman" w:eastAsia="宋体" w:cs="Times New Roman"/>
          <w:color w:val="auto"/>
          <w:spacing w:val="-2"/>
          <w:kern w:val="0"/>
          <w:sz w:val="24"/>
          <w:szCs w:val="24"/>
          <w:u w:val="none" w:color="auto"/>
          <w:lang w:eastAsia="zh-CN"/>
        </w:rPr>
        <w:t>%</w:t>
      </w:r>
      <w:r>
        <w:rPr>
          <w:rFonts w:ascii="Times New Roman" w:hAnsi="Times New Roman" w:eastAsia="宋体" w:cs="Times New Roman"/>
          <w:color w:val="auto"/>
          <w:spacing w:val="-2"/>
          <w:kern w:val="0"/>
          <w:sz w:val="24"/>
          <w:szCs w:val="24"/>
          <w:u w:val="none" w:color="auto"/>
        </w:rPr>
        <w:t>。</w:t>
      </w:r>
    </w:p>
    <w:p w14:paraId="3C8F05B6">
      <w:pPr>
        <w:widowControl/>
        <w:ind w:firstLine="422"/>
        <w:jc w:val="center"/>
        <w:rPr>
          <w:rFonts w:ascii="Times New Roman" w:hAnsi="Times New Roman" w:eastAsia="宋体" w:cs="Times New Roman"/>
          <w:b/>
          <w:bCs/>
          <w:color w:val="auto"/>
          <w:kern w:val="0"/>
          <w:szCs w:val="21"/>
          <w:u w:val="none" w:color="auto"/>
        </w:rPr>
      </w:pPr>
      <w:r>
        <w:rPr>
          <w:rFonts w:ascii="Times New Roman" w:hAnsi="Times New Roman" w:eastAsia="宋体" w:cs="Times New Roman"/>
          <w:b/>
          <w:bCs/>
          <w:color w:val="auto"/>
          <w:kern w:val="0"/>
          <w:szCs w:val="21"/>
          <w:u w:val="none" w:color="auto"/>
        </w:rPr>
        <w:t>表6.</w:t>
      </w:r>
      <w:r>
        <w:rPr>
          <w:rFonts w:hint="eastAsia" w:ascii="Times New Roman" w:hAnsi="Times New Roman" w:eastAsia="宋体" w:cs="Times New Roman"/>
          <w:b/>
          <w:bCs/>
          <w:color w:val="auto"/>
          <w:kern w:val="0"/>
          <w:szCs w:val="21"/>
          <w:u w:val="none" w:color="auto"/>
        </w:rPr>
        <w:t>2</w:t>
      </w:r>
      <w:r>
        <w:rPr>
          <w:rFonts w:ascii="Times New Roman" w:hAnsi="Times New Roman" w:eastAsia="宋体" w:cs="Times New Roman"/>
          <w:b/>
          <w:bCs/>
          <w:color w:val="auto"/>
          <w:kern w:val="0"/>
          <w:szCs w:val="21"/>
          <w:u w:val="none" w:color="auto"/>
        </w:rPr>
        <w:t>-1  项目环境保护工程措施投资一览表</w:t>
      </w:r>
    </w:p>
    <w:tbl>
      <w:tblPr>
        <w:tblStyle w:val="37"/>
        <w:tblW w:w="8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114"/>
        <w:gridCol w:w="1896"/>
        <w:gridCol w:w="4147"/>
        <w:gridCol w:w="861"/>
      </w:tblGrid>
      <w:tr w14:paraId="28186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422" w:type="dxa"/>
            <w:vAlign w:val="center"/>
          </w:tcPr>
          <w:p w14:paraId="7A1F7B94">
            <w:pPr>
              <w:jc w:val="center"/>
              <w:rPr>
                <w:rFonts w:ascii="Times New Roman" w:hAnsi="Times New Roman" w:eastAsia="宋体" w:cs="Times New Roman"/>
                <w:b/>
                <w:bCs/>
                <w:color w:val="auto"/>
                <w:szCs w:val="21"/>
                <w:u w:val="none" w:color="auto"/>
              </w:rPr>
            </w:pPr>
            <w:bookmarkStart w:id="278" w:name="_Toc410662470"/>
            <w:bookmarkStart w:id="279" w:name="_Toc19365"/>
            <w:bookmarkStart w:id="280" w:name="_Toc21668"/>
            <w:r>
              <w:rPr>
                <w:rFonts w:ascii="Times New Roman" w:hAnsi="Times New Roman" w:eastAsia="宋体" w:cs="Times New Roman"/>
                <w:b/>
                <w:bCs/>
                <w:color w:val="auto"/>
                <w:szCs w:val="21"/>
                <w:u w:val="none" w:color="auto"/>
              </w:rPr>
              <w:t>序号</w:t>
            </w:r>
          </w:p>
        </w:tc>
        <w:tc>
          <w:tcPr>
            <w:tcW w:w="1114" w:type="dxa"/>
            <w:vAlign w:val="center"/>
          </w:tcPr>
          <w:p w14:paraId="53392A1F">
            <w:pPr>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类别</w:t>
            </w:r>
          </w:p>
        </w:tc>
        <w:tc>
          <w:tcPr>
            <w:tcW w:w="1896" w:type="dxa"/>
            <w:vAlign w:val="center"/>
          </w:tcPr>
          <w:p w14:paraId="630F2E60">
            <w:pPr>
              <w:jc w:val="center"/>
              <w:rPr>
                <w:rFonts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污染类型</w:t>
            </w:r>
          </w:p>
        </w:tc>
        <w:tc>
          <w:tcPr>
            <w:tcW w:w="4147" w:type="dxa"/>
            <w:vAlign w:val="center"/>
          </w:tcPr>
          <w:p w14:paraId="3362B264">
            <w:pPr>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szCs w:val="21"/>
                <w:u w:val="none" w:color="auto"/>
              </w:rPr>
              <w:t>环保措施名称</w:t>
            </w:r>
          </w:p>
        </w:tc>
        <w:tc>
          <w:tcPr>
            <w:tcW w:w="861" w:type="dxa"/>
            <w:vAlign w:val="center"/>
          </w:tcPr>
          <w:p w14:paraId="54D495EB">
            <w:pPr>
              <w:autoSpaceDE w:val="0"/>
              <w:autoSpaceDN w:val="0"/>
              <w:adjustRightInd w:val="0"/>
              <w:jc w:val="center"/>
              <w:rPr>
                <w:rFonts w:ascii="Times New Roman" w:hAnsi="Times New Roman" w:eastAsia="宋体" w:cs="Times New Roman"/>
                <w:b/>
                <w:bCs/>
                <w:color w:val="auto"/>
                <w:kern w:val="0"/>
                <w:szCs w:val="21"/>
                <w:u w:val="none" w:color="auto"/>
              </w:rPr>
            </w:pPr>
            <w:r>
              <w:rPr>
                <w:rFonts w:ascii="Times New Roman" w:hAnsi="Times New Roman" w:eastAsia="宋体" w:cs="Times New Roman"/>
                <w:b/>
                <w:bCs/>
                <w:color w:val="auto"/>
                <w:kern w:val="0"/>
                <w:szCs w:val="21"/>
                <w:u w:val="none" w:color="auto"/>
              </w:rPr>
              <w:t>投资额</w:t>
            </w:r>
          </w:p>
          <w:p w14:paraId="7E373396">
            <w:pPr>
              <w:autoSpaceDE w:val="0"/>
              <w:autoSpaceDN w:val="0"/>
              <w:adjustRightInd w:val="0"/>
              <w:jc w:val="center"/>
              <w:rPr>
                <w:rFonts w:ascii="Times New Roman" w:hAnsi="Times New Roman" w:eastAsia="宋体" w:cs="Times New Roman"/>
                <w:b/>
                <w:bCs/>
                <w:color w:val="auto"/>
                <w:szCs w:val="21"/>
                <w:u w:val="none" w:color="auto"/>
              </w:rPr>
            </w:pPr>
            <w:r>
              <w:rPr>
                <w:rFonts w:ascii="Times New Roman" w:hAnsi="Times New Roman" w:eastAsia="宋体" w:cs="Times New Roman"/>
                <w:b/>
                <w:bCs/>
                <w:color w:val="auto"/>
                <w:kern w:val="0"/>
                <w:szCs w:val="21"/>
                <w:u w:val="none" w:color="auto"/>
              </w:rPr>
              <w:t>（万元）</w:t>
            </w:r>
          </w:p>
        </w:tc>
      </w:tr>
      <w:tr w14:paraId="38B15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22" w:type="dxa"/>
            <w:vMerge w:val="restart"/>
            <w:vAlign w:val="center"/>
          </w:tcPr>
          <w:p w14:paraId="450148E4">
            <w:pPr>
              <w:numPr>
                <w:ilvl w:val="0"/>
                <w:numId w:val="17"/>
              </w:numPr>
              <w:ind w:left="0" w:firstLine="0"/>
              <w:jc w:val="center"/>
              <w:rPr>
                <w:rFonts w:ascii="Times New Roman" w:hAnsi="Times New Roman" w:eastAsia="宋体" w:cs="Times New Roman"/>
                <w:color w:val="auto"/>
                <w:szCs w:val="21"/>
                <w:u w:val="none" w:color="auto"/>
              </w:rPr>
            </w:pPr>
          </w:p>
        </w:tc>
        <w:tc>
          <w:tcPr>
            <w:tcW w:w="1114" w:type="dxa"/>
            <w:vMerge w:val="restart"/>
            <w:vAlign w:val="center"/>
          </w:tcPr>
          <w:p w14:paraId="3DB8BFC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废气</w:t>
            </w:r>
          </w:p>
        </w:tc>
        <w:tc>
          <w:tcPr>
            <w:tcW w:w="1896" w:type="dxa"/>
            <w:vAlign w:val="center"/>
          </w:tcPr>
          <w:p w14:paraId="71A4D04D">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抛丸、喷砂废气</w:t>
            </w:r>
          </w:p>
        </w:tc>
        <w:tc>
          <w:tcPr>
            <w:tcW w:w="4147" w:type="dxa"/>
            <w:vAlign w:val="center"/>
          </w:tcPr>
          <w:p w14:paraId="794BAC60">
            <w:pPr>
              <w:jc w:val="center"/>
              <w:rPr>
                <w:rFonts w:ascii="Times New Roman" w:hAnsi="Times New Roman" w:eastAsia="宋体" w:cs="Times New Roman"/>
                <w:color w:val="auto"/>
                <w:szCs w:val="21"/>
                <w:u w:val="none" w:color="auto"/>
              </w:rPr>
            </w:pPr>
            <w:r>
              <w:rPr>
                <w:rFonts w:hint="eastAsia"/>
                <w:color w:val="auto"/>
                <w:u w:val="single" w:color="auto"/>
                <w:lang w:val="en-US" w:eastAsia="zh-CN"/>
              </w:rPr>
              <w:t>旋风除尘器+</w:t>
            </w:r>
            <w:r>
              <w:rPr>
                <w:rFonts w:ascii="Times New Roman" w:hAnsi="Times New Roman" w:eastAsia="宋体" w:cs="Times New Roman"/>
                <w:color w:val="auto"/>
                <w:szCs w:val="21"/>
                <w:u w:val="single" w:color="auto"/>
              </w:rPr>
              <w:t>滤筒除尘器+</w:t>
            </w:r>
            <w:r>
              <w:rPr>
                <w:rFonts w:hint="eastAsia" w:ascii="Times New Roman" w:hAnsi="Times New Roman" w:eastAsia="宋体" w:cs="Times New Roman"/>
                <w:color w:val="auto"/>
                <w:szCs w:val="21"/>
                <w:u w:val="single" w:color="auto"/>
                <w:lang w:eastAsia="zh-CN"/>
              </w:rPr>
              <w:t>30m</w:t>
            </w:r>
            <w:r>
              <w:rPr>
                <w:rFonts w:hint="eastAsia" w:ascii="Times New Roman" w:hAnsi="Times New Roman" w:eastAsia="宋体" w:cs="Times New Roman"/>
                <w:color w:val="auto"/>
                <w:szCs w:val="21"/>
                <w:u w:val="single" w:color="auto"/>
                <w:lang w:val="en-US" w:eastAsia="zh-CN"/>
              </w:rPr>
              <w:t>DA001</w:t>
            </w:r>
            <w:r>
              <w:rPr>
                <w:rFonts w:ascii="Times New Roman" w:hAnsi="Times New Roman" w:eastAsia="宋体" w:cs="Times New Roman"/>
                <w:color w:val="auto"/>
                <w:szCs w:val="21"/>
                <w:u w:val="single" w:color="auto"/>
              </w:rPr>
              <w:t>排气筒</w:t>
            </w:r>
          </w:p>
        </w:tc>
        <w:tc>
          <w:tcPr>
            <w:tcW w:w="861" w:type="dxa"/>
            <w:vAlign w:val="center"/>
          </w:tcPr>
          <w:p w14:paraId="61787228">
            <w:pPr>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rPr>
              <w:t>10</w:t>
            </w:r>
            <w:r>
              <w:rPr>
                <w:rFonts w:hint="eastAsia" w:ascii="Times New Roman" w:hAnsi="Times New Roman" w:eastAsia="宋体" w:cs="Times New Roman"/>
                <w:color w:val="auto"/>
                <w:szCs w:val="21"/>
                <w:u w:val="none" w:color="auto"/>
                <w:lang w:val="en-US" w:eastAsia="zh-CN"/>
              </w:rPr>
              <w:t>5</w:t>
            </w:r>
          </w:p>
        </w:tc>
      </w:tr>
      <w:tr w14:paraId="3F6E9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22" w:type="dxa"/>
            <w:vMerge w:val="continue"/>
            <w:vAlign w:val="center"/>
          </w:tcPr>
          <w:p w14:paraId="1BC69F59">
            <w:pPr>
              <w:jc w:val="center"/>
              <w:rPr>
                <w:color w:val="auto"/>
                <w:u w:val="none" w:color="auto"/>
              </w:rPr>
            </w:pPr>
          </w:p>
        </w:tc>
        <w:tc>
          <w:tcPr>
            <w:tcW w:w="1114" w:type="dxa"/>
            <w:vMerge w:val="continue"/>
            <w:vAlign w:val="center"/>
          </w:tcPr>
          <w:p w14:paraId="193DB222">
            <w:pPr>
              <w:jc w:val="center"/>
              <w:rPr>
                <w:color w:val="auto"/>
                <w:u w:val="none" w:color="auto"/>
              </w:rPr>
            </w:pPr>
          </w:p>
        </w:tc>
        <w:tc>
          <w:tcPr>
            <w:tcW w:w="1896" w:type="dxa"/>
            <w:vAlign w:val="center"/>
          </w:tcPr>
          <w:p w14:paraId="73DCDBF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喷漆废气</w:t>
            </w:r>
          </w:p>
        </w:tc>
        <w:tc>
          <w:tcPr>
            <w:tcW w:w="4147" w:type="dxa"/>
            <w:vAlign w:val="center"/>
          </w:tcPr>
          <w:p w14:paraId="62687DD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干式漆雾过滤器+活性炭吸附+</w:t>
            </w:r>
          </w:p>
          <w:p w14:paraId="0AC897CF">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催化燃烧处理装置+</w:t>
            </w:r>
            <w:r>
              <w:rPr>
                <w:rFonts w:hint="eastAsia" w:ascii="Times New Roman" w:hAnsi="Times New Roman" w:eastAsia="宋体" w:cs="Times New Roman"/>
                <w:color w:val="auto"/>
                <w:szCs w:val="21"/>
                <w:u w:val="none" w:color="auto"/>
                <w:lang w:eastAsia="zh-CN"/>
              </w:rPr>
              <w:t>30m</w:t>
            </w:r>
            <w:r>
              <w:rPr>
                <w:rFonts w:hint="eastAsia" w:ascii="Times New Roman" w:hAnsi="Times New Roman" w:eastAsia="宋体" w:cs="Times New Roman"/>
                <w:color w:val="auto"/>
                <w:szCs w:val="21"/>
                <w:u w:val="none" w:color="auto"/>
                <w:lang w:val="en-US" w:eastAsia="zh-CN"/>
              </w:rPr>
              <w:t>DA002</w:t>
            </w:r>
            <w:r>
              <w:rPr>
                <w:rFonts w:ascii="Times New Roman" w:hAnsi="Times New Roman" w:eastAsia="宋体" w:cs="Times New Roman"/>
                <w:color w:val="auto"/>
                <w:szCs w:val="21"/>
                <w:u w:val="none" w:color="auto"/>
              </w:rPr>
              <w:t>排气筒</w:t>
            </w:r>
          </w:p>
        </w:tc>
        <w:tc>
          <w:tcPr>
            <w:tcW w:w="861" w:type="dxa"/>
            <w:vAlign w:val="center"/>
          </w:tcPr>
          <w:p w14:paraId="40C818CF">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200</w:t>
            </w:r>
          </w:p>
        </w:tc>
      </w:tr>
      <w:tr w14:paraId="38398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22" w:type="dxa"/>
            <w:vMerge w:val="continue"/>
            <w:vAlign w:val="center"/>
          </w:tcPr>
          <w:p w14:paraId="13D7453C">
            <w:pPr>
              <w:jc w:val="center"/>
              <w:rPr>
                <w:color w:val="auto"/>
                <w:u w:val="none" w:color="auto"/>
              </w:rPr>
            </w:pPr>
          </w:p>
        </w:tc>
        <w:tc>
          <w:tcPr>
            <w:tcW w:w="1114" w:type="dxa"/>
            <w:vMerge w:val="continue"/>
            <w:vAlign w:val="center"/>
          </w:tcPr>
          <w:p w14:paraId="7830930C">
            <w:pPr>
              <w:jc w:val="center"/>
              <w:rPr>
                <w:color w:val="auto"/>
                <w:u w:val="none" w:color="auto"/>
              </w:rPr>
            </w:pPr>
          </w:p>
        </w:tc>
        <w:tc>
          <w:tcPr>
            <w:tcW w:w="1896" w:type="dxa"/>
            <w:vAlign w:val="center"/>
          </w:tcPr>
          <w:p w14:paraId="1B6ED1EC">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危废暂存间废气</w:t>
            </w:r>
          </w:p>
        </w:tc>
        <w:tc>
          <w:tcPr>
            <w:tcW w:w="4147" w:type="dxa"/>
            <w:vAlign w:val="center"/>
          </w:tcPr>
          <w:p w14:paraId="1AF69CED">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两级</w:t>
            </w:r>
            <w:r>
              <w:rPr>
                <w:rFonts w:ascii="Times New Roman" w:hAnsi="Times New Roman" w:eastAsia="宋体" w:cs="Times New Roman"/>
                <w:color w:val="auto"/>
                <w:szCs w:val="21"/>
                <w:u w:val="none" w:color="auto"/>
              </w:rPr>
              <w:t>活性炭</w:t>
            </w:r>
          </w:p>
        </w:tc>
        <w:tc>
          <w:tcPr>
            <w:tcW w:w="861" w:type="dxa"/>
            <w:vAlign w:val="center"/>
          </w:tcPr>
          <w:p w14:paraId="7C2E2514">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lang w:val="en-US" w:eastAsia="zh-CN"/>
              </w:rPr>
              <w:t>20</w:t>
            </w:r>
          </w:p>
        </w:tc>
      </w:tr>
      <w:tr w14:paraId="7B724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422" w:type="dxa"/>
            <w:vMerge w:val="continue"/>
            <w:vAlign w:val="center"/>
          </w:tcPr>
          <w:p w14:paraId="6FFBA276">
            <w:pPr>
              <w:jc w:val="center"/>
              <w:rPr>
                <w:rFonts w:ascii="Times New Roman" w:hAnsi="Times New Roman" w:eastAsia="宋体" w:cs="Times New Roman"/>
                <w:color w:val="auto"/>
                <w:szCs w:val="21"/>
                <w:u w:val="none" w:color="auto"/>
              </w:rPr>
            </w:pPr>
          </w:p>
        </w:tc>
        <w:tc>
          <w:tcPr>
            <w:tcW w:w="1114" w:type="dxa"/>
            <w:vMerge w:val="continue"/>
            <w:vAlign w:val="center"/>
          </w:tcPr>
          <w:p w14:paraId="5139E9B3">
            <w:pPr>
              <w:jc w:val="center"/>
              <w:rPr>
                <w:rFonts w:ascii="Times New Roman" w:hAnsi="Times New Roman" w:eastAsia="宋体" w:cs="Times New Roman"/>
                <w:color w:val="auto"/>
                <w:szCs w:val="21"/>
                <w:u w:val="none" w:color="auto"/>
              </w:rPr>
            </w:pPr>
          </w:p>
        </w:tc>
        <w:tc>
          <w:tcPr>
            <w:tcW w:w="1896" w:type="dxa"/>
            <w:vAlign w:val="center"/>
          </w:tcPr>
          <w:p w14:paraId="77F4ACF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切割粉尘、焊接烟尘</w:t>
            </w:r>
          </w:p>
        </w:tc>
        <w:tc>
          <w:tcPr>
            <w:tcW w:w="4147" w:type="dxa"/>
            <w:vAlign w:val="center"/>
          </w:tcPr>
          <w:p w14:paraId="3142B05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移动式除尘净化器</w:t>
            </w:r>
            <w:r>
              <w:rPr>
                <w:rFonts w:hint="eastAsia" w:ascii="Times New Roman" w:hAnsi="Times New Roman" w:eastAsia="宋体" w:cs="Times New Roman"/>
                <w:color w:val="auto"/>
                <w:szCs w:val="21"/>
                <w:u w:val="none" w:color="auto"/>
              </w:rPr>
              <w:t>、</w:t>
            </w:r>
            <w:r>
              <w:rPr>
                <w:rFonts w:ascii="Times New Roman" w:hAnsi="Times New Roman" w:eastAsia="宋体" w:cs="Times New Roman"/>
                <w:color w:val="auto"/>
                <w:szCs w:val="21"/>
                <w:u w:val="none" w:color="auto"/>
              </w:rPr>
              <w:t>移动式</w:t>
            </w:r>
            <w:r>
              <w:rPr>
                <w:rFonts w:hint="eastAsia" w:ascii="Times New Roman" w:hAnsi="Times New Roman" w:eastAsia="宋体" w:cs="Times New Roman"/>
                <w:color w:val="auto"/>
                <w:szCs w:val="21"/>
                <w:u w:val="none" w:color="auto"/>
              </w:rPr>
              <w:t>烟尘</w:t>
            </w:r>
            <w:r>
              <w:rPr>
                <w:rFonts w:ascii="Times New Roman" w:hAnsi="Times New Roman" w:eastAsia="宋体" w:cs="Times New Roman"/>
                <w:color w:val="auto"/>
                <w:szCs w:val="21"/>
                <w:u w:val="none" w:color="auto"/>
              </w:rPr>
              <w:t>净化器</w:t>
            </w:r>
          </w:p>
        </w:tc>
        <w:tc>
          <w:tcPr>
            <w:tcW w:w="861" w:type="dxa"/>
            <w:vAlign w:val="center"/>
          </w:tcPr>
          <w:p w14:paraId="1CA90B6F">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val="en-US" w:eastAsia="zh-CN"/>
              </w:rPr>
              <w:t>8</w:t>
            </w:r>
            <w:r>
              <w:rPr>
                <w:rFonts w:hint="eastAsia" w:ascii="Times New Roman" w:hAnsi="Times New Roman" w:eastAsia="宋体" w:cs="Times New Roman"/>
                <w:color w:val="auto"/>
                <w:szCs w:val="21"/>
                <w:u w:val="none" w:color="auto"/>
              </w:rPr>
              <w:t>0</w:t>
            </w:r>
          </w:p>
        </w:tc>
      </w:tr>
      <w:tr w14:paraId="2BFF4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2" w:type="dxa"/>
            <w:vMerge w:val="restart"/>
            <w:vAlign w:val="center"/>
          </w:tcPr>
          <w:p w14:paraId="2469F1B7">
            <w:pPr>
              <w:numPr>
                <w:ilvl w:val="0"/>
                <w:numId w:val="17"/>
              </w:numPr>
              <w:ind w:left="0" w:firstLine="0"/>
              <w:jc w:val="center"/>
              <w:rPr>
                <w:rFonts w:ascii="Times New Roman" w:hAnsi="Times New Roman" w:eastAsia="宋体" w:cs="Times New Roman"/>
                <w:color w:val="auto"/>
                <w:szCs w:val="21"/>
                <w:u w:val="none" w:color="auto"/>
              </w:rPr>
            </w:pPr>
          </w:p>
        </w:tc>
        <w:tc>
          <w:tcPr>
            <w:tcW w:w="1114" w:type="dxa"/>
            <w:vMerge w:val="restart"/>
            <w:vAlign w:val="center"/>
          </w:tcPr>
          <w:p w14:paraId="32D80FE9">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废水</w:t>
            </w:r>
          </w:p>
        </w:tc>
        <w:tc>
          <w:tcPr>
            <w:tcW w:w="1896" w:type="dxa"/>
            <w:vAlign w:val="center"/>
          </w:tcPr>
          <w:p w14:paraId="62CCD96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生活污水</w:t>
            </w:r>
          </w:p>
        </w:tc>
        <w:tc>
          <w:tcPr>
            <w:tcW w:w="4147" w:type="dxa"/>
            <w:vAlign w:val="center"/>
          </w:tcPr>
          <w:p w14:paraId="13FE07B2">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化粪池</w:t>
            </w:r>
          </w:p>
        </w:tc>
        <w:tc>
          <w:tcPr>
            <w:tcW w:w="861" w:type="dxa"/>
            <w:vAlign w:val="center"/>
          </w:tcPr>
          <w:p w14:paraId="3487D86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5</w:t>
            </w:r>
          </w:p>
        </w:tc>
      </w:tr>
      <w:tr w14:paraId="7C54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2" w:type="dxa"/>
            <w:vMerge w:val="continue"/>
            <w:vAlign w:val="center"/>
          </w:tcPr>
          <w:p w14:paraId="53C50F93">
            <w:pPr>
              <w:jc w:val="center"/>
              <w:rPr>
                <w:rFonts w:ascii="Times New Roman" w:hAnsi="Times New Roman" w:eastAsia="宋体" w:cs="Times New Roman"/>
                <w:color w:val="auto"/>
                <w:szCs w:val="21"/>
                <w:u w:val="none" w:color="auto"/>
              </w:rPr>
            </w:pPr>
          </w:p>
        </w:tc>
        <w:tc>
          <w:tcPr>
            <w:tcW w:w="1114" w:type="dxa"/>
            <w:vMerge w:val="continue"/>
            <w:vAlign w:val="center"/>
          </w:tcPr>
          <w:p w14:paraId="225919B2">
            <w:pPr>
              <w:jc w:val="center"/>
              <w:rPr>
                <w:rFonts w:ascii="Times New Roman" w:hAnsi="Times New Roman" w:eastAsia="宋体" w:cs="Times New Roman"/>
                <w:color w:val="auto"/>
                <w:szCs w:val="21"/>
                <w:u w:val="none" w:color="auto"/>
              </w:rPr>
            </w:pPr>
          </w:p>
        </w:tc>
        <w:tc>
          <w:tcPr>
            <w:tcW w:w="1896" w:type="dxa"/>
            <w:vAlign w:val="center"/>
          </w:tcPr>
          <w:p w14:paraId="356FAB6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事故污水</w:t>
            </w:r>
          </w:p>
        </w:tc>
        <w:tc>
          <w:tcPr>
            <w:tcW w:w="4147" w:type="dxa"/>
            <w:vAlign w:val="center"/>
          </w:tcPr>
          <w:p w14:paraId="6451B383">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应急池</w:t>
            </w:r>
          </w:p>
        </w:tc>
        <w:tc>
          <w:tcPr>
            <w:tcW w:w="861" w:type="dxa"/>
            <w:vAlign w:val="center"/>
          </w:tcPr>
          <w:p w14:paraId="460BCE53">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10</w:t>
            </w:r>
          </w:p>
        </w:tc>
      </w:tr>
      <w:tr w14:paraId="22136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2" w:type="dxa"/>
            <w:vMerge w:val="continue"/>
            <w:vAlign w:val="center"/>
          </w:tcPr>
          <w:p w14:paraId="2950D6F5">
            <w:pPr>
              <w:jc w:val="center"/>
              <w:rPr>
                <w:rFonts w:ascii="Times New Roman" w:hAnsi="Times New Roman" w:eastAsia="宋体" w:cs="Times New Roman"/>
                <w:color w:val="auto"/>
                <w:szCs w:val="21"/>
                <w:u w:val="none" w:color="auto"/>
              </w:rPr>
            </w:pPr>
          </w:p>
        </w:tc>
        <w:tc>
          <w:tcPr>
            <w:tcW w:w="1114" w:type="dxa"/>
            <w:vMerge w:val="continue"/>
            <w:vAlign w:val="center"/>
          </w:tcPr>
          <w:p w14:paraId="5C759340">
            <w:pPr>
              <w:jc w:val="center"/>
              <w:rPr>
                <w:rFonts w:ascii="Times New Roman" w:hAnsi="Times New Roman" w:eastAsia="宋体" w:cs="Times New Roman"/>
                <w:color w:val="auto"/>
                <w:szCs w:val="21"/>
                <w:u w:val="none" w:color="auto"/>
              </w:rPr>
            </w:pPr>
          </w:p>
        </w:tc>
        <w:tc>
          <w:tcPr>
            <w:tcW w:w="1896" w:type="dxa"/>
            <w:vAlign w:val="center"/>
          </w:tcPr>
          <w:p w14:paraId="683FBB6B">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初期雨水</w:t>
            </w:r>
          </w:p>
        </w:tc>
        <w:tc>
          <w:tcPr>
            <w:tcW w:w="4147" w:type="dxa"/>
            <w:vAlign w:val="center"/>
          </w:tcPr>
          <w:p w14:paraId="208C2E9C">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初期雨水池</w:t>
            </w:r>
          </w:p>
        </w:tc>
        <w:tc>
          <w:tcPr>
            <w:tcW w:w="861" w:type="dxa"/>
            <w:vAlign w:val="center"/>
          </w:tcPr>
          <w:p w14:paraId="3A4636CC">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15</w:t>
            </w:r>
          </w:p>
        </w:tc>
      </w:tr>
      <w:tr w14:paraId="43C75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22" w:type="dxa"/>
            <w:vAlign w:val="center"/>
          </w:tcPr>
          <w:p w14:paraId="4929113F">
            <w:pPr>
              <w:numPr>
                <w:ilvl w:val="0"/>
                <w:numId w:val="17"/>
              </w:numPr>
              <w:ind w:left="0" w:firstLine="0"/>
              <w:jc w:val="center"/>
              <w:rPr>
                <w:color w:val="auto"/>
                <w:u w:val="none" w:color="auto"/>
              </w:rPr>
            </w:pPr>
          </w:p>
        </w:tc>
        <w:tc>
          <w:tcPr>
            <w:tcW w:w="1114" w:type="dxa"/>
            <w:vAlign w:val="center"/>
          </w:tcPr>
          <w:p w14:paraId="03D3E21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地下水</w:t>
            </w:r>
          </w:p>
        </w:tc>
        <w:tc>
          <w:tcPr>
            <w:tcW w:w="1896" w:type="dxa"/>
            <w:vAlign w:val="center"/>
          </w:tcPr>
          <w:p w14:paraId="174D7AA0">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地下水</w:t>
            </w:r>
          </w:p>
        </w:tc>
        <w:tc>
          <w:tcPr>
            <w:tcW w:w="4147" w:type="dxa"/>
            <w:vAlign w:val="center"/>
          </w:tcPr>
          <w:p w14:paraId="6AF16623">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分区防渗</w:t>
            </w:r>
          </w:p>
        </w:tc>
        <w:tc>
          <w:tcPr>
            <w:tcW w:w="861" w:type="dxa"/>
            <w:vAlign w:val="center"/>
          </w:tcPr>
          <w:p w14:paraId="53B3ECF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15</w:t>
            </w:r>
          </w:p>
        </w:tc>
      </w:tr>
      <w:tr w14:paraId="42807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22" w:type="dxa"/>
            <w:vAlign w:val="center"/>
          </w:tcPr>
          <w:p w14:paraId="5BC10F76">
            <w:pPr>
              <w:numPr>
                <w:ilvl w:val="0"/>
                <w:numId w:val="17"/>
              </w:numPr>
              <w:ind w:left="0" w:firstLine="0"/>
              <w:jc w:val="center"/>
              <w:rPr>
                <w:rFonts w:ascii="Times New Roman" w:hAnsi="Times New Roman" w:eastAsia="宋体" w:cs="Times New Roman"/>
                <w:color w:val="auto"/>
                <w:szCs w:val="21"/>
                <w:u w:val="none" w:color="auto"/>
              </w:rPr>
            </w:pPr>
          </w:p>
        </w:tc>
        <w:tc>
          <w:tcPr>
            <w:tcW w:w="1114" w:type="dxa"/>
            <w:vAlign w:val="center"/>
          </w:tcPr>
          <w:p w14:paraId="06758C08">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噪声</w:t>
            </w:r>
          </w:p>
        </w:tc>
        <w:tc>
          <w:tcPr>
            <w:tcW w:w="1896" w:type="dxa"/>
            <w:vAlign w:val="center"/>
          </w:tcPr>
          <w:p w14:paraId="254D5E94">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机械设备</w:t>
            </w:r>
          </w:p>
        </w:tc>
        <w:tc>
          <w:tcPr>
            <w:tcW w:w="4147" w:type="dxa"/>
            <w:vAlign w:val="center"/>
          </w:tcPr>
          <w:p w14:paraId="0D765598">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kern w:val="0"/>
                <w:szCs w:val="21"/>
                <w:u w:val="none" w:color="auto"/>
              </w:rPr>
              <w:t>设备隔声、消声、减振等</w:t>
            </w:r>
          </w:p>
        </w:tc>
        <w:tc>
          <w:tcPr>
            <w:tcW w:w="861" w:type="dxa"/>
            <w:vAlign w:val="center"/>
          </w:tcPr>
          <w:p w14:paraId="34E3FD02">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50</w:t>
            </w:r>
          </w:p>
        </w:tc>
      </w:tr>
      <w:tr w14:paraId="31F8C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422" w:type="dxa"/>
            <w:vMerge w:val="restart"/>
            <w:vAlign w:val="center"/>
          </w:tcPr>
          <w:p w14:paraId="0D2C52B3">
            <w:pPr>
              <w:numPr>
                <w:ilvl w:val="0"/>
                <w:numId w:val="17"/>
              </w:numPr>
              <w:ind w:left="0" w:firstLine="0"/>
              <w:jc w:val="center"/>
              <w:rPr>
                <w:rFonts w:ascii="Times New Roman" w:hAnsi="Times New Roman" w:eastAsia="宋体" w:cs="Times New Roman"/>
                <w:color w:val="auto"/>
                <w:szCs w:val="21"/>
                <w:u w:val="none" w:color="auto"/>
              </w:rPr>
            </w:pPr>
          </w:p>
        </w:tc>
        <w:tc>
          <w:tcPr>
            <w:tcW w:w="1114" w:type="dxa"/>
            <w:vMerge w:val="restart"/>
            <w:vAlign w:val="center"/>
          </w:tcPr>
          <w:p w14:paraId="5BABF20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固体废物</w:t>
            </w:r>
          </w:p>
        </w:tc>
        <w:tc>
          <w:tcPr>
            <w:tcW w:w="1896" w:type="dxa"/>
            <w:vAlign w:val="center"/>
          </w:tcPr>
          <w:p w14:paraId="400161E2">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一般工业固废</w:t>
            </w:r>
          </w:p>
        </w:tc>
        <w:tc>
          <w:tcPr>
            <w:tcW w:w="4147" w:type="dxa"/>
            <w:vAlign w:val="center"/>
          </w:tcPr>
          <w:p w14:paraId="4165735C">
            <w:pPr>
              <w:jc w:val="center"/>
              <w:rPr>
                <w:rFonts w:hint="default" w:ascii="Times New Roman" w:hAnsi="Times New Roman" w:cs="Times New Roman" w:eastAsiaTheme="minorEastAsia"/>
                <w:color w:val="auto"/>
                <w:szCs w:val="21"/>
                <w:u w:val="single" w:color="auto"/>
                <w:lang w:eastAsia="zh-CN"/>
              </w:rPr>
            </w:pPr>
            <w:r>
              <w:rPr>
                <w:rFonts w:hint="default" w:ascii="Times New Roman" w:hAnsi="Times New Roman" w:eastAsia="宋体" w:cs="Times New Roman"/>
                <w:color w:val="auto"/>
                <w:szCs w:val="21"/>
                <w:u w:val="single" w:color="auto"/>
              </w:rPr>
              <w:t>一般工业固废废物暂存间</w:t>
            </w:r>
            <w:r>
              <w:rPr>
                <w:rFonts w:hint="default" w:ascii="Times New Roman" w:hAnsi="Times New Roman" w:cs="Times New Roman"/>
                <w:color w:val="auto"/>
                <w:u w:val="single" w:color="auto"/>
                <w:lang w:eastAsia="zh-CN"/>
              </w:rPr>
              <w:t>（</w:t>
            </w:r>
            <w:r>
              <w:rPr>
                <w:rFonts w:hint="default" w:ascii="Times New Roman" w:hAnsi="Times New Roman" w:cs="Times New Roman"/>
                <w:color w:val="auto"/>
                <w:u w:val="single" w:color="auto"/>
                <w:lang w:val="en-US" w:eastAsia="zh-CN"/>
              </w:rPr>
              <w:t>100m</w:t>
            </w:r>
            <w:r>
              <w:rPr>
                <w:rFonts w:hint="default" w:ascii="Times New Roman" w:hAnsi="Times New Roman" w:cs="Times New Roman"/>
                <w:color w:val="auto"/>
                <w:u w:val="single" w:color="auto"/>
                <w:vertAlign w:val="superscript"/>
                <w:lang w:val="en-US" w:eastAsia="zh-CN"/>
              </w:rPr>
              <w:t>2</w:t>
            </w:r>
            <w:r>
              <w:rPr>
                <w:rFonts w:hint="default" w:ascii="Times New Roman" w:hAnsi="Times New Roman" w:cs="Times New Roman"/>
                <w:color w:val="auto"/>
                <w:u w:val="single" w:color="auto"/>
                <w:lang w:eastAsia="zh-CN"/>
              </w:rPr>
              <w:t>）</w:t>
            </w:r>
          </w:p>
        </w:tc>
        <w:tc>
          <w:tcPr>
            <w:tcW w:w="861" w:type="dxa"/>
            <w:vAlign w:val="center"/>
          </w:tcPr>
          <w:p w14:paraId="73572E74">
            <w:pPr>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szCs w:val="21"/>
                <w:u w:val="single" w:color="auto"/>
                <w:lang w:val="en-US" w:eastAsia="zh-CN"/>
              </w:rPr>
              <w:t>5</w:t>
            </w:r>
          </w:p>
        </w:tc>
      </w:tr>
      <w:tr w14:paraId="747F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22" w:type="dxa"/>
            <w:vMerge w:val="continue"/>
            <w:vAlign w:val="center"/>
          </w:tcPr>
          <w:p w14:paraId="55A07619">
            <w:pPr>
              <w:jc w:val="center"/>
              <w:rPr>
                <w:color w:val="auto"/>
                <w:u w:val="none" w:color="auto"/>
              </w:rPr>
            </w:pPr>
          </w:p>
        </w:tc>
        <w:tc>
          <w:tcPr>
            <w:tcW w:w="1114" w:type="dxa"/>
            <w:vMerge w:val="continue"/>
            <w:vAlign w:val="center"/>
          </w:tcPr>
          <w:p w14:paraId="31752464">
            <w:pPr>
              <w:jc w:val="center"/>
              <w:rPr>
                <w:color w:val="auto"/>
                <w:u w:val="none" w:color="auto"/>
              </w:rPr>
            </w:pPr>
          </w:p>
        </w:tc>
        <w:tc>
          <w:tcPr>
            <w:tcW w:w="1896" w:type="dxa"/>
            <w:vAlign w:val="center"/>
          </w:tcPr>
          <w:p w14:paraId="2EB8B40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危险废物</w:t>
            </w:r>
          </w:p>
        </w:tc>
        <w:tc>
          <w:tcPr>
            <w:tcW w:w="4147" w:type="dxa"/>
            <w:vAlign w:val="center"/>
          </w:tcPr>
          <w:p w14:paraId="2890A51E">
            <w:pPr>
              <w:jc w:val="center"/>
              <w:rPr>
                <w:rFonts w:hint="default" w:ascii="Times New Roman" w:hAnsi="Times New Roman" w:cs="Times New Roman" w:eastAsiaTheme="minorEastAsia"/>
                <w:color w:val="auto"/>
                <w:szCs w:val="21"/>
                <w:u w:val="single" w:color="auto"/>
                <w:lang w:val="en-US" w:eastAsia="zh-CN"/>
              </w:rPr>
            </w:pPr>
            <w:r>
              <w:rPr>
                <w:rFonts w:hint="default" w:ascii="Times New Roman" w:hAnsi="Times New Roman" w:eastAsia="宋体" w:cs="Times New Roman"/>
                <w:color w:val="auto"/>
                <w:kern w:val="0"/>
                <w:szCs w:val="21"/>
                <w:u w:val="single" w:color="auto"/>
              </w:rPr>
              <w:t>危废暂存间</w:t>
            </w:r>
            <w:r>
              <w:rPr>
                <w:rFonts w:hint="default" w:ascii="Times New Roman" w:hAnsi="Times New Roman" w:cs="Times New Roman"/>
                <w:color w:val="auto"/>
                <w:u w:val="single" w:color="auto"/>
                <w:lang w:val="en-US" w:eastAsia="zh-CN"/>
              </w:rPr>
              <w:t>(200m</w:t>
            </w:r>
            <w:r>
              <w:rPr>
                <w:rFonts w:hint="default" w:ascii="Times New Roman" w:hAnsi="Times New Roman" w:cs="Times New Roman"/>
                <w:color w:val="auto"/>
                <w:u w:val="single" w:color="auto"/>
                <w:vertAlign w:val="superscript"/>
                <w:lang w:val="en-US" w:eastAsia="zh-CN"/>
              </w:rPr>
              <w:t>2</w:t>
            </w:r>
            <w:r>
              <w:rPr>
                <w:rFonts w:hint="default" w:ascii="Times New Roman" w:hAnsi="Times New Roman" w:cs="Times New Roman"/>
                <w:color w:val="auto"/>
                <w:u w:val="single" w:color="auto"/>
                <w:lang w:val="en-US" w:eastAsia="zh-CN"/>
              </w:rPr>
              <w:t>)</w:t>
            </w:r>
          </w:p>
        </w:tc>
        <w:tc>
          <w:tcPr>
            <w:tcW w:w="861" w:type="dxa"/>
            <w:vAlign w:val="center"/>
          </w:tcPr>
          <w:p w14:paraId="3B460D80">
            <w:pPr>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10</w:t>
            </w:r>
          </w:p>
        </w:tc>
      </w:tr>
      <w:tr w14:paraId="2AF0D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22" w:type="dxa"/>
            <w:vMerge w:val="continue"/>
            <w:vAlign w:val="center"/>
          </w:tcPr>
          <w:p w14:paraId="4E39B80F">
            <w:pPr>
              <w:jc w:val="center"/>
              <w:rPr>
                <w:color w:val="auto"/>
                <w:u w:val="none" w:color="auto"/>
              </w:rPr>
            </w:pPr>
          </w:p>
        </w:tc>
        <w:tc>
          <w:tcPr>
            <w:tcW w:w="1114" w:type="dxa"/>
            <w:vMerge w:val="continue"/>
            <w:vAlign w:val="center"/>
          </w:tcPr>
          <w:p w14:paraId="1C0A04B6">
            <w:pPr>
              <w:jc w:val="center"/>
              <w:rPr>
                <w:color w:val="auto"/>
                <w:u w:val="none" w:color="auto"/>
              </w:rPr>
            </w:pPr>
          </w:p>
        </w:tc>
        <w:tc>
          <w:tcPr>
            <w:tcW w:w="1896" w:type="dxa"/>
            <w:vAlign w:val="center"/>
          </w:tcPr>
          <w:p w14:paraId="592B39F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生活垃圾</w:t>
            </w:r>
          </w:p>
        </w:tc>
        <w:tc>
          <w:tcPr>
            <w:tcW w:w="4147" w:type="dxa"/>
            <w:vAlign w:val="center"/>
          </w:tcPr>
          <w:p w14:paraId="29025F25">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生活垃圾收集桶</w:t>
            </w:r>
          </w:p>
        </w:tc>
        <w:tc>
          <w:tcPr>
            <w:tcW w:w="861" w:type="dxa"/>
            <w:vAlign w:val="center"/>
          </w:tcPr>
          <w:p w14:paraId="7C34F0FF">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5</w:t>
            </w:r>
          </w:p>
        </w:tc>
      </w:tr>
      <w:tr w14:paraId="27B70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579" w:type="dxa"/>
            <w:gridSpan w:val="4"/>
            <w:vAlign w:val="center"/>
          </w:tcPr>
          <w:p w14:paraId="2E64599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小计</w:t>
            </w:r>
          </w:p>
        </w:tc>
        <w:tc>
          <w:tcPr>
            <w:tcW w:w="861" w:type="dxa"/>
            <w:vAlign w:val="center"/>
          </w:tcPr>
          <w:p w14:paraId="6F824635">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5</w:t>
            </w:r>
            <w:r>
              <w:rPr>
                <w:rFonts w:hint="eastAsia" w:ascii="Times New Roman" w:hAnsi="Times New Roman" w:eastAsia="宋体" w:cs="Times New Roman"/>
                <w:color w:val="auto"/>
                <w:szCs w:val="21"/>
                <w:u w:val="none" w:color="auto"/>
                <w:lang w:val="en-US" w:eastAsia="zh-CN"/>
              </w:rPr>
              <w:t>2</w:t>
            </w:r>
            <w:r>
              <w:rPr>
                <w:rFonts w:hint="eastAsia" w:ascii="Times New Roman" w:hAnsi="Times New Roman" w:eastAsia="宋体" w:cs="Times New Roman"/>
                <w:color w:val="auto"/>
                <w:szCs w:val="21"/>
                <w:u w:val="none" w:color="auto"/>
              </w:rPr>
              <w:t>0</w:t>
            </w:r>
          </w:p>
        </w:tc>
      </w:tr>
    </w:tbl>
    <w:p w14:paraId="7854AD25">
      <w:pPr>
        <w:autoSpaceDE w:val="0"/>
        <w:autoSpaceDN w:val="0"/>
        <w:adjustRightInd w:val="0"/>
        <w:spacing w:line="360" w:lineRule="auto"/>
        <w:ind w:left="105" w:leftChars="50"/>
        <w:jc w:val="left"/>
        <w:outlineLvl w:val="1"/>
        <w:rPr>
          <w:rFonts w:ascii="Times New Roman" w:hAnsi="Times New Roman" w:eastAsia="宋体" w:cs="Times New Roman"/>
          <w:b/>
          <w:bCs/>
          <w:color w:val="auto"/>
          <w:kern w:val="0"/>
          <w:sz w:val="32"/>
          <w:szCs w:val="24"/>
          <w:u w:val="none" w:color="auto"/>
        </w:rPr>
      </w:pPr>
      <w:bookmarkStart w:id="281" w:name="_Toc27442"/>
      <w:r>
        <w:rPr>
          <w:rFonts w:ascii="Times New Roman" w:hAnsi="Times New Roman" w:eastAsia="宋体" w:cs="Times New Roman"/>
          <w:b/>
          <w:bCs/>
          <w:color w:val="auto"/>
          <w:kern w:val="0"/>
          <w:sz w:val="32"/>
          <w:szCs w:val="24"/>
          <w:u w:val="none" w:color="auto"/>
        </w:rPr>
        <w:t>6.3环境影响经济损益分析</w:t>
      </w:r>
      <w:bookmarkEnd w:id="278"/>
      <w:bookmarkEnd w:id="279"/>
      <w:bookmarkEnd w:id="280"/>
      <w:bookmarkEnd w:id="281"/>
    </w:p>
    <w:p w14:paraId="5D8FCB4F">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ascii="Times New Roman" w:hAnsi="Times New Roman" w:eastAsia="宋体" w:cs="Times New Roman"/>
          <w:b/>
          <w:color w:val="auto"/>
          <w:kern w:val="0"/>
          <w:sz w:val="28"/>
          <w:szCs w:val="20"/>
          <w:u w:val="none" w:color="auto"/>
        </w:rPr>
        <w:t>6.3.1环境保护成本</w:t>
      </w:r>
    </w:p>
    <w:p w14:paraId="509B377D">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环境保护成本包括环保设备折旧费、运行费和管理成本。</w:t>
      </w:r>
    </w:p>
    <w:p w14:paraId="2E8BA91D">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（1）环保设施折旧费</w:t>
      </w:r>
    </w:p>
    <w:p w14:paraId="7C89DB1F">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本项目运营期环保设施投资</w:t>
      </w:r>
      <w:r>
        <w:rPr>
          <w:rFonts w:hint="eastAsia" w:ascii="Times New Roman" w:hAnsi="Times New Roman" w:eastAsia="宋体" w:cs="Times New Roman"/>
          <w:color w:val="auto"/>
          <w:spacing w:val="-2"/>
          <w:kern w:val="0"/>
          <w:sz w:val="24"/>
          <w:szCs w:val="24"/>
          <w:u w:val="none" w:color="auto"/>
        </w:rPr>
        <w:t>5</w:t>
      </w:r>
      <w:r>
        <w:rPr>
          <w:rFonts w:hint="eastAsia" w:ascii="Times New Roman" w:hAnsi="Times New Roman" w:eastAsia="宋体" w:cs="Times New Roman"/>
          <w:color w:val="auto"/>
          <w:spacing w:val="-2"/>
          <w:kern w:val="0"/>
          <w:sz w:val="24"/>
          <w:szCs w:val="24"/>
          <w:u w:val="none" w:color="auto"/>
          <w:lang w:val="en-US" w:eastAsia="zh-CN"/>
        </w:rPr>
        <w:t>20</w:t>
      </w:r>
      <w:r>
        <w:rPr>
          <w:rFonts w:ascii="Times New Roman" w:hAnsi="Times New Roman" w:eastAsia="宋体" w:cs="Times New Roman"/>
          <w:color w:val="auto"/>
          <w:spacing w:val="-2"/>
          <w:kern w:val="0"/>
          <w:sz w:val="24"/>
          <w:szCs w:val="24"/>
          <w:u w:val="none" w:color="auto"/>
        </w:rPr>
        <w:t>万元，设备折旧按</w:t>
      </w:r>
      <w:r>
        <w:rPr>
          <w:rFonts w:hint="eastAsia" w:ascii="Times New Roman" w:hAnsi="Times New Roman" w:eastAsia="宋体" w:cs="Times New Roman"/>
          <w:color w:val="auto"/>
          <w:spacing w:val="-2"/>
          <w:kern w:val="0"/>
          <w:sz w:val="24"/>
          <w:szCs w:val="24"/>
          <w:u w:val="none" w:color="auto"/>
        </w:rPr>
        <w:t>10</w:t>
      </w:r>
      <w:r>
        <w:rPr>
          <w:rFonts w:ascii="Times New Roman" w:hAnsi="Times New Roman" w:eastAsia="宋体" w:cs="Times New Roman"/>
          <w:color w:val="auto"/>
          <w:spacing w:val="-2"/>
          <w:kern w:val="0"/>
          <w:sz w:val="24"/>
          <w:szCs w:val="24"/>
          <w:u w:val="none" w:color="auto"/>
        </w:rPr>
        <w:t>%计，故环保设施折旧费为</w:t>
      </w:r>
      <w:r>
        <w:rPr>
          <w:rFonts w:hint="eastAsia" w:ascii="Times New Roman" w:hAnsi="Times New Roman" w:eastAsia="宋体" w:cs="Times New Roman"/>
          <w:color w:val="auto"/>
          <w:spacing w:val="-2"/>
          <w:kern w:val="0"/>
          <w:sz w:val="24"/>
          <w:szCs w:val="24"/>
          <w:u w:val="none" w:color="auto"/>
        </w:rPr>
        <w:t>5</w:t>
      </w:r>
      <w:r>
        <w:rPr>
          <w:rFonts w:hint="eastAsia" w:ascii="Times New Roman" w:hAnsi="Times New Roman" w:eastAsia="宋体" w:cs="Times New Roman"/>
          <w:color w:val="auto"/>
          <w:spacing w:val="-2"/>
          <w:kern w:val="0"/>
          <w:sz w:val="24"/>
          <w:szCs w:val="24"/>
          <w:u w:val="none" w:color="auto"/>
          <w:lang w:val="en-US" w:eastAsia="zh-CN"/>
        </w:rPr>
        <w:t>2</w:t>
      </w:r>
      <w:r>
        <w:rPr>
          <w:rFonts w:ascii="Times New Roman" w:hAnsi="Times New Roman" w:eastAsia="宋体" w:cs="Times New Roman"/>
          <w:color w:val="auto"/>
          <w:spacing w:val="-2"/>
          <w:kern w:val="0"/>
          <w:sz w:val="24"/>
          <w:szCs w:val="24"/>
          <w:u w:val="none" w:color="auto"/>
        </w:rPr>
        <w:t>万元/a。</w:t>
      </w:r>
    </w:p>
    <w:p w14:paraId="6C618D1F">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（2）“三废”处理成本</w:t>
      </w:r>
    </w:p>
    <w:p w14:paraId="195663B0">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“三废”处理成本按环保设施投资的10%计，则处理成本为</w:t>
      </w:r>
      <w:r>
        <w:rPr>
          <w:rFonts w:hint="eastAsia" w:ascii="Times New Roman" w:hAnsi="Times New Roman" w:eastAsia="宋体" w:cs="Times New Roman"/>
          <w:color w:val="auto"/>
          <w:spacing w:val="-2"/>
          <w:kern w:val="0"/>
          <w:sz w:val="24"/>
          <w:szCs w:val="24"/>
          <w:u w:val="none" w:color="auto"/>
        </w:rPr>
        <w:t>50</w:t>
      </w:r>
      <w:r>
        <w:rPr>
          <w:rFonts w:ascii="Times New Roman" w:hAnsi="Times New Roman" w:eastAsia="宋体" w:cs="Times New Roman"/>
          <w:color w:val="auto"/>
          <w:spacing w:val="-2"/>
          <w:kern w:val="0"/>
          <w:sz w:val="24"/>
          <w:szCs w:val="24"/>
          <w:u w:val="none" w:color="auto"/>
        </w:rPr>
        <w:t>万元。</w:t>
      </w:r>
    </w:p>
    <w:p w14:paraId="2150B374">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（3）环保设施维修</w:t>
      </w:r>
    </w:p>
    <w:p w14:paraId="7B6D281B">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环保设施维修费取运营期环保设施固定投资的2.0%，每年维修费约</w:t>
      </w:r>
      <w:r>
        <w:rPr>
          <w:rFonts w:hint="eastAsia" w:ascii="Times New Roman" w:hAnsi="Times New Roman" w:eastAsia="宋体" w:cs="Times New Roman"/>
          <w:color w:val="auto"/>
          <w:spacing w:val="-2"/>
          <w:kern w:val="0"/>
          <w:sz w:val="24"/>
          <w:szCs w:val="24"/>
          <w:u w:val="none" w:color="auto"/>
        </w:rPr>
        <w:t>10</w:t>
      </w:r>
      <w:r>
        <w:rPr>
          <w:rFonts w:ascii="Times New Roman" w:hAnsi="Times New Roman" w:eastAsia="宋体" w:cs="Times New Roman"/>
          <w:color w:val="auto"/>
          <w:spacing w:val="-2"/>
          <w:kern w:val="0"/>
          <w:sz w:val="24"/>
          <w:szCs w:val="24"/>
          <w:u w:val="none" w:color="auto"/>
        </w:rPr>
        <w:t>万元。</w:t>
      </w:r>
    </w:p>
    <w:p w14:paraId="544A9B7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（4）环保人员工资</w:t>
      </w:r>
    </w:p>
    <w:p w14:paraId="39DB67D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环保措施管理人员</w:t>
      </w:r>
      <w:r>
        <w:rPr>
          <w:rFonts w:hint="eastAsia" w:ascii="Times New Roman" w:hAnsi="Times New Roman" w:eastAsia="宋体" w:cs="Times New Roman"/>
          <w:color w:val="auto"/>
          <w:spacing w:val="-2"/>
          <w:kern w:val="0"/>
          <w:sz w:val="24"/>
          <w:szCs w:val="24"/>
          <w:u w:val="none" w:color="auto"/>
        </w:rPr>
        <w:t>2</w:t>
      </w:r>
      <w:r>
        <w:rPr>
          <w:rFonts w:ascii="Times New Roman" w:hAnsi="Times New Roman" w:eastAsia="宋体" w:cs="Times New Roman"/>
          <w:color w:val="auto"/>
          <w:spacing w:val="-2"/>
          <w:kern w:val="0"/>
          <w:sz w:val="24"/>
          <w:szCs w:val="24"/>
          <w:u w:val="none" w:color="auto"/>
        </w:rPr>
        <w:t>人，按生产人员工资及附加费</w:t>
      </w:r>
      <w:r>
        <w:rPr>
          <w:rFonts w:hint="eastAsia" w:ascii="Times New Roman" w:hAnsi="Times New Roman" w:eastAsia="宋体" w:cs="Times New Roman"/>
          <w:color w:val="auto"/>
          <w:spacing w:val="-2"/>
          <w:kern w:val="0"/>
          <w:sz w:val="24"/>
          <w:szCs w:val="24"/>
          <w:u w:val="none" w:color="auto"/>
        </w:rPr>
        <w:t>5</w:t>
      </w:r>
      <w:r>
        <w:rPr>
          <w:rFonts w:ascii="Times New Roman" w:hAnsi="Times New Roman" w:eastAsia="宋体" w:cs="Times New Roman"/>
          <w:color w:val="auto"/>
          <w:spacing w:val="-2"/>
          <w:kern w:val="0"/>
          <w:sz w:val="24"/>
          <w:szCs w:val="24"/>
          <w:u w:val="none" w:color="auto"/>
        </w:rPr>
        <w:t>000</w:t>
      </w:r>
      <w:r>
        <w:rPr>
          <w:rFonts w:hint="eastAsia" w:ascii="Times New Roman" w:hAnsi="Times New Roman" w:eastAsia="宋体" w:cs="Times New Roman"/>
          <w:color w:val="auto"/>
          <w:spacing w:val="-2"/>
          <w:kern w:val="0"/>
          <w:sz w:val="24"/>
          <w:szCs w:val="24"/>
          <w:u w:val="none" w:color="auto"/>
        </w:rPr>
        <w:t>0</w:t>
      </w:r>
      <w:r>
        <w:rPr>
          <w:rFonts w:ascii="Times New Roman" w:hAnsi="Times New Roman" w:eastAsia="宋体" w:cs="Times New Roman"/>
          <w:color w:val="auto"/>
          <w:spacing w:val="-2"/>
          <w:kern w:val="0"/>
          <w:sz w:val="24"/>
          <w:szCs w:val="24"/>
          <w:u w:val="none" w:color="auto"/>
        </w:rPr>
        <w:t>元/人·年计，则工资费用</w:t>
      </w:r>
      <w:r>
        <w:rPr>
          <w:rFonts w:hint="eastAsia" w:ascii="Times New Roman" w:hAnsi="Times New Roman" w:eastAsia="宋体" w:cs="Times New Roman"/>
          <w:color w:val="auto"/>
          <w:spacing w:val="-2"/>
          <w:kern w:val="0"/>
          <w:sz w:val="24"/>
          <w:szCs w:val="24"/>
          <w:u w:val="none" w:color="auto"/>
        </w:rPr>
        <w:t>10</w:t>
      </w:r>
      <w:r>
        <w:rPr>
          <w:rFonts w:ascii="Times New Roman" w:hAnsi="Times New Roman" w:eastAsia="宋体" w:cs="Times New Roman"/>
          <w:color w:val="auto"/>
          <w:spacing w:val="-2"/>
          <w:kern w:val="0"/>
          <w:sz w:val="24"/>
          <w:szCs w:val="24"/>
          <w:u w:val="none" w:color="auto"/>
        </w:rPr>
        <w:t>万元/a。</w:t>
      </w:r>
    </w:p>
    <w:p w14:paraId="09C47CDA">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综上所述，本项目环保运行管理</w:t>
      </w:r>
      <w:r>
        <w:rPr>
          <w:rFonts w:hint="eastAsia" w:ascii="Times New Roman" w:hAnsi="Times New Roman" w:eastAsia="宋体" w:cs="Times New Roman"/>
          <w:color w:val="auto"/>
          <w:spacing w:val="-2"/>
          <w:kern w:val="0"/>
          <w:sz w:val="24"/>
          <w:szCs w:val="24"/>
          <w:u w:val="none" w:color="auto"/>
          <w:lang w:val="en-US" w:eastAsia="zh-CN"/>
        </w:rPr>
        <w:t>成本</w:t>
      </w:r>
      <w:r>
        <w:rPr>
          <w:rFonts w:hint="eastAsia" w:ascii="Times New Roman" w:hAnsi="Times New Roman" w:eastAsia="宋体" w:cs="Times New Roman"/>
          <w:color w:val="auto"/>
          <w:spacing w:val="-2"/>
          <w:kern w:val="0"/>
          <w:sz w:val="24"/>
          <w:szCs w:val="24"/>
          <w:u w:val="none" w:color="auto"/>
        </w:rPr>
        <w:t>120</w:t>
      </w:r>
      <w:r>
        <w:rPr>
          <w:rFonts w:ascii="Times New Roman" w:hAnsi="Times New Roman" w:eastAsia="宋体" w:cs="Times New Roman"/>
          <w:color w:val="auto"/>
          <w:spacing w:val="-2"/>
          <w:kern w:val="0"/>
          <w:sz w:val="24"/>
          <w:szCs w:val="24"/>
          <w:u w:val="none" w:color="auto"/>
        </w:rPr>
        <w:t>万元/a。</w:t>
      </w:r>
    </w:p>
    <w:p w14:paraId="5642DB7C">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ascii="Times New Roman" w:hAnsi="Times New Roman" w:eastAsia="宋体" w:cs="Times New Roman"/>
          <w:b/>
          <w:color w:val="auto"/>
          <w:kern w:val="0"/>
          <w:sz w:val="28"/>
          <w:szCs w:val="20"/>
          <w:u w:val="none" w:color="auto"/>
        </w:rPr>
        <w:t>6.3.2环境保护经济效益分析</w:t>
      </w:r>
    </w:p>
    <w:p w14:paraId="0383960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1、直接的经济效益</w:t>
      </w:r>
    </w:p>
    <w:p w14:paraId="7217C3B6">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该项目环保治理措施的实施，不仅可以有效地控制污染，而且通过对废物的综合利用还能带来一定的经济效益和环境效益。</w:t>
      </w:r>
    </w:p>
    <w:p w14:paraId="24C68158">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本项目产生的可外售的一般固体废物主要有切割下脚料、净化器除尘灰、滤筒除尘灰、沉降粉尘</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pacing w:val="-2"/>
          <w:kern w:val="0"/>
          <w:sz w:val="24"/>
          <w:szCs w:val="24"/>
          <w:u w:val="none" w:color="auto"/>
        </w:rPr>
        <w:t>废焊条焊渣和废钢丸共</w:t>
      </w:r>
      <w:r>
        <w:rPr>
          <w:rFonts w:hint="eastAsia" w:ascii="Times New Roman" w:hAnsi="Times New Roman" w:eastAsia="宋体" w:cs="Times New Roman"/>
          <w:color w:val="auto"/>
          <w:spacing w:val="-2"/>
          <w:kern w:val="0"/>
          <w:sz w:val="24"/>
          <w:szCs w:val="24"/>
          <w:u w:val="none" w:color="auto"/>
          <w:lang w:val="en-US" w:eastAsia="zh-CN"/>
        </w:rPr>
        <w:t>2306.242</w:t>
      </w:r>
      <w:r>
        <w:rPr>
          <w:rFonts w:hint="eastAsia" w:ascii="Times New Roman" w:hAnsi="Times New Roman" w:eastAsia="宋体" w:cs="Times New Roman"/>
          <w:color w:val="auto"/>
          <w:spacing w:val="-2"/>
          <w:kern w:val="0"/>
          <w:sz w:val="24"/>
          <w:szCs w:val="24"/>
          <w:u w:val="none" w:color="auto"/>
        </w:rPr>
        <w:t>t/a，就近集中收集在车间一般固废暂存间，定期外售废品回收站。每吨按500元计算，共价值约1</w:t>
      </w:r>
      <w:r>
        <w:rPr>
          <w:rFonts w:hint="eastAsia" w:ascii="Times New Roman" w:hAnsi="Times New Roman" w:eastAsia="宋体" w:cs="Times New Roman"/>
          <w:color w:val="auto"/>
          <w:spacing w:val="-2"/>
          <w:kern w:val="0"/>
          <w:sz w:val="24"/>
          <w:szCs w:val="24"/>
          <w:u w:val="none" w:color="auto"/>
          <w:lang w:val="en-US" w:eastAsia="zh-CN"/>
        </w:rPr>
        <w:t>15</w:t>
      </w:r>
      <w:r>
        <w:rPr>
          <w:rFonts w:hint="eastAsia" w:ascii="Times New Roman" w:hAnsi="Times New Roman" w:eastAsia="宋体" w:cs="Times New Roman"/>
          <w:color w:val="auto"/>
          <w:spacing w:val="-2"/>
          <w:kern w:val="0"/>
          <w:sz w:val="24"/>
          <w:szCs w:val="24"/>
          <w:u w:val="none" w:color="auto"/>
        </w:rPr>
        <w:t>万元。</w:t>
      </w:r>
    </w:p>
    <w:p w14:paraId="4B7DD6CD">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2、间接效益</w:t>
      </w:r>
    </w:p>
    <w:p w14:paraId="79442866">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环保投资不仅给企业带来直接的经济效益，还给社会带来更大的环境效益。项目通过环保措施的实施，每年可以减少向环境排放废水、固体废物等污染物，最大限度的减轻对周围环境的污染，对保护当地水体、环境空气、生态环境及人群健康具有更大的环境效益。</w:t>
      </w:r>
    </w:p>
    <w:p w14:paraId="45ED4DBD">
      <w:pPr>
        <w:widowControl/>
        <w:spacing w:line="360" w:lineRule="auto"/>
        <w:ind w:firstLine="48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pacing w:val="-2"/>
          <w:kern w:val="0"/>
          <w:sz w:val="24"/>
          <w:szCs w:val="24"/>
          <w:u w:val="none" w:color="auto"/>
        </w:rPr>
        <w:t>3、减少环保税效益</w:t>
      </w:r>
    </w:p>
    <w:p w14:paraId="49E58A9C">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环境保护的投资，减少了污染物的排放，直接减少了环境保护税的缴纳，同时还取得间接的环境效益。减少环境保护税费用根据《中华人民共和国环境保护税法》（2018年10月26日实施）进行估算。环保措施经济效益估算见下表。</w:t>
      </w:r>
    </w:p>
    <w:p w14:paraId="2A7EF7F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表6.3-1  大气污染物环境效益量化表</w:t>
      </w:r>
    </w:p>
    <w:tbl>
      <w:tblPr>
        <w:tblStyle w:val="37"/>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
        <w:gridCol w:w="925"/>
        <w:gridCol w:w="995"/>
        <w:gridCol w:w="982"/>
        <w:gridCol w:w="900"/>
        <w:gridCol w:w="1078"/>
        <w:gridCol w:w="1295"/>
        <w:gridCol w:w="1036"/>
        <w:gridCol w:w="1073"/>
      </w:tblGrid>
      <w:tr w14:paraId="783FA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vAlign w:val="center"/>
          </w:tcPr>
          <w:p w14:paraId="27D4139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序号</w:t>
            </w:r>
          </w:p>
        </w:tc>
        <w:tc>
          <w:tcPr>
            <w:tcW w:w="925" w:type="dxa"/>
            <w:vAlign w:val="center"/>
          </w:tcPr>
          <w:p w14:paraId="16BEEF9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污染物</w:t>
            </w:r>
          </w:p>
        </w:tc>
        <w:tc>
          <w:tcPr>
            <w:tcW w:w="995" w:type="dxa"/>
            <w:vAlign w:val="center"/>
          </w:tcPr>
          <w:p w14:paraId="7090D1C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产生量</w:t>
            </w:r>
          </w:p>
          <w:p w14:paraId="0694417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（kg/a）</w:t>
            </w:r>
          </w:p>
        </w:tc>
        <w:tc>
          <w:tcPr>
            <w:tcW w:w="982" w:type="dxa"/>
            <w:vAlign w:val="center"/>
          </w:tcPr>
          <w:p w14:paraId="0B9A23D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削减量（kg/a）</w:t>
            </w:r>
          </w:p>
        </w:tc>
        <w:tc>
          <w:tcPr>
            <w:tcW w:w="900" w:type="dxa"/>
            <w:vAlign w:val="center"/>
          </w:tcPr>
          <w:p w14:paraId="669D8ED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排放量（kg/a）</w:t>
            </w:r>
          </w:p>
        </w:tc>
        <w:tc>
          <w:tcPr>
            <w:tcW w:w="1078" w:type="dxa"/>
            <w:vAlign w:val="center"/>
          </w:tcPr>
          <w:p w14:paraId="09C0EB8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污染当量值（kg）</w:t>
            </w:r>
          </w:p>
        </w:tc>
        <w:tc>
          <w:tcPr>
            <w:tcW w:w="1295" w:type="dxa"/>
            <w:vAlign w:val="center"/>
          </w:tcPr>
          <w:p w14:paraId="718D178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污染物削减当量数</w:t>
            </w:r>
          </w:p>
        </w:tc>
        <w:tc>
          <w:tcPr>
            <w:tcW w:w="1036" w:type="dxa"/>
            <w:vAlign w:val="center"/>
          </w:tcPr>
          <w:p w14:paraId="2C4EB79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排污费征收标准（元）</w:t>
            </w:r>
          </w:p>
        </w:tc>
        <w:tc>
          <w:tcPr>
            <w:tcW w:w="1073" w:type="dxa"/>
            <w:vAlign w:val="center"/>
          </w:tcPr>
          <w:p w14:paraId="0378D8F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bCs/>
                <w:color w:val="auto"/>
                <w:sz w:val="21"/>
                <w:szCs w:val="21"/>
                <w:u w:val="single" w:color="auto"/>
              </w:rPr>
            </w:pPr>
            <w:r>
              <w:rPr>
                <w:rFonts w:hint="default" w:ascii="Times New Roman" w:hAnsi="Times New Roman" w:eastAsia="宋体" w:cs="Times New Roman"/>
                <w:bCs/>
                <w:color w:val="auto"/>
                <w:sz w:val="21"/>
                <w:szCs w:val="21"/>
                <w:u w:val="single" w:color="auto"/>
              </w:rPr>
              <w:t>环境效益（万元）</w:t>
            </w:r>
          </w:p>
        </w:tc>
      </w:tr>
      <w:tr w14:paraId="7A399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 w:type="dxa"/>
            <w:vAlign w:val="center"/>
          </w:tcPr>
          <w:p w14:paraId="7238E7B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1</w:t>
            </w:r>
          </w:p>
        </w:tc>
        <w:tc>
          <w:tcPr>
            <w:tcW w:w="925" w:type="dxa"/>
            <w:vAlign w:val="center"/>
          </w:tcPr>
          <w:p w14:paraId="2C4D994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颗粒物</w:t>
            </w:r>
          </w:p>
        </w:tc>
        <w:tc>
          <w:tcPr>
            <w:tcW w:w="995" w:type="dxa"/>
            <w:vAlign w:val="center"/>
          </w:tcPr>
          <w:p w14:paraId="7D2382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574182</w:t>
            </w:r>
          </w:p>
        </w:tc>
        <w:tc>
          <w:tcPr>
            <w:tcW w:w="982" w:type="dxa"/>
            <w:vAlign w:val="center"/>
          </w:tcPr>
          <w:p w14:paraId="38736F2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529022</w:t>
            </w:r>
          </w:p>
        </w:tc>
        <w:tc>
          <w:tcPr>
            <w:tcW w:w="900" w:type="dxa"/>
            <w:vAlign w:val="center"/>
          </w:tcPr>
          <w:p w14:paraId="6304D4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45160</w:t>
            </w:r>
          </w:p>
        </w:tc>
        <w:tc>
          <w:tcPr>
            <w:tcW w:w="1078" w:type="dxa"/>
            <w:vAlign w:val="center"/>
          </w:tcPr>
          <w:p w14:paraId="15329CB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2.18</w:t>
            </w:r>
          </w:p>
        </w:tc>
        <w:tc>
          <w:tcPr>
            <w:tcW w:w="1295" w:type="dxa"/>
            <w:vAlign w:val="center"/>
          </w:tcPr>
          <w:p w14:paraId="75E296C2">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1153267.96</w:t>
            </w:r>
          </w:p>
        </w:tc>
        <w:tc>
          <w:tcPr>
            <w:tcW w:w="1036" w:type="dxa"/>
            <w:vAlign w:val="center"/>
          </w:tcPr>
          <w:p w14:paraId="462870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1.2</w:t>
            </w:r>
          </w:p>
        </w:tc>
        <w:tc>
          <w:tcPr>
            <w:tcW w:w="1073" w:type="dxa"/>
            <w:vAlign w:val="center"/>
          </w:tcPr>
          <w:p w14:paraId="27502696">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138.3922</w:t>
            </w:r>
          </w:p>
        </w:tc>
      </w:tr>
      <w:tr w14:paraId="07305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36" w:type="dxa"/>
            <w:vAlign w:val="center"/>
          </w:tcPr>
          <w:p w14:paraId="52593EB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2</w:t>
            </w:r>
          </w:p>
        </w:tc>
        <w:tc>
          <w:tcPr>
            <w:tcW w:w="925" w:type="dxa"/>
            <w:vAlign w:val="center"/>
          </w:tcPr>
          <w:p w14:paraId="0E58D8F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甲苯</w:t>
            </w:r>
          </w:p>
        </w:tc>
        <w:tc>
          <w:tcPr>
            <w:tcW w:w="995" w:type="dxa"/>
            <w:vAlign w:val="center"/>
          </w:tcPr>
          <w:p w14:paraId="5847FF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77</w:t>
            </w:r>
          </w:p>
        </w:tc>
        <w:tc>
          <w:tcPr>
            <w:tcW w:w="982" w:type="dxa"/>
            <w:vAlign w:val="center"/>
          </w:tcPr>
          <w:p w14:paraId="54506C0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62</w:t>
            </w:r>
          </w:p>
        </w:tc>
        <w:tc>
          <w:tcPr>
            <w:tcW w:w="900" w:type="dxa"/>
            <w:vAlign w:val="center"/>
          </w:tcPr>
          <w:p w14:paraId="1BEA0A4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15</w:t>
            </w:r>
          </w:p>
        </w:tc>
        <w:tc>
          <w:tcPr>
            <w:tcW w:w="1078" w:type="dxa"/>
            <w:vAlign w:val="center"/>
          </w:tcPr>
          <w:p w14:paraId="32AD038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0.18</w:t>
            </w:r>
          </w:p>
        </w:tc>
        <w:tc>
          <w:tcPr>
            <w:tcW w:w="1295" w:type="dxa"/>
            <w:vAlign w:val="center"/>
          </w:tcPr>
          <w:p w14:paraId="5C3D1439">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11.16</w:t>
            </w:r>
          </w:p>
        </w:tc>
        <w:tc>
          <w:tcPr>
            <w:tcW w:w="1036" w:type="dxa"/>
            <w:vAlign w:val="center"/>
          </w:tcPr>
          <w:p w14:paraId="11BEE2C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1.2</w:t>
            </w:r>
          </w:p>
        </w:tc>
        <w:tc>
          <w:tcPr>
            <w:tcW w:w="1073" w:type="dxa"/>
            <w:vAlign w:val="center"/>
          </w:tcPr>
          <w:p w14:paraId="3CA97D6C">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0.0013</w:t>
            </w:r>
          </w:p>
        </w:tc>
      </w:tr>
      <w:tr w14:paraId="32F79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36" w:type="dxa"/>
            <w:vAlign w:val="center"/>
          </w:tcPr>
          <w:p w14:paraId="58424F1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3</w:t>
            </w:r>
          </w:p>
        </w:tc>
        <w:tc>
          <w:tcPr>
            <w:tcW w:w="925" w:type="dxa"/>
            <w:vAlign w:val="center"/>
          </w:tcPr>
          <w:p w14:paraId="098D2AD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二甲苯</w:t>
            </w:r>
          </w:p>
        </w:tc>
        <w:tc>
          <w:tcPr>
            <w:tcW w:w="995" w:type="dxa"/>
            <w:vAlign w:val="center"/>
          </w:tcPr>
          <w:p w14:paraId="29100D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30811</w:t>
            </w:r>
          </w:p>
        </w:tc>
        <w:tc>
          <w:tcPr>
            <w:tcW w:w="982" w:type="dxa"/>
            <w:vAlign w:val="center"/>
          </w:tcPr>
          <w:p w14:paraId="55E9F56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24957</w:t>
            </w:r>
          </w:p>
        </w:tc>
        <w:tc>
          <w:tcPr>
            <w:tcW w:w="900" w:type="dxa"/>
            <w:vAlign w:val="center"/>
          </w:tcPr>
          <w:p w14:paraId="49872D8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5854</w:t>
            </w:r>
          </w:p>
        </w:tc>
        <w:tc>
          <w:tcPr>
            <w:tcW w:w="1078" w:type="dxa"/>
            <w:vAlign w:val="center"/>
          </w:tcPr>
          <w:p w14:paraId="559D43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0.27</w:t>
            </w:r>
          </w:p>
        </w:tc>
        <w:tc>
          <w:tcPr>
            <w:tcW w:w="1295" w:type="dxa"/>
            <w:vAlign w:val="center"/>
          </w:tcPr>
          <w:p w14:paraId="0841431F">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6738.39</w:t>
            </w:r>
          </w:p>
        </w:tc>
        <w:tc>
          <w:tcPr>
            <w:tcW w:w="1036" w:type="dxa"/>
            <w:vAlign w:val="center"/>
          </w:tcPr>
          <w:p w14:paraId="4C57F4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1.2</w:t>
            </w:r>
          </w:p>
        </w:tc>
        <w:tc>
          <w:tcPr>
            <w:tcW w:w="1073" w:type="dxa"/>
            <w:vAlign w:val="center"/>
          </w:tcPr>
          <w:p w14:paraId="485B1358">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0.8086</w:t>
            </w:r>
          </w:p>
        </w:tc>
      </w:tr>
      <w:tr w14:paraId="2A463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7" w:type="dxa"/>
            <w:gridSpan w:val="8"/>
            <w:vAlign w:val="center"/>
          </w:tcPr>
          <w:p w14:paraId="01D0E2E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合计</w:t>
            </w:r>
          </w:p>
        </w:tc>
        <w:tc>
          <w:tcPr>
            <w:tcW w:w="1073" w:type="dxa"/>
            <w:vAlign w:val="center"/>
          </w:tcPr>
          <w:p w14:paraId="271213C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139.2021</w:t>
            </w:r>
          </w:p>
        </w:tc>
      </w:tr>
    </w:tbl>
    <w:p w14:paraId="541FEC14">
      <w:pPr>
        <w:widowControl/>
        <w:spacing w:line="360" w:lineRule="auto"/>
        <w:ind w:firstLine="482"/>
        <w:rPr>
          <w:rFonts w:ascii="Times New Roman" w:hAnsi="Times New Roman" w:eastAsia="宋体" w:cs="Times New Roman"/>
          <w:color w:val="auto"/>
          <w:spacing w:val="-2"/>
          <w:kern w:val="0"/>
          <w:sz w:val="24"/>
          <w:szCs w:val="24"/>
          <w:u w:val="single" w:color="auto"/>
        </w:rPr>
      </w:pPr>
      <w:r>
        <w:rPr>
          <w:rFonts w:ascii="Times New Roman" w:hAnsi="Times New Roman" w:eastAsia="宋体" w:cs="Times New Roman"/>
          <w:color w:val="auto"/>
          <w:sz w:val="24"/>
          <w:szCs w:val="24"/>
          <w:u w:val="single" w:color="auto"/>
        </w:rPr>
        <w:t>本项目因大气环保设施投入使用后而减少的排污收费为</w:t>
      </w:r>
      <w:r>
        <w:rPr>
          <w:rFonts w:hint="eastAsia" w:ascii="Times New Roman" w:hAnsi="Times New Roman" w:eastAsia="宋体" w:cs="Times New Roman"/>
          <w:color w:val="auto"/>
          <w:sz w:val="24"/>
          <w:szCs w:val="24"/>
          <w:u w:val="single" w:color="auto"/>
          <w:lang w:val="en-US" w:eastAsia="zh-CN"/>
        </w:rPr>
        <w:t>139.2021</w:t>
      </w:r>
      <w:r>
        <w:rPr>
          <w:rFonts w:ascii="Times New Roman" w:hAnsi="Times New Roman" w:eastAsia="宋体" w:cs="Times New Roman"/>
          <w:color w:val="auto"/>
          <w:sz w:val="24"/>
          <w:szCs w:val="24"/>
          <w:u w:val="single" w:color="auto"/>
        </w:rPr>
        <w:t>万元</w:t>
      </w:r>
      <w:r>
        <w:rPr>
          <w:rFonts w:ascii="Times New Roman" w:hAnsi="Times New Roman" w:eastAsia="宋体" w:cs="Times New Roman"/>
          <w:color w:val="auto"/>
          <w:spacing w:val="-2"/>
          <w:kern w:val="0"/>
          <w:sz w:val="24"/>
          <w:szCs w:val="24"/>
          <w:u w:val="single" w:color="auto"/>
        </w:rPr>
        <w:t>。</w:t>
      </w:r>
    </w:p>
    <w:p w14:paraId="365A9D8C">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ascii="Times New Roman" w:hAnsi="Times New Roman" w:eastAsia="宋体" w:cs="Times New Roman"/>
          <w:b/>
          <w:color w:val="auto"/>
          <w:kern w:val="0"/>
          <w:sz w:val="28"/>
          <w:szCs w:val="20"/>
          <w:u w:val="none" w:color="auto"/>
        </w:rPr>
        <w:t>6.3.3环境影响经济损益分析</w:t>
      </w:r>
    </w:p>
    <w:p w14:paraId="7883D484">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（1）环境影响损益系数</w:t>
      </w:r>
    </w:p>
    <w:p w14:paraId="23CED62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环境经济损益一般用环境经济损益系数表示：</w:t>
      </w:r>
    </w:p>
    <w:p w14:paraId="79708C93">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 xml:space="preserve">               R=R</w:t>
      </w:r>
      <w:r>
        <w:rPr>
          <w:rFonts w:hint="eastAsia" w:ascii="Times New Roman" w:hAnsi="Times New Roman" w:eastAsia="宋体" w:cs="Times New Roman"/>
          <w:color w:val="auto"/>
          <w:spacing w:val="-2"/>
          <w:kern w:val="0"/>
          <w:sz w:val="24"/>
          <w:szCs w:val="24"/>
          <w:u w:val="none" w:color="auto"/>
          <w:vertAlign w:val="subscript"/>
        </w:rPr>
        <w:t>1</w:t>
      </w:r>
      <w:r>
        <w:rPr>
          <w:rFonts w:hint="eastAsia" w:ascii="Times New Roman" w:hAnsi="Times New Roman" w:eastAsia="宋体" w:cs="Times New Roman"/>
          <w:color w:val="auto"/>
          <w:spacing w:val="-2"/>
          <w:kern w:val="0"/>
          <w:sz w:val="24"/>
          <w:szCs w:val="24"/>
          <w:u w:val="none" w:color="auto"/>
        </w:rPr>
        <w:t>/R</w:t>
      </w:r>
      <w:r>
        <w:rPr>
          <w:rFonts w:hint="eastAsia" w:ascii="Times New Roman" w:hAnsi="Times New Roman" w:eastAsia="宋体" w:cs="Times New Roman"/>
          <w:color w:val="auto"/>
          <w:spacing w:val="-2"/>
          <w:kern w:val="0"/>
          <w:sz w:val="24"/>
          <w:szCs w:val="24"/>
          <w:u w:val="none" w:color="auto"/>
          <w:vertAlign w:val="subscript"/>
        </w:rPr>
        <w:t>2</w:t>
      </w:r>
      <w:r>
        <w:rPr>
          <w:rFonts w:hint="eastAsia" w:ascii="Times New Roman" w:hAnsi="Times New Roman" w:eastAsia="宋体" w:cs="Times New Roman"/>
          <w:color w:val="auto"/>
          <w:spacing w:val="-2"/>
          <w:kern w:val="0"/>
          <w:sz w:val="24"/>
          <w:szCs w:val="24"/>
          <w:u w:val="none" w:color="auto"/>
        </w:rPr>
        <w:t xml:space="preserve"> </w:t>
      </w:r>
    </w:p>
    <w:p w14:paraId="5FC70AF2">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式中R——损益系数；</w:t>
      </w:r>
    </w:p>
    <w:p w14:paraId="0B61B8FC">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R</w:t>
      </w:r>
      <w:r>
        <w:rPr>
          <w:rFonts w:hint="eastAsia" w:ascii="Times New Roman" w:hAnsi="Times New Roman" w:eastAsia="宋体" w:cs="Times New Roman"/>
          <w:color w:val="auto"/>
          <w:spacing w:val="-2"/>
          <w:kern w:val="0"/>
          <w:sz w:val="24"/>
          <w:szCs w:val="24"/>
          <w:u w:val="none" w:color="auto"/>
          <w:vertAlign w:val="subscript"/>
        </w:rPr>
        <w:t>1</w:t>
      </w:r>
      <w:r>
        <w:rPr>
          <w:rFonts w:hint="eastAsia" w:ascii="Times New Roman" w:hAnsi="Times New Roman" w:eastAsia="宋体" w:cs="Times New Roman"/>
          <w:color w:val="auto"/>
          <w:spacing w:val="-2"/>
          <w:kern w:val="0"/>
          <w:sz w:val="24"/>
          <w:szCs w:val="24"/>
          <w:u w:val="none" w:color="auto"/>
        </w:rPr>
        <w:t>——经济收益，以经营期内（10年）的利润计，30000万元/年，总计300000万元；</w:t>
      </w:r>
    </w:p>
    <w:p w14:paraId="72871EE4">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R</w:t>
      </w:r>
      <w:r>
        <w:rPr>
          <w:rFonts w:hint="eastAsia" w:ascii="Times New Roman" w:hAnsi="Times New Roman" w:eastAsia="宋体" w:cs="Times New Roman"/>
          <w:color w:val="auto"/>
          <w:spacing w:val="-2"/>
          <w:kern w:val="0"/>
          <w:sz w:val="24"/>
          <w:szCs w:val="24"/>
          <w:u w:val="none" w:color="auto"/>
          <w:vertAlign w:val="subscript"/>
        </w:rPr>
        <w:t>2</w:t>
      </w:r>
      <w:r>
        <w:rPr>
          <w:rFonts w:hint="eastAsia" w:ascii="Times New Roman" w:hAnsi="Times New Roman" w:eastAsia="宋体" w:cs="Times New Roman"/>
          <w:color w:val="auto"/>
          <w:spacing w:val="-2"/>
          <w:kern w:val="0"/>
          <w:sz w:val="24"/>
          <w:szCs w:val="24"/>
          <w:u w:val="none" w:color="auto"/>
        </w:rPr>
        <w:t>——环保投资，以项目一次性环保投资和10年污染治理费用之和计，1700万元。</w:t>
      </w:r>
    </w:p>
    <w:p w14:paraId="694D0505">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计算结果：R=176.47，说明拟建项目的经济收益超过环保投资及运行费用。</w:t>
      </w:r>
    </w:p>
    <w:p w14:paraId="4EEBCFB5">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（2）环保费用的经济效益分析</w:t>
      </w:r>
    </w:p>
    <w:p w14:paraId="51AA2854">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年环保费用的经济效益，可以用因有效的环保治理措施而挽回的经济损失与保证此效益而每年投入的环保费用之比来确定，年环保费用的经济效益按下式计算：</w:t>
      </w:r>
    </w:p>
    <w:p w14:paraId="375B1176">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 xml:space="preserve">                      Z=S</w:t>
      </w:r>
      <w:r>
        <w:rPr>
          <w:rFonts w:hint="eastAsia" w:ascii="Times New Roman" w:hAnsi="Times New Roman" w:eastAsia="宋体" w:cs="Times New Roman"/>
          <w:color w:val="auto"/>
          <w:spacing w:val="-2"/>
          <w:kern w:val="0"/>
          <w:sz w:val="24"/>
          <w:szCs w:val="24"/>
          <w:u w:val="none" w:color="auto"/>
          <w:vertAlign w:val="subscript"/>
        </w:rPr>
        <w:t>i</w:t>
      </w:r>
      <w:r>
        <w:rPr>
          <w:rFonts w:hint="eastAsia" w:ascii="Times New Roman" w:hAnsi="Times New Roman" w:eastAsia="宋体" w:cs="Times New Roman"/>
          <w:color w:val="auto"/>
          <w:spacing w:val="-2"/>
          <w:kern w:val="0"/>
          <w:sz w:val="24"/>
          <w:szCs w:val="24"/>
          <w:u w:val="none" w:color="auto"/>
        </w:rPr>
        <w:t>/H</w:t>
      </w:r>
      <w:r>
        <w:rPr>
          <w:rFonts w:hint="eastAsia" w:ascii="Times New Roman" w:hAnsi="Times New Roman" w:eastAsia="宋体" w:cs="Times New Roman"/>
          <w:color w:val="auto"/>
          <w:spacing w:val="-2"/>
          <w:kern w:val="0"/>
          <w:sz w:val="24"/>
          <w:szCs w:val="24"/>
          <w:u w:val="none" w:color="auto"/>
          <w:vertAlign w:val="subscript"/>
        </w:rPr>
        <w:t>f</w:t>
      </w:r>
      <w:r>
        <w:rPr>
          <w:rFonts w:hint="eastAsia" w:ascii="Times New Roman" w:hAnsi="Times New Roman" w:eastAsia="宋体" w:cs="Times New Roman"/>
          <w:color w:val="auto"/>
          <w:spacing w:val="-2"/>
          <w:kern w:val="0"/>
          <w:sz w:val="24"/>
          <w:szCs w:val="24"/>
          <w:u w:val="none" w:color="auto"/>
        </w:rPr>
        <w:t xml:space="preserve"> </w:t>
      </w:r>
    </w:p>
    <w:p w14:paraId="4D62E327">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 xml:space="preserve">    式中Z——年环保费用的经济效益；</w:t>
      </w:r>
    </w:p>
    <w:p w14:paraId="04566919">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 xml:space="preserve">        S</w:t>
      </w:r>
      <w:r>
        <w:rPr>
          <w:rFonts w:hint="eastAsia" w:ascii="Times New Roman" w:hAnsi="Times New Roman" w:eastAsia="宋体" w:cs="Times New Roman"/>
          <w:color w:val="auto"/>
          <w:spacing w:val="-2"/>
          <w:kern w:val="0"/>
          <w:sz w:val="24"/>
          <w:szCs w:val="24"/>
          <w:u w:val="none" w:color="auto"/>
          <w:vertAlign w:val="subscript"/>
        </w:rPr>
        <w:t>i</w:t>
      </w:r>
      <w:r>
        <w:rPr>
          <w:rFonts w:hint="eastAsia" w:ascii="Times New Roman" w:hAnsi="Times New Roman" w:eastAsia="宋体" w:cs="Times New Roman"/>
          <w:color w:val="auto"/>
          <w:spacing w:val="-2"/>
          <w:kern w:val="0"/>
          <w:sz w:val="24"/>
          <w:szCs w:val="24"/>
          <w:u w:val="none" w:color="auto"/>
        </w:rPr>
        <w:t>——为防治污染而挽回的经济损失；</w:t>
      </w:r>
    </w:p>
    <w:p w14:paraId="40A3AD8C">
      <w:pPr>
        <w:widowControl/>
        <w:spacing w:line="360" w:lineRule="auto"/>
        <w:ind w:firstLine="1416" w:firstLineChars="60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H</w:t>
      </w:r>
      <w:r>
        <w:rPr>
          <w:rFonts w:hint="eastAsia" w:ascii="Times New Roman" w:hAnsi="Times New Roman" w:eastAsia="宋体" w:cs="Times New Roman"/>
          <w:color w:val="auto"/>
          <w:spacing w:val="-2"/>
          <w:kern w:val="0"/>
          <w:sz w:val="24"/>
          <w:szCs w:val="24"/>
          <w:u w:val="none" w:color="auto"/>
          <w:vertAlign w:val="subscript"/>
        </w:rPr>
        <w:t>f</w:t>
      </w:r>
      <w:r>
        <w:rPr>
          <w:rFonts w:hint="eastAsia" w:ascii="Times New Roman" w:hAnsi="Times New Roman" w:eastAsia="宋体" w:cs="Times New Roman"/>
          <w:color w:val="auto"/>
          <w:spacing w:val="-2"/>
          <w:kern w:val="0"/>
          <w:sz w:val="24"/>
          <w:szCs w:val="24"/>
          <w:u w:val="none" w:color="auto"/>
        </w:rPr>
        <w:t>——每年投入的环保费用。</w:t>
      </w:r>
    </w:p>
    <w:p w14:paraId="712A76B1">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根据上述的环境经济效益分析，全年的S</w:t>
      </w:r>
      <w:r>
        <w:rPr>
          <w:rFonts w:hint="eastAsia" w:ascii="Times New Roman" w:hAnsi="Times New Roman" w:eastAsia="宋体" w:cs="Times New Roman"/>
          <w:color w:val="auto"/>
          <w:spacing w:val="-2"/>
          <w:kern w:val="0"/>
          <w:sz w:val="24"/>
          <w:szCs w:val="24"/>
          <w:u w:val="none" w:color="auto"/>
          <w:vertAlign w:val="subscript"/>
        </w:rPr>
        <w:t>i</w:t>
      </w:r>
      <w:r>
        <w:rPr>
          <w:rFonts w:hint="eastAsia" w:ascii="Times New Roman" w:hAnsi="Times New Roman" w:eastAsia="宋体" w:cs="Times New Roman"/>
          <w:color w:val="auto"/>
          <w:spacing w:val="-2"/>
          <w:kern w:val="0"/>
          <w:sz w:val="24"/>
          <w:szCs w:val="24"/>
          <w:u w:val="none" w:color="auto"/>
        </w:rPr>
        <w:t>为354.06万元，H</w:t>
      </w:r>
      <w:r>
        <w:rPr>
          <w:rFonts w:hint="eastAsia" w:ascii="Times New Roman" w:hAnsi="Times New Roman" w:eastAsia="宋体" w:cs="Times New Roman"/>
          <w:color w:val="auto"/>
          <w:spacing w:val="-2"/>
          <w:kern w:val="0"/>
          <w:sz w:val="24"/>
          <w:szCs w:val="24"/>
          <w:u w:val="none" w:color="auto"/>
          <w:vertAlign w:val="subscript"/>
        </w:rPr>
        <w:t>f</w:t>
      </w:r>
      <w:r>
        <w:rPr>
          <w:rFonts w:hint="eastAsia" w:ascii="Times New Roman" w:hAnsi="Times New Roman" w:eastAsia="宋体" w:cs="Times New Roman"/>
          <w:color w:val="auto"/>
          <w:spacing w:val="-2"/>
          <w:kern w:val="0"/>
          <w:sz w:val="24"/>
          <w:szCs w:val="24"/>
          <w:u w:val="none" w:color="auto"/>
        </w:rPr>
        <w:t>为120万元，则本项目的环保费用经济效益约为2.95，即投入每元钱的环保费用可用货币统计出的挽回收益为2.95元。以上分析说明，项目的环保投资与环保费用的经济效益是比较好的。</w:t>
      </w:r>
    </w:p>
    <w:p w14:paraId="3C7F5D12">
      <w:pPr>
        <w:autoSpaceDE w:val="0"/>
        <w:autoSpaceDN w:val="0"/>
        <w:adjustRightInd w:val="0"/>
        <w:spacing w:line="360" w:lineRule="auto"/>
        <w:ind w:left="105" w:leftChars="50"/>
        <w:jc w:val="left"/>
        <w:outlineLvl w:val="1"/>
        <w:rPr>
          <w:rFonts w:ascii="Times New Roman" w:hAnsi="Times New Roman" w:eastAsia="宋体" w:cs="Times New Roman"/>
          <w:b/>
          <w:bCs/>
          <w:color w:val="auto"/>
          <w:kern w:val="0"/>
          <w:sz w:val="32"/>
          <w:szCs w:val="24"/>
          <w:u w:val="none" w:color="auto"/>
        </w:rPr>
      </w:pPr>
      <w:bookmarkStart w:id="282" w:name="_Toc391"/>
      <w:bookmarkStart w:id="283" w:name="_Toc13907"/>
      <w:bookmarkStart w:id="284" w:name="_Toc16436"/>
      <w:r>
        <w:rPr>
          <w:rFonts w:hint="eastAsia" w:ascii="Times New Roman" w:hAnsi="Times New Roman" w:eastAsia="宋体" w:cs="Times New Roman"/>
          <w:b/>
          <w:bCs/>
          <w:color w:val="auto"/>
          <w:kern w:val="0"/>
          <w:sz w:val="32"/>
          <w:szCs w:val="24"/>
          <w:u w:val="none" w:color="auto"/>
        </w:rPr>
        <w:t>6.4小结</w:t>
      </w:r>
      <w:bookmarkEnd w:id="282"/>
      <w:bookmarkEnd w:id="283"/>
      <w:bookmarkEnd w:id="284"/>
    </w:p>
    <w:p w14:paraId="3CEFEDE5">
      <w:pPr>
        <w:widowControl/>
        <w:spacing w:line="360" w:lineRule="auto"/>
        <w:ind w:firstLine="480"/>
        <w:rPr>
          <w:rFonts w:ascii="Times New Roman" w:hAnsi="Times New Roman" w:eastAsia="宋体" w:cs="Times New Roman"/>
          <w:color w:val="auto"/>
          <w:spacing w:val="-2"/>
          <w:kern w:val="0"/>
          <w:sz w:val="24"/>
          <w:szCs w:val="24"/>
          <w:u w:val="none" w:color="auto"/>
        </w:rPr>
      </w:pPr>
      <w:r>
        <w:rPr>
          <w:rFonts w:hint="eastAsia" w:ascii="Times New Roman" w:hAnsi="Times New Roman" w:eastAsia="宋体" w:cs="Times New Roman"/>
          <w:color w:val="auto"/>
          <w:spacing w:val="-2"/>
          <w:kern w:val="0"/>
          <w:sz w:val="24"/>
          <w:szCs w:val="24"/>
          <w:u w:val="none" w:color="auto"/>
        </w:rPr>
        <w:t>项目总投资为</w:t>
      </w:r>
      <w:r>
        <w:rPr>
          <w:rFonts w:hint="eastAsia" w:ascii="Times New Roman" w:hAnsi="Times New Roman" w:eastAsia="宋体" w:cs="Times New Roman"/>
          <w:color w:val="auto"/>
          <w:spacing w:val="-2"/>
          <w:kern w:val="0"/>
          <w:sz w:val="24"/>
          <w:szCs w:val="24"/>
          <w:u w:val="none" w:color="auto"/>
          <w:lang w:eastAsia="zh-CN"/>
        </w:rPr>
        <w:t>51250</w:t>
      </w:r>
      <w:r>
        <w:rPr>
          <w:rFonts w:hint="eastAsia" w:ascii="Times New Roman" w:hAnsi="Times New Roman" w:eastAsia="宋体" w:cs="Times New Roman"/>
          <w:color w:val="auto"/>
          <w:spacing w:val="-2"/>
          <w:kern w:val="0"/>
          <w:sz w:val="24"/>
          <w:szCs w:val="24"/>
          <w:u w:val="none" w:color="auto"/>
        </w:rPr>
        <w:t>万元，其中环保投资为5</w:t>
      </w:r>
      <w:r>
        <w:rPr>
          <w:rFonts w:hint="eastAsia" w:ascii="Times New Roman" w:hAnsi="Times New Roman" w:eastAsia="宋体" w:cs="Times New Roman"/>
          <w:color w:val="auto"/>
          <w:spacing w:val="-2"/>
          <w:kern w:val="0"/>
          <w:sz w:val="24"/>
          <w:szCs w:val="24"/>
          <w:u w:val="none" w:color="auto"/>
          <w:lang w:val="en-US" w:eastAsia="zh-CN"/>
        </w:rPr>
        <w:t>2</w:t>
      </w:r>
      <w:r>
        <w:rPr>
          <w:rFonts w:hint="eastAsia" w:ascii="Times New Roman" w:hAnsi="Times New Roman" w:eastAsia="宋体" w:cs="Times New Roman"/>
          <w:color w:val="auto"/>
          <w:spacing w:val="-2"/>
          <w:kern w:val="0"/>
          <w:sz w:val="24"/>
          <w:szCs w:val="24"/>
          <w:u w:val="none" w:color="auto"/>
        </w:rPr>
        <w:t>0万元，占总投资的</w:t>
      </w:r>
      <w:r>
        <w:rPr>
          <w:rFonts w:hint="eastAsia" w:ascii="Times New Roman" w:hAnsi="Times New Roman" w:eastAsia="宋体" w:cs="Times New Roman"/>
          <w:color w:val="auto"/>
          <w:spacing w:val="-2"/>
          <w:kern w:val="0"/>
          <w:sz w:val="24"/>
          <w:szCs w:val="24"/>
          <w:u w:val="none" w:color="auto"/>
          <w:lang w:val="en-US" w:eastAsia="zh-CN"/>
        </w:rPr>
        <w:t>1.01</w:t>
      </w:r>
      <w:r>
        <w:rPr>
          <w:rFonts w:hint="eastAsia" w:ascii="Times New Roman" w:hAnsi="Times New Roman" w:eastAsia="宋体" w:cs="Times New Roman"/>
          <w:color w:val="auto"/>
          <w:spacing w:val="-2"/>
          <w:kern w:val="0"/>
          <w:sz w:val="24"/>
          <w:szCs w:val="24"/>
          <w:u w:val="none" w:color="auto"/>
          <w:lang w:eastAsia="zh-CN"/>
        </w:rPr>
        <w:t>%</w:t>
      </w:r>
      <w:r>
        <w:rPr>
          <w:rFonts w:hint="eastAsia" w:ascii="Times New Roman" w:hAnsi="Times New Roman" w:eastAsia="宋体" w:cs="Times New Roman"/>
          <w:color w:val="auto"/>
          <w:spacing w:val="-2"/>
          <w:kern w:val="0"/>
          <w:sz w:val="24"/>
          <w:szCs w:val="24"/>
          <w:u w:val="none" w:color="auto"/>
        </w:rPr>
        <w:t>，环保投资所占比例较为合理。</w:t>
      </w:r>
    </w:p>
    <w:p w14:paraId="108B8345">
      <w:pPr>
        <w:widowControl/>
        <w:spacing w:line="360" w:lineRule="auto"/>
        <w:ind w:firstLine="480"/>
        <w:rPr>
          <w:rFonts w:ascii="Times New Roman" w:hAnsi="Times New Roman" w:eastAsia="宋体" w:cs="Times New Roman"/>
          <w:color w:val="auto"/>
          <w:sz w:val="24"/>
          <w:szCs w:val="20"/>
          <w:u w:val="none" w:color="auto"/>
        </w:rPr>
      </w:pPr>
      <w:r>
        <w:rPr>
          <w:rFonts w:hint="eastAsia" w:ascii="Times New Roman" w:hAnsi="Times New Roman" w:eastAsia="宋体" w:cs="Times New Roman"/>
          <w:color w:val="auto"/>
          <w:spacing w:val="-2"/>
          <w:kern w:val="0"/>
          <w:sz w:val="24"/>
          <w:szCs w:val="24"/>
          <w:u w:val="none" w:color="auto"/>
        </w:rPr>
        <w:t>本项目的建设，将带来一定的社会效益和经济效益，同时针对项目暴露出来的环境问题而采取相应的污染防治措施后，其环境代价不大，从环境经济方面来看，项目的建设是可行的。</w:t>
      </w:r>
    </w:p>
    <w:p w14:paraId="1881A880">
      <w:pPr>
        <w:tabs>
          <w:tab w:val="left" w:pos="2145"/>
        </w:tabs>
        <w:autoSpaceDE w:val="0"/>
        <w:autoSpaceDN w:val="0"/>
        <w:spacing w:line="360" w:lineRule="auto"/>
        <w:jc w:val="left"/>
        <w:rPr>
          <w:rFonts w:ascii="Times New Roman" w:hAnsi="Times New Roman" w:cs="Times New Roman"/>
          <w:b/>
          <w:color w:val="auto"/>
          <w:sz w:val="44"/>
          <w:szCs w:val="4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A70A83E">
      <w:pPr>
        <w:pStyle w:val="2"/>
        <w:bidi w:val="0"/>
        <w:rPr>
          <w:rFonts w:ascii="Times New Roman" w:hAnsi="Times New Roman" w:eastAsia="宋体" w:cs="Times New Roman"/>
          <w:b/>
          <w:color w:val="auto"/>
          <w:kern w:val="0"/>
          <w:sz w:val="44"/>
          <w:szCs w:val="44"/>
          <w:u w:val="none" w:color="auto"/>
        </w:rPr>
      </w:pPr>
      <w:bookmarkStart w:id="285" w:name="_Toc22032"/>
      <w:r>
        <w:rPr>
          <w:rFonts w:ascii="Times New Roman" w:hAnsi="Times New Roman" w:cs="Times New Roman"/>
          <w:color w:val="auto"/>
          <w:u w:val="none" w:color="auto"/>
        </w:rPr>
        <w:fldChar w:fldCharType="begin"/>
      </w:r>
      <w:r>
        <w:rPr>
          <w:rFonts w:ascii="Times New Roman" w:hAnsi="Times New Roman" w:cs="Times New Roman"/>
          <w:color w:val="auto"/>
          <w:u w:val="none" w:color="auto"/>
        </w:rPr>
        <w:instrText xml:space="preserve"> HYPERLINK \l "_Toc499543861" </w:instrText>
      </w:r>
      <w:r>
        <w:rPr>
          <w:rFonts w:ascii="Times New Roman" w:hAnsi="Times New Roman" w:cs="Times New Roman"/>
          <w:color w:val="auto"/>
          <w:u w:val="none" w:color="auto"/>
        </w:rPr>
        <w:fldChar w:fldCharType="separate"/>
      </w:r>
      <w:bookmarkStart w:id="286" w:name="_Toc3728287"/>
      <w:bookmarkStart w:id="287" w:name="_Toc530130486"/>
      <w:r>
        <w:rPr>
          <w:rFonts w:ascii="Times New Roman" w:hAnsi="Times New Roman" w:eastAsia="宋体" w:cs="Times New Roman"/>
          <w:b/>
          <w:color w:val="auto"/>
          <w:kern w:val="0"/>
          <w:sz w:val="44"/>
          <w:szCs w:val="44"/>
          <w:u w:val="none" w:color="auto"/>
        </w:rPr>
        <w:t>环境管理与监测</w:t>
      </w:r>
      <w:bookmarkEnd w:id="286"/>
      <w:bookmarkEnd w:id="287"/>
      <w:r>
        <w:rPr>
          <w:rFonts w:ascii="Times New Roman" w:hAnsi="Times New Roman" w:eastAsia="宋体" w:cs="Times New Roman"/>
          <w:b/>
          <w:color w:val="auto"/>
          <w:kern w:val="0"/>
          <w:sz w:val="44"/>
          <w:szCs w:val="44"/>
          <w:u w:val="none" w:color="auto"/>
        </w:rPr>
        <w:fldChar w:fldCharType="end"/>
      </w:r>
      <w:bookmarkEnd w:id="285"/>
    </w:p>
    <w:p w14:paraId="253AFFB1">
      <w:pPr>
        <w:pStyle w:val="3"/>
        <w:bidi w:val="0"/>
        <w:rPr>
          <w:rFonts w:ascii="Times New Roman" w:hAnsi="Times New Roman" w:eastAsia="宋体" w:cs="Times New Roman"/>
          <w:b/>
          <w:color w:val="auto"/>
          <w:kern w:val="0"/>
          <w:sz w:val="32"/>
          <w:szCs w:val="32"/>
          <w:u w:val="none" w:color="auto"/>
        </w:rPr>
      </w:pPr>
      <w:bookmarkStart w:id="288" w:name="_Toc22188"/>
      <w:r>
        <w:rPr>
          <w:rFonts w:ascii="Times New Roman" w:hAnsi="Times New Roman" w:cs="Times New Roman"/>
          <w:color w:val="auto"/>
          <w:u w:val="none" w:color="auto"/>
        </w:rPr>
        <w:fldChar w:fldCharType="begin"/>
      </w:r>
      <w:r>
        <w:rPr>
          <w:rFonts w:ascii="Times New Roman" w:hAnsi="Times New Roman" w:cs="Times New Roman"/>
          <w:color w:val="auto"/>
          <w:u w:val="none" w:color="auto"/>
        </w:rPr>
        <w:instrText xml:space="preserve"> HYPERLINK \l "_Toc499543862" </w:instrText>
      </w:r>
      <w:r>
        <w:rPr>
          <w:rFonts w:ascii="Times New Roman" w:hAnsi="Times New Roman" w:cs="Times New Roman"/>
          <w:color w:val="auto"/>
          <w:u w:val="none" w:color="auto"/>
        </w:rPr>
        <w:fldChar w:fldCharType="separate"/>
      </w:r>
      <w:bookmarkStart w:id="289" w:name="_Toc14511"/>
      <w:bookmarkStart w:id="290" w:name="_Toc27203"/>
      <w:bookmarkStart w:id="291" w:name="_Toc410662472"/>
      <w:r>
        <w:rPr>
          <w:rFonts w:ascii="Times New Roman" w:hAnsi="Times New Roman" w:eastAsia="宋体" w:cs="Times New Roman"/>
          <w:b/>
          <w:color w:val="auto"/>
          <w:kern w:val="0"/>
          <w:sz w:val="32"/>
          <w:szCs w:val="32"/>
          <w:u w:val="none" w:color="auto"/>
        </w:rPr>
        <w:t>环境管理</w:t>
      </w:r>
      <w:bookmarkEnd w:id="288"/>
      <w:bookmarkEnd w:id="289"/>
      <w:bookmarkEnd w:id="290"/>
      <w:bookmarkEnd w:id="291"/>
    </w:p>
    <w:p w14:paraId="02B493E8">
      <w:pPr>
        <w:autoSpaceDE w:val="0"/>
        <w:autoSpaceDN w:val="0"/>
        <w:spacing w:line="360" w:lineRule="auto"/>
        <w:jc w:val="left"/>
        <w:outlineLvl w:val="2"/>
        <w:rPr>
          <w:rFonts w:ascii="Times New Roman" w:hAnsi="Times New Roman" w:eastAsia="宋体" w:cs="Times New Roman"/>
          <w:b/>
          <w:color w:val="auto"/>
          <w:kern w:val="0"/>
          <w:sz w:val="28"/>
          <w:szCs w:val="20"/>
          <w:u w:val="none" w:color="auto"/>
        </w:rPr>
      </w:pPr>
      <w:r>
        <w:rPr>
          <w:rFonts w:ascii="Times New Roman" w:hAnsi="Times New Roman" w:eastAsia="宋体" w:cs="Times New Roman"/>
          <w:b/>
          <w:color w:val="auto"/>
          <w:kern w:val="0"/>
          <w:sz w:val="32"/>
          <w:szCs w:val="32"/>
          <w:u w:val="none" w:color="auto"/>
        </w:rPr>
        <w:fldChar w:fldCharType="end"/>
      </w:r>
      <w:bookmarkStart w:id="292" w:name="_Toc499283331"/>
      <w:bookmarkEnd w:id="292"/>
      <w:bookmarkStart w:id="293" w:name="_Toc3728289"/>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.1.1</w:t>
      </w:r>
      <w:bookmarkEnd w:id="293"/>
      <w:r>
        <w:rPr>
          <w:rFonts w:ascii="Times New Roman" w:hAnsi="Times New Roman" w:eastAsia="宋体" w:cs="Times New Roman"/>
          <w:b/>
          <w:color w:val="auto"/>
          <w:kern w:val="0"/>
          <w:sz w:val="28"/>
          <w:szCs w:val="20"/>
          <w:u w:val="none" w:color="auto"/>
        </w:rPr>
        <w:t>环境管理要求</w:t>
      </w:r>
    </w:p>
    <w:p w14:paraId="0ECE60C8">
      <w:pPr>
        <w:autoSpaceDE w:val="0"/>
        <w:autoSpaceDN w:val="0"/>
        <w:spacing w:line="360" w:lineRule="auto"/>
        <w:ind w:firstLine="482"/>
        <w:rPr>
          <w:rFonts w:ascii="Times New Roman" w:hAnsi="Times New Roman" w:eastAsia="宋体" w:cs="Times New Roman"/>
          <w:b/>
          <w:color w:val="auto"/>
          <w:kern w:val="0"/>
          <w:sz w:val="24"/>
          <w:szCs w:val="24"/>
          <w:u w:val="none" w:color="auto"/>
        </w:rPr>
      </w:pPr>
      <w:r>
        <w:rPr>
          <w:rFonts w:ascii="Times New Roman" w:hAnsi="Times New Roman" w:eastAsia="宋体" w:cs="Times New Roman"/>
          <w:bCs/>
          <w:color w:val="auto"/>
          <w:kern w:val="0"/>
          <w:sz w:val="24"/>
          <w:szCs w:val="24"/>
          <w:u w:val="none" w:color="auto"/>
        </w:rPr>
        <w:t>1、环境管理工作计划</w:t>
      </w:r>
    </w:p>
    <w:p w14:paraId="3775024E">
      <w:pPr>
        <w:spacing w:line="360" w:lineRule="auto"/>
        <w:ind w:firstLine="472" w:firstLineChars="200"/>
        <w:rPr>
          <w:rFonts w:ascii="Times New Roman" w:hAnsi="Times New Roman" w:cs="Times New Roman"/>
          <w:color w:val="auto"/>
          <w:spacing w:val="-2"/>
          <w:kern w:val="0"/>
          <w:sz w:val="24"/>
          <w:szCs w:val="24"/>
          <w:u w:val="none" w:color="auto"/>
        </w:rPr>
      </w:pPr>
      <w:r>
        <w:rPr>
          <w:rFonts w:ascii="Times New Roman" w:hAnsi="Times New Roman" w:cs="Times New Roman"/>
          <w:color w:val="auto"/>
          <w:spacing w:val="-2"/>
          <w:kern w:val="0"/>
          <w:sz w:val="24"/>
          <w:szCs w:val="24"/>
          <w:u w:val="none" w:color="auto"/>
        </w:rPr>
        <w:t>项目环境管理管理工作计划见表</w:t>
      </w:r>
      <w:r>
        <w:rPr>
          <w:rFonts w:hint="eastAsia" w:ascii="Times New Roman" w:hAnsi="Times New Roman" w:cs="Times New Roman"/>
          <w:color w:val="auto"/>
          <w:spacing w:val="-2"/>
          <w:kern w:val="0"/>
          <w:sz w:val="24"/>
          <w:szCs w:val="24"/>
          <w:u w:val="none" w:color="auto"/>
        </w:rPr>
        <w:t>7</w:t>
      </w:r>
      <w:r>
        <w:rPr>
          <w:rFonts w:ascii="Times New Roman" w:hAnsi="Times New Roman" w:cs="Times New Roman"/>
          <w:color w:val="auto"/>
          <w:spacing w:val="-2"/>
          <w:kern w:val="0"/>
          <w:sz w:val="24"/>
          <w:szCs w:val="24"/>
          <w:u w:val="none" w:color="auto"/>
        </w:rPr>
        <w:t>.1-1。</w:t>
      </w:r>
    </w:p>
    <w:p w14:paraId="028FAC48">
      <w:pPr>
        <w:jc w:val="center"/>
        <w:rPr>
          <w:rFonts w:ascii="Times New Roman" w:hAnsi="Times New Roman" w:cs="Times New Roman"/>
          <w:color w:val="auto"/>
          <w:u w:val="none" w:color="auto"/>
        </w:rPr>
      </w:pPr>
      <w:r>
        <w:rPr>
          <w:rFonts w:ascii="Times New Roman" w:hAnsi="Times New Roman" w:eastAsia="宋体" w:cs="Times New Roman"/>
          <w:color w:val="auto"/>
          <w:u w:val="none" w:color="auto"/>
        </w:rPr>
        <w:t>表7.1-1环境管理工作计划</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47"/>
        <w:gridCol w:w="7573"/>
      </w:tblGrid>
      <w:tr w14:paraId="0D992AF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restart"/>
            <w:tcBorders>
              <w:tl2br w:val="nil"/>
              <w:tr2bl w:val="nil"/>
            </w:tcBorders>
            <w:vAlign w:val="center"/>
          </w:tcPr>
          <w:p w14:paraId="63516B4D">
            <w:pPr>
              <w:autoSpaceDE w:val="0"/>
              <w:autoSpaceDN w:val="0"/>
              <w:adjustRightInd w:val="0"/>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企业环境管理总要求</w:t>
            </w:r>
          </w:p>
        </w:tc>
        <w:tc>
          <w:tcPr>
            <w:tcW w:w="7573" w:type="dxa"/>
            <w:tcBorders>
              <w:tl2br w:val="nil"/>
              <w:tr2bl w:val="nil"/>
            </w:tcBorders>
          </w:tcPr>
          <w:p w14:paraId="1ECD07F6">
            <w:pPr>
              <w:autoSpaceDE w:val="0"/>
              <w:autoSpaceDN w:val="0"/>
              <w:adjustRightInd w:val="0"/>
              <w:spacing w:line="320" w:lineRule="exact"/>
              <w:ind w:firstLine="420"/>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根据国家建设项目环境保护管理规定，认真落实各项环保手续</w:t>
            </w:r>
          </w:p>
        </w:tc>
      </w:tr>
      <w:tr w14:paraId="575835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continue"/>
            <w:tcBorders>
              <w:tl2br w:val="nil"/>
              <w:tr2bl w:val="nil"/>
            </w:tcBorders>
            <w:vAlign w:val="center"/>
          </w:tcPr>
          <w:p w14:paraId="2D010658">
            <w:pPr>
              <w:autoSpaceDE w:val="0"/>
              <w:autoSpaceDN w:val="0"/>
              <w:adjustRightInd w:val="0"/>
              <w:ind w:firstLine="420"/>
              <w:rPr>
                <w:rFonts w:ascii="Times New Roman" w:hAnsi="Times New Roman" w:eastAsia="宋体" w:cs="Times New Roman"/>
                <w:color w:val="auto"/>
                <w:spacing w:val="-2"/>
                <w:kern w:val="0"/>
                <w:szCs w:val="21"/>
                <w:u w:val="none" w:color="auto"/>
              </w:rPr>
            </w:pPr>
          </w:p>
        </w:tc>
        <w:tc>
          <w:tcPr>
            <w:tcW w:w="7573" w:type="dxa"/>
            <w:tcBorders>
              <w:tl2br w:val="nil"/>
              <w:tr2bl w:val="nil"/>
            </w:tcBorders>
          </w:tcPr>
          <w:p w14:paraId="1A609C27">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⑴可研阶段，委托评价单位编制环境影响报告；</w:t>
            </w:r>
          </w:p>
          <w:p w14:paraId="1AE0EED2">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⑵开工前，履行</w:t>
            </w:r>
            <w:r>
              <w:rPr>
                <w:rFonts w:ascii="Times New Roman" w:hAnsi="Times New Roman" w:eastAsia="宋体" w:cs="Times New Roman"/>
                <w:color w:val="auto"/>
                <w:spacing w:val="-2"/>
                <w:kern w:val="0"/>
                <w:szCs w:val="21"/>
                <w:u w:val="none" w:color="auto"/>
              </w:rPr>
              <w:t>“</w:t>
            </w:r>
            <w:r>
              <w:rPr>
                <w:rFonts w:ascii="Times New Roman" w:hAnsi="Times New Roman" w:eastAsia="宋体" w:cs="Times New Roman"/>
                <w:color w:val="auto"/>
                <w:spacing w:val="-2"/>
                <w:kern w:val="0"/>
                <w:szCs w:val="21"/>
                <w:u w:val="none" w:color="auto"/>
                <w:lang w:val="zh-CN"/>
              </w:rPr>
              <w:t>三同时</w:t>
            </w:r>
            <w:r>
              <w:rPr>
                <w:rFonts w:ascii="Times New Roman" w:hAnsi="Times New Roman" w:eastAsia="宋体" w:cs="Times New Roman"/>
                <w:color w:val="auto"/>
                <w:spacing w:val="-2"/>
                <w:kern w:val="0"/>
                <w:szCs w:val="21"/>
                <w:u w:val="none" w:color="auto"/>
              </w:rPr>
              <w:t>”</w:t>
            </w:r>
            <w:r>
              <w:rPr>
                <w:rFonts w:ascii="Times New Roman" w:hAnsi="Times New Roman" w:eastAsia="宋体" w:cs="Times New Roman"/>
                <w:color w:val="auto"/>
                <w:spacing w:val="-2"/>
                <w:kern w:val="0"/>
                <w:szCs w:val="21"/>
                <w:u w:val="none" w:color="auto"/>
                <w:lang w:val="zh-CN"/>
              </w:rPr>
              <w:t>手续；</w:t>
            </w:r>
          </w:p>
          <w:p w14:paraId="5A7BA80E">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⑶严把施工质量关，严格按照设计要求和施工验收规范质量要求执行；</w:t>
            </w:r>
          </w:p>
          <w:p w14:paraId="6FBEFA0F">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⑷生产运行中，定期进行自行监测工作，同时请当地</w:t>
            </w:r>
            <w:r>
              <w:rPr>
                <w:rFonts w:ascii="Times New Roman" w:hAnsi="Times New Roman" w:eastAsia="宋体" w:cs="Times New Roman"/>
                <w:color w:val="auto"/>
                <w:spacing w:val="-2"/>
                <w:kern w:val="0"/>
                <w:szCs w:val="21"/>
                <w:u w:val="none" w:color="auto"/>
              </w:rPr>
              <w:t>生态环境</w:t>
            </w:r>
            <w:r>
              <w:rPr>
                <w:rFonts w:ascii="Times New Roman" w:hAnsi="Times New Roman" w:eastAsia="宋体" w:cs="Times New Roman"/>
                <w:color w:val="auto"/>
                <w:spacing w:val="-2"/>
                <w:kern w:val="0"/>
                <w:szCs w:val="21"/>
                <w:u w:val="none" w:color="auto"/>
                <w:lang w:val="zh-CN"/>
              </w:rPr>
              <w:t>部门监督、检查、协助主管部门做好环境管理工作，对不达标装置及时整顿；</w:t>
            </w:r>
          </w:p>
          <w:p w14:paraId="4660E394">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⑸委托监测单位搞好自行监测工作，及时交纳排污费。</w:t>
            </w:r>
          </w:p>
        </w:tc>
      </w:tr>
      <w:tr w14:paraId="182D8BE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restart"/>
            <w:tcBorders>
              <w:tl2br w:val="nil"/>
              <w:tr2bl w:val="nil"/>
            </w:tcBorders>
            <w:vAlign w:val="center"/>
          </w:tcPr>
          <w:p w14:paraId="3B068CD2">
            <w:pPr>
              <w:autoSpaceDE w:val="0"/>
              <w:autoSpaceDN w:val="0"/>
              <w:adjustRightInd w:val="0"/>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施工阶段环境管理</w:t>
            </w:r>
          </w:p>
        </w:tc>
        <w:tc>
          <w:tcPr>
            <w:tcW w:w="7573" w:type="dxa"/>
            <w:tcBorders>
              <w:tl2br w:val="nil"/>
              <w:tr2bl w:val="nil"/>
            </w:tcBorders>
          </w:tcPr>
          <w:p w14:paraId="638A04D6">
            <w:pPr>
              <w:autoSpaceDE w:val="0"/>
              <w:autoSpaceDN w:val="0"/>
              <w:adjustRightInd w:val="0"/>
              <w:spacing w:line="320" w:lineRule="exact"/>
              <w:ind w:firstLine="412" w:firstLineChars="200"/>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落实环保措施，把对环境的影响降到最低</w:t>
            </w:r>
          </w:p>
        </w:tc>
      </w:tr>
      <w:tr w14:paraId="00449AE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continue"/>
            <w:tcBorders>
              <w:tl2br w:val="nil"/>
              <w:tr2bl w:val="nil"/>
            </w:tcBorders>
            <w:vAlign w:val="center"/>
          </w:tcPr>
          <w:p w14:paraId="675B1E86">
            <w:pPr>
              <w:autoSpaceDE w:val="0"/>
              <w:autoSpaceDN w:val="0"/>
              <w:adjustRightInd w:val="0"/>
              <w:rPr>
                <w:rFonts w:ascii="Times New Roman" w:hAnsi="Times New Roman" w:eastAsia="宋体" w:cs="Times New Roman"/>
                <w:color w:val="auto"/>
                <w:spacing w:val="-2"/>
                <w:kern w:val="0"/>
                <w:szCs w:val="21"/>
                <w:u w:val="none" w:color="auto"/>
              </w:rPr>
            </w:pPr>
          </w:p>
        </w:tc>
        <w:tc>
          <w:tcPr>
            <w:tcW w:w="7573" w:type="dxa"/>
            <w:tcBorders>
              <w:tl2br w:val="nil"/>
              <w:tr2bl w:val="nil"/>
            </w:tcBorders>
          </w:tcPr>
          <w:p w14:paraId="68C275C4">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⑴对施工期环境保护工作全面负责，履行施工期各阶段环境管理职责；</w:t>
            </w:r>
          </w:p>
          <w:p w14:paraId="60EDAEAA">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⑵对施工队伍实行职责管理，要求施工队伍按要求文明施工，做好监督、检查和教育工作；</w:t>
            </w:r>
          </w:p>
          <w:p w14:paraId="4E9369E3">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⑶按照环保主管部门的要求和本报告书中有关内容落实环境保护对策措施，并对施工程序、时间和场地布置实施统一安排；</w:t>
            </w:r>
          </w:p>
          <w:p w14:paraId="409F7A21">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⑷合理布置施工场内的机械和设备；</w:t>
            </w:r>
          </w:p>
          <w:p w14:paraId="14ADBEEA">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⑸检查施工扬尘和噪声的控制；</w:t>
            </w:r>
          </w:p>
          <w:p w14:paraId="5F39EE3B">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fldChar w:fldCharType="begin"/>
            </w:r>
            <w:r>
              <w:rPr>
                <w:rFonts w:ascii="Times New Roman" w:hAnsi="Times New Roman" w:eastAsia="宋体" w:cs="Times New Roman"/>
                <w:color w:val="auto"/>
                <w:spacing w:val="-2"/>
                <w:kern w:val="0"/>
                <w:szCs w:val="21"/>
                <w:u w:val="none" w:color="auto"/>
                <w:lang w:val="zh-CN"/>
              </w:rPr>
              <w:instrText xml:space="preserve"> = 6 \* GB2 </w:instrText>
            </w:r>
            <w:r>
              <w:rPr>
                <w:rFonts w:ascii="Times New Roman" w:hAnsi="Times New Roman" w:eastAsia="宋体" w:cs="Times New Roman"/>
                <w:color w:val="auto"/>
                <w:spacing w:val="-2"/>
                <w:kern w:val="0"/>
                <w:szCs w:val="21"/>
                <w:u w:val="none" w:color="auto"/>
                <w:lang w:val="zh-CN"/>
              </w:rPr>
              <w:fldChar w:fldCharType="separate"/>
            </w:r>
            <w:r>
              <w:rPr>
                <w:rFonts w:ascii="Times New Roman" w:hAnsi="Times New Roman" w:eastAsia="宋体" w:cs="Times New Roman"/>
                <w:color w:val="auto"/>
                <w:spacing w:val="-2"/>
                <w:kern w:val="0"/>
                <w:szCs w:val="21"/>
                <w:u w:val="none" w:color="auto"/>
                <w:lang w:val="zh-CN"/>
              </w:rPr>
              <w:t>⑹</w:t>
            </w:r>
            <w:r>
              <w:rPr>
                <w:rFonts w:ascii="Times New Roman" w:hAnsi="Times New Roman" w:eastAsia="宋体" w:cs="Times New Roman"/>
                <w:color w:val="auto"/>
                <w:spacing w:val="-2"/>
                <w:kern w:val="0"/>
                <w:szCs w:val="21"/>
                <w:u w:val="none" w:color="auto"/>
                <w:lang w:val="zh-CN"/>
              </w:rPr>
              <w:fldChar w:fldCharType="end"/>
            </w:r>
            <w:r>
              <w:rPr>
                <w:rFonts w:ascii="Times New Roman" w:hAnsi="Times New Roman" w:eastAsia="宋体" w:cs="Times New Roman"/>
                <w:color w:val="auto"/>
                <w:spacing w:val="-2"/>
                <w:kern w:val="0"/>
                <w:szCs w:val="21"/>
                <w:u w:val="none" w:color="auto"/>
                <w:lang w:val="zh-CN"/>
              </w:rPr>
              <w:t>检查环保设施与项目建设“三同时”；</w:t>
            </w:r>
          </w:p>
          <w:p w14:paraId="1B56C907">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fldChar w:fldCharType="begin"/>
            </w:r>
            <w:r>
              <w:rPr>
                <w:rFonts w:ascii="Times New Roman" w:hAnsi="Times New Roman" w:eastAsia="宋体" w:cs="Times New Roman"/>
                <w:color w:val="auto"/>
                <w:spacing w:val="-2"/>
                <w:kern w:val="0"/>
                <w:szCs w:val="21"/>
                <w:u w:val="none" w:color="auto"/>
                <w:lang w:val="zh-CN"/>
              </w:rPr>
              <w:instrText xml:space="preserve"> = 7 \* GB2 </w:instrText>
            </w:r>
            <w:r>
              <w:rPr>
                <w:rFonts w:ascii="Times New Roman" w:hAnsi="Times New Roman" w:eastAsia="宋体" w:cs="Times New Roman"/>
                <w:color w:val="auto"/>
                <w:spacing w:val="-2"/>
                <w:kern w:val="0"/>
                <w:szCs w:val="21"/>
                <w:u w:val="none" w:color="auto"/>
                <w:lang w:val="zh-CN"/>
              </w:rPr>
              <w:fldChar w:fldCharType="separate"/>
            </w:r>
            <w:r>
              <w:rPr>
                <w:rFonts w:ascii="Times New Roman" w:hAnsi="Times New Roman" w:eastAsia="宋体" w:cs="Times New Roman"/>
                <w:color w:val="auto"/>
                <w:spacing w:val="-2"/>
                <w:kern w:val="0"/>
                <w:szCs w:val="21"/>
                <w:u w:val="none" w:color="auto"/>
                <w:lang w:val="zh-CN"/>
              </w:rPr>
              <w:t>⑺</w:t>
            </w:r>
            <w:r>
              <w:rPr>
                <w:rFonts w:ascii="Times New Roman" w:hAnsi="Times New Roman" w:eastAsia="宋体" w:cs="Times New Roman"/>
                <w:color w:val="auto"/>
                <w:spacing w:val="-2"/>
                <w:kern w:val="0"/>
                <w:szCs w:val="21"/>
                <w:u w:val="none" w:color="auto"/>
                <w:lang w:val="zh-CN"/>
              </w:rPr>
              <w:fldChar w:fldCharType="end"/>
            </w:r>
            <w:r>
              <w:rPr>
                <w:rFonts w:ascii="Times New Roman" w:hAnsi="Times New Roman" w:eastAsia="宋体" w:cs="Times New Roman"/>
                <w:color w:val="auto"/>
                <w:spacing w:val="-2"/>
                <w:kern w:val="0"/>
                <w:szCs w:val="21"/>
                <w:u w:val="none" w:color="auto"/>
                <w:lang w:val="zh-CN"/>
              </w:rPr>
              <w:t>检查环保措施是否达到设计和标准要求。</w:t>
            </w:r>
          </w:p>
        </w:tc>
      </w:tr>
      <w:tr w14:paraId="412BF97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restart"/>
            <w:tcBorders>
              <w:tl2br w:val="nil"/>
              <w:tr2bl w:val="nil"/>
            </w:tcBorders>
            <w:vAlign w:val="center"/>
          </w:tcPr>
          <w:p w14:paraId="2C8A2D90">
            <w:pPr>
              <w:autoSpaceDE w:val="0"/>
              <w:autoSpaceDN w:val="0"/>
              <w:adjustRightInd w:val="0"/>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生产阶段环境管理</w:t>
            </w:r>
          </w:p>
        </w:tc>
        <w:tc>
          <w:tcPr>
            <w:tcW w:w="7573" w:type="dxa"/>
            <w:tcBorders>
              <w:tl2br w:val="nil"/>
              <w:tr2bl w:val="nil"/>
            </w:tcBorders>
          </w:tcPr>
          <w:p w14:paraId="288C793B">
            <w:pPr>
              <w:autoSpaceDE w:val="0"/>
              <w:autoSpaceDN w:val="0"/>
              <w:adjustRightInd w:val="0"/>
              <w:spacing w:line="320" w:lineRule="exact"/>
              <w:ind w:firstLine="420"/>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加强环保设备运行检查，确保达产达标、力求降低排污水平</w:t>
            </w:r>
          </w:p>
        </w:tc>
      </w:tr>
      <w:tr w14:paraId="1A317D1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continue"/>
            <w:tcBorders>
              <w:tl2br w:val="nil"/>
              <w:tr2bl w:val="nil"/>
            </w:tcBorders>
            <w:vAlign w:val="center"/>
          </w:tcPr>
          <w:p w14:paraId="68B6A259">
            <w:pPr>
              <w:autoSpaceDE w:val="0"/>
              <w:autoSpaceDN w:val="0"/>
              <w:adjustRightInd w:val="0"/>
              <w:ind w:firstLine="420"/>
              <w:rPr>
                <w:rFonts w:ascii="Times New Roman" w:hAnsi="Times New Roman" w:eastAsia="宋体" w:cs="Times New Roman"/>
                <w:color w:val="auto"/>
                <w:spacing w:val="-2"/>
                <w:kern w:val="0"/>
                <w:szCs w:val="21"/>
                <w:u w:val="none" w:color="auto"/>
              </w:rPr>
            </w:pPr>
          </w:p>
        </w:tc>
        <w:tc>
          <w:tcPr>
            <w:tcW w:w="7573" w:type="dxa"/>
            <w:tcBorders>
              <w:tl2br w:val="nil"/>
              <w:tr2bl w:val="nil"/>
            </w:tcBorders>
          </w:tcPr>
          <w:p w14:paraId="670F6FBF">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⑴明确专人负责公司环保设施的日常运行管理工作；</w:t>
            </w:r>
          </w:p>
          <w:p w14:paraId="1E8D44D4">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⑵检查生产期间环保设施的实施；</w:t>
            </w:r>
          </w:p>
          <w:p w14:paraId="6ACBDA5A">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⑶对各项环保设施操作、维护定量考核，建立环保设施运行档案；</w:t>
            </w:r>
          </w:p>
          <w:p w14:paraId="60D82C1C">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⑷检查环境监测等计划的实施；</w:t>
            </w:r>
          </w:p>
          <w:p w14:paraId="1FF01BA6">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lang w:val="zh-CN"/>
              </w:rPr>
            </w:pPr>
            <w:r>
              <w:rPr>
                <w:rFonts w:ascii="Times New Roman" w:hAnsi="Times New Roman" w:eastAsia="宋体" w:cs="Times New Roman"/>
                <w:color w:val="auto"/>
                <w:spacing w:val="-2"/>
                <w:kern w:val="0"/>
                <w:szCs w:val="21"/>
                <w:u w:val="none" w:color="auto"/>
                <w:lang w:val="zh-CN"/>
              </w:rPr>
              <w:t>⑸检查环境敏感点的环境质量是否满足其相应的质量标准要求；</w:t>
            </w:r>
          </w:p>
          <w:p w14:paraId="4E36EF0A">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fldChar w:fldCharType="begin"/>
            </w:r>
            <w:r>
              <w:rPr>
                <w:rFonts w:ascii="Times New Roman" w:hAnsi="Times New Roman" w:eastAsia="宋体" w:cs="Times New Roman"/>
                <w:color w:val="auto"/>
                <w:spacing w:val="-2"/>
                <w:kern w:val="0"/>
                <w:szCs w:val="21"/>
                <w:u w:val="none" w:color="auto"/>
                <w:lang w:val="zh-CN"/>
              </w:rPr>
              <w:instrText xml:space="preserve"> = 6 \* GB2 </w:instrText>
            </w:r>
            <w:r>
              <w:rPr>
                <w:rFonts w:ascii="Times New Roman" w:hAnsi="Times New Roman" w:eastAsia="宋体" w:cs="Times New Roman"/>
                <w:color w:val="auto"/>
                <w:spacing w:val="-2"/>
                <w:kern w:val="0"/>
                <w:szCs w:val="21"/>
                <w:u w:val="none" w:color="auto"/>
                <w:lang w:val="zh-CN"/>
              </w:rPr>
              <w:fldChar w:fldCharType="separate"/>
            </w:r>
            <w:r>
              <w:rPr>
                <w:rFonts w:ascii="Times New Roman" w:hAnsi="Times New Roman" w:eastAsia="宋体" w:cs="Times New Roman"/>
                <w:color w:val="auto"/>
                <w:spacing w:val="-2"/>
                <w:kern w:val="0"/>
                <w:szCs w:val="21"/>
                <w:u w:val="none" w:color="auto"/>
                <w:lang w:val="zh-CN"/>
              </w:rPr>
              <w:t>⑹</w:t>
            </w:r>
            <w:r>
              <w:rPr>
                <w:rFonts w:ascii="Times New Roman" w:hAnsi="Times New Roman" w:eastAsia="宋体" w:cs="Times New Roman"/>
                <w:color w:val="auto"/>
                <w:spacing w:val="-2"/>
                <w:kern w:val="0"/>
                <w:szCs w:val="21"/>
                <w:u w:val="none" w:color="auto"/>
                <w:lang w:val="zh-CN"/>
              </w:rPr>
              <w:fldChar w:fldCharType="end"/>
            </w:r>
            <w:r>
              <w:rPr>
                <w:rFonts w:ascii="Times New Roman" w:hAnsi="Times New Roman" w:eastAsia="宋体" w:cs="Times New Roman"/>
                <w:color w:val="auto"/>
                <w:spacing w:val="-2"/>
                <w:kern w:val="0"/>
                <w:szCs w:val="21"/>
                <w:u w:val="none" w:color="auto"/>
                <w:lang w:val="zh-CN"/>
              </w:rPr>
              <w:t>提出和落实合理利用能源、资源、节水、节能等清洁生产措施。</w:t>
            </w:r>
          </w:p>
        </w:tc>
      </w:tr>
      <w:tr w14:paraId="6CEAD98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restart"/>
            <w:tcBorders>
              <w:tl2br w:val="nil"/>
              <w:tr2bl w:val="nil"/>
            </w:tcBorders>
            <w:vAlign w:val="center"/>
          </w:tcPr>
          <w:p w14:paraId="01B95DAD">
            <w:pPr>
              <w:autoSpaceDE w:val="0"/>
              <w:autoSpaceDN w:val="0"/>
              <w:adjustRightInd w:val="0"/>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信息反馈和群众监督</w:t>
            </w:r>
          </w:p>
        </w:tc>
        <w:tc>
          <w:tcPr>
            <w:tcW w:w="7573" w:type="dxa"/>
            <w:tcBorders>
              <w:tl2br w:val="nil"/>
              <w:tr2bl w:val="nil"/>
            </w:tcBorders>
          </w:tcPr>
          <w:p w14:paraId="16FE3381">
            <w:pPr>
              <w:autoSpaceDE w:val="0"/>
              <w:autoSpaceDN w:val="0"/>
              <w:adjustRightInd w:val="0"/>
              <w:spacing w:line="320" w:lineRule="exact"/>
              <w:ind w:firstLine="420"/>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反馈监督数据，加强群众监督，改进污染治理工作</w:t>
            </w:r>
          </w:p>
        </w:tc>
      </w:tr>
      <w:tr w14:paraId="34274C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947" w:type="dxa"/>
            <w:vMerge w:val="continue"/>
            <w:tcBorders>
              <w:tl2br w:val="nil"/>
              <w:tr2bl w:val="nil"/>
            </w:tcBorders>
          </w:tcPr>
          <w:p w14:paraId="2D0526AE">
            <w:pPr>
              <w:autoSpaceDE w:val="0"/>
              <w:autoSpaceDN w:val="0"/>
              <w:adjustRightInd w:val="0"/>
              <w:ind w:firstLine="420"/>
              <w:jc w:val="left"/>
              <w:rPr>
                <w:rFonts w:ascii="Times New Roman" w:hAnsi="Times New Roman" w:eastAsia="宋体" w:cs="Times New Roman"/>
                <w:color w:val="auto"/>
                <w:spacing w:val="-2"/>
                <w:kern w:val="0"/>
                <w:szCs w:val="21"/>
                <w:u w:val="none" w:color="auto"/>
              </w:rPr>
            </w:pPr>
          </w:p>
        </w:tc>
        <w:tc>
          <w:tcPr>
            <w:tcW w:w="7573" w:type="dxa"/>
            <w:tcBorders>
              <w:tl2br w:val="nil"/>
              <w:tr2bl w:val="nil"/>
            </w:tcBorders>
          </w:tcPr>
          <w:p w14:paraId="5CF6D5A6">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⑴建立奖惩制度，保证环保设施正常运转；</w:t>
            </w:r>
          </w:p>
          <w:p w14:paraId="7E0FF11A">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⑵归纳整理监督数据，技术部门配合进行工艺改进；</w:t>
            </w:r>
          </w:p>
          <w:p w14:paraId="0D3D835F">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⑶聘请附近居民和职工为监督员，收集附近居民和职工的意见；</w:t>
            </w:r>
          </w:p>
          <w:p w14:paraId="494F89B8">
            <w:pPr>
              <w:autoSpaceDE w:val="0"/>
              <w:autoSpaceDN w:val="0"/>
              <w:adjustRightInd w:val="0"/>
              <w:spacing w:line="320" w:lineRule="exact"/>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lang w:val="zh-CN"/>
              </w:rPr>
              <w:t>⑷配合</w:t>
            </w:r>
            <w:r>
              <w:rPr>
                <w:rFonts w:ascii="Times New Roman" w:hAnsi="Times New Roman" w:eastAsia="宋体" w:cs="Times New Roman"/>
                <w:color w:val="auto"/>
                <w:spacing w:val="-2"/>
                <w:kern w:val="0"/>
                <w:szCs w:val="21"/>
                <w:u w:val="none" w:color="auto"/>
              </w:rPr>
              <w:t>生态环境</w:t>
            </w:r>
            <w:r>
              <w:rPr>
                <w:rFonts w:ascii="Times New Roman" w:hAnsi="Times New Roman" w:eastAsia="宋体" w:cs="Times New Roman"/>
                <w:color w:val="auto"/>
                <w:spacing w:val="-2"/>
                <w:kern w:val="0"/>
                <w:szCs w:val="21"/>
                <w:u w:val="none" w:color="auto"/>
                <w:lang w:val="zh-CN"/>
              </w:rPr>
              <w:t>部门的检查验收。</w:t>
            </w:r>
          </w:p>
        </w:tc>
      </w:tr>
    </w:tbl>
    <w:p w14:paraId="2665C851">
      <w:pPr>
        <w:rPr>
          <w:rFonts w:ascii="Times New Roman" w:hAnsi="Times New Roman" w:cs="Times New Roman"/>
          <w:color w:val="auto"/>
          <w:u w:val="none" w:color="auto"/>
        </w:rPr>
      </w:pPr>
    </w:p>
    <w:p w14:paraId="007FD785">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2、环境污染防治对策计划</w:t>
      </w:r>
    </w:p>
    <w:p w14:paraId="30F0FC43">
      <w:pPr>
        <w:spacing w:line="360" w:lineRule="auto"/>
        <w:ind w:firstLine="472" w:firstLineChars="20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根据环保措施应与建设项目同时设计、同时施工、同时使用的“三同时”要求，项目污染治理措施应在项目设计阶段落实，以利于实施。</w:t>
      </w:r>
    </w:p>
    <w:p w14:paraId="4EB6DDD8">
      <w:pPr>
        <w:spacing w:line="360" w:lineRule="auto"/>
        <w:ind w:firstLine="472" w:firstLineChars="20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建设项目污染防治措施的配套建设应按相关规定如期完成，并实施污染防治计划。本项目为技改项目，主要防治计划是前期阶段、施工期、营运期的环境保护防治措施。防治计划见表</w:t>
      </w:r>
      <w:r>
        <w:rPr>
          <w:rFonts w:hint="eastAsia" w:ascii="Times New Roman" w:hAnsi="Times New Roman" w:eastAsia="宋体" w:cs="Times New Roman"/>
          <w:color w:val="auto"/>
          <w:spacing w:val="-2"/>
          <w:kern w:val="0"/>
          <w:sz w:val="24"/>
          <w:szCs w:val="24"/>
          <w:u w:val="none" w:color="auto"/>
        </w:rPr>
        <w:t>7</w:t>
      </w:r>
      <w:r>
        <w:rPr>
          <w:rFonts w:ascii="Times New Roman" w:hAnsi="Times New Roman" w:eastAsia="宋体" w:cs="Times New Roman"/>
          <w:color w:val="auto"/>
          <w:spacing w:val="-2"/>
          <w:kern w:val="0"/>
          <w:sz w:val="24"/>
          <w:szCs w:val="24"/>
          <w:u w:val="none" w:color="auto"/>
        </w:rPr>
        <w:t>.1-2。</w:t>
      </w:r>
    </w:p>
    <w:p w14:paraId="429E27E1">
      <w:pPr>
        <w:jc w:val="center"/>
        <w:rPr>
          <w:rFonts w:ascii="Times New Roman" w:hAnsi="Times New Roman" w:cs="Times New Roman"/>
          <w:color w:val="auto"/>
          <w:u w:val="none" w:color="auto"/>
        </w:rPr>
      </w:pPr>
      <w:r>
        <w:rPr>
          <w:rFonts w:ascii="Times New Roman" w:hAnsi="Times New Roman" w:cs="Times New Roman"/>
          <w:color w:val="auto"/>
          <w:u w:val="none" w:color="auto"/>
        </w:rPr>
        <w:t>表</w:t>
      </w:r>
      <w:r>
        <w:rPr>
          <w:rFonts w:hint="eastAsia" w:ascii="Times New Roman" w:hAnsi="Times New Roman" w:cs="Times New Roman"/>
          <w:color w:val="auto"/>
          <w:u w:val="none" w:color="auto"/>
        </w:rPr>
        <w:t>7</w:t>
      </w:r>
      <w:r>
        <w:rPr>
          <w:rFonts w:ascii="Times New Roman" w:hAnsi="Times New Roman" w:cs="Times New Roman"/>
          <w:color w:val="auto"/>
          <w:u w:val="none" w:color="auto"/>
        </w:rPr>
        <w:t>.1-2 环境保护防治措施实施计划</w:t>
      </w:r>
    </w:p>
    <w:tbl>
      <w:tblPr>
        <w:tblStyle w:val="37"/>
        <w:tblW w:w="841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604"/>
        <w:gridCol w:w="5640"/>
        <w:gridCol w:w="1174"/>
      </w:tblGrid>
      <w:tr w14:paraId="453801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502CDD18">
            <w:pPr>
              <w:jc w:val="center"/>
              <w:rPr>
                <w:rFonts w:ascii="Times New Roman" w:hAnsi="Times New Roman" w:eastAsia="宋体" w:cs="Times New Roman"/>
                <w:b/>
                <w:bCs/>
                <w:color w:val="auto"/>
                <w:spacing w:val="-2"/>
                <w:kern w:val="0"/>
                <w:szCs w:val="21"/>
                <w:u w:val="none" w:color="auto"/>
              </w:rPr>
            </w:pPr>
            <w:r>
              <w:rPr>
                <w:rFonts w:ascii="Times New Roman" w:hAnsi="Times New Roman" w:eastAsia="宋体" w:cs="Times New Roman"/>
                <w:b/>
                <w:bCs/>
                <w:color w:val="auto"/>
                <w:spacing w:val="-2"/>
                <w:kern w:val="0"/>
                <w:szCs w:val="21"/>
                <w:u w:val="none" w:color="auto"/>
              </w:rPr>
              <w:t>项目</w:t>
            </w:r>
          </w:p>
        </w:tc>
        <w:tc>
          <w:tcPr>
            <w:tcW w:w="5640" w:type="dxa"/>
            <w:vAlign w:val="center"/>
          </w:tcPr>
          <w:p w14:paraId="5D8ACD07">
            <w:pPr>
              <w:jc w:val="center"/>
              <w:rPr>
                <w:rFonts w:ascii="Times New Roman" w:hAnsi="Times New Roman" w:eastAsia="宋体" w:cs="Times New Roman"/>
                <w:b/>
                <w:bCs/>
                <w:color w:val="auto"/>
                <w:spacing w:val="-2"/>
                <w:kern w:val="0"/>
                <w:szCs w:val="21"/>
                <w:u w:val="none" w:color="auto"/>
              </w:rPr>
            </w:pPr>
            <w:r>
              <w:rPr>
                <w:rFonts w:ascii="Times New Roman" w:hAnsi="Times New Roman" w:eastAsia="宋体" w:cs="Times New Roman"/>
                <w:b/>
                <w:bCs/>
                <w:color w:val="auto"/>
                <w:spacing w:val="-2"/>
                <w:kern w:val="0"/>
                <w:szCs w:val="21"/>
                <w:u w:val="none" w:color="auto"/>
              </w:rPr>
              <w:t>环境保护监督管理内容</w:t>
            </w:r>
          </w:p>
        </w:tc>
        <w:tc>
          <w:tcPr>
            <w:tcW w:w="1174" w:type="dxa"/>
            <w:vAlign w:val="center"/>
          </w:tcPr>
          <w:p w14:paraId="3917E4F8">
            <w:pPr>
              <w:jc w:val="center"/>
              <w:rPr>
                <w:rFonts w:ascii="Times New Roman" w:hAnsi="Times New Roman" w:eastAsia="宋体" w:cs="Times New Roman"/>
                <w:b/>
                <w:bCs/>
                <w:color w:val="auto"/>
                <w:spacing w:val="-2"/>
                <w:kern w:val="0"/>
                <w:szCs w:val="21"/>
                <w:u w:val="none" w:color="auto"/>
              </w:rPr>
            </w:pPr>
            <w:r>
              <w:rPr>
                <w:rFonts w:ascii="Times New Roman" w:hAnsi="Times New Roman" w:eastAsia="宋体" w:cs="Times New Roman"/>
                <w:b/>
                <w:bCs/>
                <w:color w:val="auto"/>
                <w:spacing w:val="-2"/>
                <w:kern w:val="0"/>
                <w:szCs w:val="21"/>
                <w:u w:val="none" w:color="auto"/>
              </w:rPr>
              <w:t>执行机构</w:t>
            </w:r>
          </w:p>
        </w:tc>
      </w:tr>
      <w:tr w14:paraId="2F709B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8418" w:type="dxa"/>
            <w:gridSpan w:val="3"/>
            <w:vAlign w:val="center"/>
          </w:tcPr>
          <w:p w14:paraId="4098F601">
            <w:pPr>
              <w:rPr>
                <w:rFonts w:ascii="Times New Roman" w:hAnsi="Times New Roman" w:eastAsia="宋体" w:cs="Times New Roman"/>
                <w:b/>
                <w:bCs/>
                <w:color w:val="auto"/>
                <w:spacing w:val="-2"/>
                <w:kern w:val="0"/>
                <w:szCs w:val="21"/>
                <w:u w:val="none" w:color="auto"/>
              </w:rPr>
            </w:pPr>
            <w:r>
              <w:rPr>
                <w:rFonts w:ascii="Times New Roman" w:hAnsi="Times New Roman" w:eastAsia="宋体" w:cs="Times New Roman"/>
                <w:b/>
                <w:bCs/>
                <w:color w:val="auto"/>
                <w:spacing w:val="-2"/>
                <w:kern w:val="0"/>
                <w:szCs w:val="21"/>
                <w:u w:val="none" w:color="auto"/>
              </w:rPr>
              <w:t>一、施工期</w:t>
            </w:r>
          </w:p>
        </w:tc>
      </w:tr>
      <w:tr w14:paraId="09F34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0B68F05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大气污染防治</w:t>
            </w:r>
          </w:p>
        </w:tc>
        <w:tc>
          <w:tcPr>
            <w:tcW w:w="5640" w:type="dxa"/>
            <w:vAlign w:val="center"/>
          </w:tcPr>
          <w:p w14:paraId="5DA0EDD5">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运输的主干道应进行路面硬化，并且在干燥气候条件下，应适当的给路面洒水。运输汽车应完好，不得超载，并采取遮盖、密闭措施，以防泥土洒落，以减少起尘量。</w:t>
            </w:r>
          </w:p>
        </w:tc>
        <w:tc>
          <w:tcPr>
            <w:tcW w:w="1174" w:type="dxa"/>
            <w:vMerge w:val="restart"/>
            <w:vAlign w:val="center"/>
          </w:tcPr>
          <w:p w14:paraId="023724A7">
            <w:pP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钦州锦峰海洋重工科技有限公司</w:t>
            </w:r>
          </w:p>
        </w:tc>
      </w:tr>
      <w:tr w14:paraId="208476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513B026C">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水污染防治</w:t>
            </w:r>
          </w:p>
        </w:tc>
        <w:tc>
          <w:tcPr>
            <w:tcW w:w="5640" w:type="dxa"/>
            <w:vAlign w:val="center"/>
          </w:tcPr>
          <w:p w14:paraId="06499824">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生活污水经三级化粪池达标后排入管网。施工废水经沉淀后用于场地除尘。</w:t>
            </w:r>
          </w:p>
        </w:tc>
        <w:tc>
          <w:tcPr>
            <w:tcW w:w="1174" w:type="dxa"/>
            <w:vMerge w:val="continue"/>
            <w:vAlign w:val="center"/>
          </w:tcPr>
          <w:p w14:paraId="650F2509">
            <w:pPr>
              <w:rPr>
                <w:rFonts w:ascii="Times New Roman" w:hAnsi="Times New Roman" w:eastAsia="宋体" w:cs="Times New Roman"/>
                <w:color w:val="auto"/>
                <w:spacing w:val="-2"/>
                <w:kern w:val="0"/>
                <w:szCs w:val="21"/>
                <w:u w:val="none" w:color="auto"/>
              </w:rPr>
            </w:pPr>
          </w:p>
        </w:tc>
      </w:tr>
      <w:tr w14:paraId="0BC46B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72B2868E">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噪声污染防治</w:t>
            </w:r>
          </w:p>
        </w:tc>
        <w:tc>
          <w:tcPr>
            <w:tcW w:w="5640" w:type="dxa"/>
            <w:vAlign w:val="center"/>
          </w:tcPr>
          <w:p w14:paraId="243CA51B">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合理安排施工计划和施工机械设备组合；做好接触高噪声人员的劳动保护，接触高噪声工人应采取配戴防声耳塞、耳罩等措施，减轻噪声对施工人员的危害。</w:t>
            </w:r>
          </w:p>
        </w:tc>
        <w:tc>
          <w:tcPr>
            <w:tcW w:w="1174" w:type="dxa"/>
            <w:vMerge w:val="continue"/>
            <w:vAlign w:val="center"/>
          </w:tcPr>
          <w:p w14:paraId="5D9260AE">
            <w:pPr>
              <w:widowControl/>
              <w:jc w:val="left"/>
              <w:rPr>
                <w:rFonts w:ascii="Times New Roman" w:hAnsi="Times New Roman" w:eastAsia="宋体" w:cs="Times New Roman"/>
                <w:color w:val="auto"/>
                <w:spacing w:val="-2"/>
                <w:kern w:val="0"/>
                <w:szCs w:val="21"/>
                <w:u w:val="none" w:color="auto"/>
              </w:rPr>
            </w:pPr>
          </w:p>
        </w:tc>
      </w:tr>
      <w:tr w14:paraId="057A7D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5C2B227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固体废物防治</w:t>
            </w:r>
          </w:p>
        </w:tc>
        <w:tc>
          <w:tcPr>
            <w:tcW w:w="5640" w:type="dxa"/>
            <w:vAlign w:val="center"/>
          </w:tcPr>
          <w:p w14:paraId="46F6C438">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生活垃圾由环卫部门统一收集运送至垃圾处理场集中处理。建筑垃圾运至市政管理部门指定地点堆放。</w:t>
            </w:r>
          </w:p>
        </w:tc>
        <w:tc>
          <w:tcPr>
            <w:tcW w:w="1174" w:type="dxa"/>
            <w:vMerge w:val="continue"/>
            <w:vAlign w:val="center"/>
          </w:tcPr>
          <w:p w14:paraId="156ADA9E">
            <w:pPr>
              <w:widowControl/>
              <w:jc w:val="left"/>
              <w:rPr>
                <w:rFonts w:ascii="Times New Roman" w:hAnsi="Times New Roman" w:eastAsia="宋体" w:cs="Times New Roman"/>
                <w:color w:val="auto"/>
                <w:spacing w:val="-2"/>
                <w:kern w:val="0"/>
                <w:szCs w:val="21"/>
                <w:u w:val="none" w:color="auto"/>
              </w:rPr>
            </w:pPr>
          </w:p>
        </w:tc>
      </w:tr>
      <w:tr w14:paraId="7BB09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8418" w:type="dxa"/>
            <w:gridSpan w:val="3"/>
            <w:vAlign w:val="center"/>
          </w:tcPr>
          <w:p w14:paraId="46724556">
            <w:pPr>
              <w:widowControl/>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b/>
                <w:bCs/>
                <w:color w:val="auto"/>
                <w:spacing w:val="-2"/>
                <w:kern w:val="0"/>
                <w:szCs w:val="21"/>
                <w:u w:val="none" w:color="auto"/>
              </w:rPr>
              <w:t>二、运营期</w:t>
            </w:r>
          </w:p>
        </w:tc>
      </w:tr>
      <w:tr w14:paraId="342F23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675190A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大气污染防治</w:t>
            </w:r>
          </w:p>
        </w:tc>
        <w:tc>
          <w:tcPr>
            <w:tcW w:w="5640" w:type="dxa"/>
            <w:vAlign w:val="center"/>
          </w:tcPr>
          <w:p w14:paraId="53B34263">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①喷砂房废气由滤筒除尘器处理+</w:t>
            </w:r>
            <w:r>
              <w:rPr>
                <w:rFonts w:hint="eastAsia" w:ascii="Times New Roman" w:hAnsi="Times New Roman" w:eastAsia="宋体" w:cs="Times New Roman"/>
                <w:color w:val="auto"/>
                <w:spacing w:val="-2"/>
                <w:kern w:val="0"/>
                <w:szCs w:val="21"/>
                <w:u w:val="none" w:color="auto"/>
                <w:lang w:eastAsia="zh-CN"/>
              </w:rPr>
              <w:t>30m</w:t>
            </w:r>
            <w:r>
              <w:rPr>
                <w:rFonts w:hint="eastAsia" w:ascii="Times New Roman" w:hAnsi="Times New Roman" w:eastAsia="宋体" w:cs="Times New Roman"/>
                <w:color w:val="auto"/>
                <w:spacing w:val="-2"/>
                <w:kern w:val="0"/>
                <w:szCs w:val="21"/>
                <w:u w:val="none" w:color="auto"/>
                <w:lang w:val="en-US" w:eastAsia="zh-CN"/>
              </w:rPr>
              <w:t>DA001</w:t>
            </w:r>
            <w:r>
              <w:rPr>
                <w:rFonts w:ascii="Times New Roman" w:hAnsi="Times New Roman" w:eastAsia="宋体" w:cs="Times New Roman"/>
                <w:color w:val="auto"/>
                <w:spacing w:val="-2"/>
                <w:kern w:val="0"/>
                <w:szCs w:val="21"/>
                <w:u w:val="none" w:color="auto"/>
              </w:rPr>
              <w:t>排气筒排放。</w:t>
            </w:r>
          </w:p>
          <w:p w14:paraId="0BC05E25">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②</w:t>
            </w:r>
            <w:r>
              <w:rPr>
                <w:rFonts w:hint="eastAsia" w:ascii="Times New Roman" w:hAnsi="Times New Roman" w:eastAsia="宋体" w:cs="Times New Roman"/>
                <w:color w:val="auto"/>
                <w:spacing w:val="-2"/>
                <w:kern w:val="0"/>
                <w:szCs w:val="21"/>
                <w:u w:val="none" w:color="auto"/>
                <w:lang w:eastAsia="zh-CN"/>
              </w:rPr>
              <w:t>涂装车间</w:t>
            </w:r>
            <w:r>
              <w:rPr>
                <w:rFonts w:ascii="Times New Roman" w:hAnsi="Times New Roman" w:eastAsia="宋体" w:cs="Times New Roman"/>
                <w:color w:val="auto"/>
                <w:spacing w:val="-2"/>
                <w:kern w:val="0"/>
                <w:szCs w:val="21"/>
                <w:u w:val="none" w:color="auto"/>
              </w:rPr>
              <w:t>废气由干式漆雾过滤器+活性炭吸附</w:t>
            </w:r>
            <w:r>
              <w:rPr>
                <w:rFonts w:hint="eastAsia" w:ascii="Times New Roman" w:hAnsi="Times New Roman" w:eastAsia="宋体" w:cs="Times New Roman"/>
                <w:color w:val="auto"/>
                <w:spacing w:val="-2"/>
                <w:kern w:val="0"/>
                <w:szCs w:val="21"/>
                <w:u w:val="none" w:color="auto"/>
              </w:rPr>
              <w:t>+</w:t>
            </w:r>
            <w:r>
              <w:rPr>
                <w:rFonts w:ascii="Times New Roman" w:hAnsi="Times New Roman" w:eastAsia="宋体" w:cs="Times New Roman"/>
                <w:color w:val="auto"/>
                <w:spacing w:val="-2"/>
                <w:kern w:val="0"/>
                <w:szCs w:val="21"/>
                <w:u w:val="none" w:color="auto"/>
              </w:rPr>
              <w:t>解吸脱附+催化燃烧处理装置+</w:t>
            </w:r>
            <w:r>
              <w:rPr>
                <w:rFonts w:hint="eastAsia" w:ascii="Times New Roman" w:hAnsi="Times New Roman" w:eastAsia="宋体" w:cs="Times New Roman"/>
                <w:color w:val="auto"/>
                <w:spacing w:val="-2"/>
                <w:kern w:val="0"/>
                <w:szCs w:val="21"/>
                <w:u w:val="none" w:color="auto"/>
                <w:lang w:eastAsia="zh-CN"/>
              </w:rPr>
              <w:t>30m</w:t>
            </w:r>
            <w:r>
              <w:rPr>
                <w:rFonts w:hint="eastAsia" w:ascii="Times New Roman" w:hAnsi="Times New Roman" w:eastAsia="宋体" w:cs="Times New Roman"/>
                <w:color w:val="auto"/>
                <w:spacing w:val="-2"/>
                <w:kern w:val="0"/>
                <w:szCs w:val="21"/>
                <w:u w:val="none" w:color="auto"/>
                <w:lang w:val="en-US" w:eastAsia="zh-CN"/>
              </w:rPr>
              <w:t>DA002</w:t>
            </w:r>
            <w:r>
              <w:rPr>
                <w:rFonts w:ascii="Times New Roman" w:hAnsi="Times New Roman" w:eastAsia="宋体" w:cs="Times New Roman"/>
                <w:color w:val="auto"/>
                <w:spacing w:val="-2"/>
                <w:kern w:val="0"/>
                <w:szCs w:val="21"/>
                <w:u w:val="none" w:color="auto"/>
              </w:rPr>
              <w:t>排气筒。</w:t>
            </w:r>
          </w:p>
          <w:p w14:paraId="70325E22">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③</w:t>
            </w:r>
            <w:r>
              <w:rPr>
                <w:rFonts w:hint="eastAsia" w:ascii="Times New Roman" w:hAnsi="Times New Roman" w:eastAsia="宋体" w:cs="Times New Roman"/>
                <w:color w:val="auto"/>
                <w:spacing w:val="-2"/>
                <w:kern w:val="0"/>
                <w:szCs w:val="21"/>
                <w:u w:val="none" w:color="auto"/>
                <w:lang w:eastAsia="zh-CN"/>
              </w:rPr>
              <w:t>危废暂存间</w:t>
            </w:r>
            <w:r>
              <w:rPr>
                <w:rFonts w:ascii="Times New Roman" w:hAnsi="Times New Roman" w:eastAsia="宋体" w:cs="Times New Roman"/>
                <w:color w:val="auto"/>
                <w:spacing w:val="-2"/>
                <w:kern w:val="0"/>
                <w:szCs w:val="21"/>
                <w:u w:val="none" w:color="auto"/>
              </w:rPr>
              <w:t>废气由</w:t>
            </w:r>
            <w:r>
              <w:rPr>
                <w:rFonts w:hint="eastAsia" w:ascii="Times New Roman" w:hAnsi="Times New Roman" w:eastAsia="宋体" w:cs="Times New Roman"/>
                <w:color w:val="auto"/>
                <w:spacing w:val="-2"/>
                <w:kern w:val="0"/>
                <w:szCs w:val="21"/>
                <w:u w:val="none" w:color="auto"/>
                <w:lang w:eastAsia="zh-CN"/>
              </w:rPr>
              <w:t>两级活性炭</w:t>
            </w:r>
            <w:r>
              <w:rPr>
                <w:rFonts w:ascii="Times New Roman" w:hAnsi="Times New Roman" w:eastAsia="宋体" w:cs="Times New Roman"/>
                <w:color w:val="auto"/>
                <w:spacing w:val="-2"/>
                <w:kern w:val="0"/>
                <w:szCs w:val="21"/>
                <w:u w:val="none" w:color="auto"/>
              </w:rPr>
              <w:t>+</w:t>
            </w:r>
            <w:r>
              <w:rPr>
                <w:rFonts w:hint="eastAsia" w:ascii="Times New Roman" w:hAnsi="Times New Roman" w:eastAsia="宋体" w:cs="Times New Roman"/>
                <w:color w:val="auto"/>
                <w:spacing w:val="-2"/>
                <w:kern w:val="0"/>
                <w:szCs w:val="21"/>
                <w:u w:val="none" w:color="auto"/>
                <w:lang w:eastAsia="zh-CN"/>
              </w:rPr>
              <w:t>30m</w:t>
            </w:r>
            <w:r>
              <w:rPr>
                <w:rFonts w:hint="eastAsia" w:ascii="Times New Roman" w:hAnsi="Times New Roman" w:eastAsia="宋体" w:cs="Times New Roman"/>
                <w:color w:val="auto"/>
                <w:spacing w:val="-2"/>
                <w:kern w:val="0"/>
                <w:szCs w:val="21"/>
                <w:u w:val="none" w:color="auto"/>
                <w:lang w:val="en-US" w:eastAsia="zh-CN"/>
              </w:rPr>
              <w:t>DA002</w:t>
            </w:r>
            <w:r>
              <w:rPr>
                <w:rFonts w:ascii="Times New Roman" w:hAnsi="Times New Roman" w:eastAsia="宋体" w:cs="Times New Roman"/>
                <w:color w:val="auto"/>
                <w:spacing w:val="-2"/>
                <w:kern w:val="0"/>
                <w:szCs w:val="21"/>
                <w:u w:val="none" w:color="auto"/>
              </w:rPr>
              <w:t>排气筒。</w:t>
            </w:r>
          </w:p>
          <w:p w14:paraId="1C016F93">
            <w:pPr>
              <w:rPr>
                <w:rFonts w:ascii="Times New Roman" w:hAnsi="Times New Roman" w:eastAsia="宋体" w:cs="Times New Roman"/>
                <w:color w:val="auto"/>
                <w:u w:val="none" w:color="auto"/>
              </w:rPr>
            </w:pPr>
            <w:r>
              <w:rPr>
                <w:rFonts w:ascii="Times New Roman" w:hAnsi="Times New Roman" w:eastAsia="宋体" w:cs="Times New Roman"/>
                <w:color w:val="auto"/>
                <w:spacing w:val="-2"/>
                <w:kern w:val="0"/>
                <w:szCs w:val="21"/>
                <w:u w:val="none" w:color="auto"/>
              </w:rPr>
              <w:t>车间无组织废气</w:t>
            </w:r>
            <w:r>
              <w:rPr>
                <w:rFonts w:ascii="Times New Roman" w:hAnsi="Times New Roman" w:eastAsia="宋体" w:cs="Times New Roman"/>
                <w:color w:val="auto"/>
                <w:spacing w:val="-2"/>
                <w:kern w:val="0"/>
                <w:szCs w:val="21"/>
                <w:u w:val="none" w:color="auto"/>
              </w:rPr>
              <w:tab/>
            </w:r>
            <w:r>
              <w:rPr>
                <w:rFonts w:ascii="Times New Roman" w:hAnsi="Times New Roman" w:eastAsia="宋体" w:cs="Times New Roman"/>
                <w:color w:val="auto"/>
                <w:spacing w:val="-2"/>
                <w:kern w:val="0"/>
                <w:szCs w:val="21"/>
                <w:u w:val="none" w:color="auto"/>
              </w:rPr>
              <w:t>经移动式除尘净化器、移动式焊接烟尘净化器处理后无组织排放。</w:t>
            </w:r>
          </w:p>
        </w:tc>
        <w:tc>
          <w:tcPr>
            <w:tcW w:w="1174" w:type="dxa"/>
            <w:vMerge w:val="restart"/>
            <w:vAlign w:val="center"/>
          </w:tcPr>
          <w:p w14:paraId="68650C12">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钦州锦峰海洋重工科技有限公司</w:t>
            </w:r>
          </w:p>
        </w:tc>
      </w:tr>
      <w:tr w14:paraId="65EB9C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05DD1D6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水污染防治</w:t>
            </w:r>
          </w:p>
        </w:tc>
        <w:tc>
          <w:tcPr>
            <w:tcW w:w="5640" w:type="dxa"/>
            <w:vAlign w:val="center"/>
          </w:tcPr>
          <w:p w14:paraId="51C07BB3">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事故应急池建设及日常监测情况</w:t>
            </w:r>
          </w:p>
        </w:tc>
        <w:tc>
          <w:tcPr>
            <w:tcW w:w="1174" w:type="dxa"/>
            <w:vMerge w:val="continue"/>
            <w:vAlign w:val="center"/>
          </w:tcPr>
          <w:p w14:paraId="638D96ED">
            <w:pPr>
              <w:jc w:val="center"/>
              <w:rPr>
                <w:rFonts w:ascii="Times New Roman" w:hAnsi="Times New Roman" w:eastAsia="宋体" w:cs="Times New Roman"/>
                <w:color w:val="auto"/>
                <w:spacing w:val="-2"/>
                <w:kern w:val="0"/>
                <w:szCs w:val="21"/>
                <w:u w:val="none" w:color="auto"/>
              </w:rPr>
            </w:pPr>
          </w:p>
        </w:tc>
      </w:tr>
      <w:tr w14:paraId="4947B8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762DF254">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噪声</w:t>
            </w:r>
          </w:p>
        </w:tc>
        <w:tc>
          <w:tcPr>
            <w:tcW w:w="5640" w:type="dxa"/>
            <w:vAlign w:val="center"/>
          </w:tcPr>
          <w:p w14:paraId="355EAA2D">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①声源隔振、减振降噪或消声降噪措施。</w:t>
            </w:r>
          </w:p>
          <w:p w14:paraId="258A67F8">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②在设备选型上尽量采用低噪声的设备。</w:t>
            </w:r>
          </w:p>
        </w:tc>
        <w:tc>
          <w:tcPr>
            <w:tcW w:w="1174" w:type="dxa"/>
            <w:vMerge w:val="continue"/>
            <w:vAlign w:val="center"/>
          </w:tcPr>
          <w:p w14:paraId="39329301">
            <w:pPr>
              <w:jc w:val="center"/>
              <w:rPr>
                <w:rFonts w:ascii="Times New Roman" w:hAnsi="Times New Roman" w:eastAsia="宋体" w:cs="Times New Roman"/>
                <w:color w:val="auto"/>
                <w:spacing w:val="-2"/>
                <w:kern w:val="0"/>
                <w:szCs w:val="21"/>
                <w:u w:val="none" w:color="auto"/>
              </w:rPr>
            </w:pPr>
          </w:p>
        </w:tc>
      </w:tr>
      <w:tr w14:paraId="791FAB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51D13A8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固废处置</w:t>
            </w:r>
          </w:p>
        </w:tc>
        <w:tc>
          <w:tcPr>
            <w:tcW w:w="5640" w:type="dxa"/>
            <w:vAlign w:val="center"/>
          </w:tcPr>
          <w:p w14:paraId="01307FB7">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①一般工业固体废物是否按要求管理。</w:t>
            </w:r>
          </w:p>
          <w:p w14:paraId="2202459E">
            <w:pPr>
              <w:rPr>
                <w:rFonts w:ascii="Times New Roman" w:hAnsi="Times New Roman" w:eastAsia="宋体" w:cs="Times New Roman"/>
                <w:color w:val="auto"/>
                <w:u w:val="none" w:color="auto"/>
              </w:rPr>
            </w:pPr>
            <w:r>
              <w:rPr>
                <w:rFonts w:ascii="Times New Roman" w:hAnsi="Times New Roman" w:eastAsia="宋体" w:cs="Times New Roman"/>
                <w:color w:val="auto"/>
                <w:spacing w:val="-2"/>
                <w:kern w:val="0"/>
                <w:szCs w:val="21"/>
                <w:u w:val="none" w:color="auto"/>
              </w:rPr>
              <w:t>②危险废物是否交有资质单位处置</w:t>
            </w:r>
          </w:p>
        </w:tc>
        <w:tc>
          <w:tcPr>
            <w:tcW w:w="1174" w:type="dxa"/>
            <w:vMerge w:val="continue"/>
            <w:vAlign w:val="center"/>
          </w:tcPr>
          <w:p w14:paraId="0211203B">
            <w:pPr>
              <w:jc w:val="center"/>
              <w:rPr>
                <w:rFonts w:ascii="Times New Roman" w:hAnsi="Times New Roman" w:eastAsia="宋体" w:cs="Times New Roman"/>
                <w:color w:val="auto"/>
                <w:spacing w:val="-2"/>
                <w:kern w:val="0"/>
                <w:szCs w:val="21"/>
                <w:u w:val="none" w:color="auto"/>
              </w:rPr>
            </w:pPr>
          </w:p>
        </w:tc>
      </w:tr>
      <w:tr w14:paraId="0E2102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5A0E2138">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污染事故</w:t>
            </w:r>
          </w:p>
        </w:tc>
        <w:tc>
          <w:tcPr>
            <w:tcW w:w="5640" w:type="dxa"/>
            <w:vAlign w:val="center"/>
          </w:tcPr>
          <w:p w14:paraId="368AFDDC">
            <w:pPr>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①平时做好应急准备，制定应急预案；</w:t>
            </w:r>
          </w:p>
          <w:p w14:paraId="40521FFE">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②事故发生后，根据具体情况相应增加监测频率，并对污染进行追踪调查。</w:t>
            </w:r>
          </w:p>
        </w:tc>
        <w:tc>
          <w:tcPr>
            <w:tcW w:w="1174" w:type="dxa"/>
            <w:vMerge w:val="restart"/>
            <w:vAlign w:val="center"/>
          </w:tcPr>
          <w:p w14:paraId="21D7FEAE">
            <w:pPr>
              <w:jc w:val="center"/>
              <w:rPr>
                <w:rFonts w:ascii="Times New Roman" w:hAnsi="Times New Roman" w:eastAsia="宋体" w:cs="Times New Roman"/>
                <w:color w:val="auto"/>
                <w:spacing w:val="-2"/>
                <w:kern w:val="0"/>
                <w:szCs w:val="21"/>
                <w:u w:val="none" w:color="auto"/>
              </w:rPr>
            </w:pPr>
            <w:r>
              <w:rPr>
                <w:rFonts w:hint="eastAsia" w:ascii="Times New Roman" w:hAnsi="Times New Roman" w:eastAsia="宋体" w:cs="Times New Roman"/>
                <w:color w:val="auto"/>
                <w:spacing w:val="-2"/>
                <w:kern w:val="0"/>
                <w:szCs w:val="21"/>
                <w:u w:val="none" w:color="auto"/>
              </w:rPr>
              <w:t>钦州锦峰海洋重工科技有限公司</w:t>
            </w:r>
            <w:r>
              <w:rPr>
                <w:rFonts w:ascii="Times New Roman" w:hAnsi="Times New Roman" w:eastAsia="宋体" w:cs="Times New Roman"/>
                <w:color w:val="auto"/>
                <w:spacing w:val="-2"/>
                <w:kern w:val="0"/>
                <w:szCs w:val="21"/>
                <w:u w:val="none" w:color="auto"/>
              </w:rPr>
              <w:t>、有资质的监测单位</w:t>
            </w:r>
          </w:p>
        </w:tc>
      </w:tr>
      <w:tr w14:paraId="41BF7E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71" w:hRule="atLeast"/>
        </w:trPr>
        <w:tc>
          <w:tcPr>
            <w:tcW w:w="1604" w:type="dxa"/>
            <w:vAlign w:val="center"/>
          </w:tcPr>
          <w:p w14:paraId="1C1E1D9F">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环境监测</w:t>
            </w:r>
          </w:p>
        </w:tc>
        <w:tc>
          <w:tcPr>
            <w:tcW w:w="5640" w:type="dxa"/>
            <w:vAlign w:val="center"/>
          </w:tcPr>
          <w:p w14:paraId="05F30604">
            <w:pPr>
              <w:jc w:val="left"/>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按照环境监测技术规范和</w:t>
            </w:r>
            <w:bookmarkStart w:id="360" w:name="_GoBack"/>
            <w:bookmarkEnd w:id="360"/>
            <w:r>
              <w:rPr>
                <w:rFonts w:ascii="Times New Roman" w:hAnsi="Times New Roman" w:eastAsia="宋体" w:cs="Times New Roman"/>
                <w:color w:val="auto"/>
                <w:spacing w:val="-2"/>
                <w:kern w:val="0"/>
                <w:szCs w:val="21"/>
                <w:u w:val="none" w:color="auto"/>
              </w:rPr>
              <w:t>生态环境部颁布的相关标准法律及规范，严格执行环境监测。</w:t>
            </w:r>
          </w:p>
        </w:tc>
        <w:tc>
          <w:tcPr>
            <w:tcW w:w="1174" w:type="dxa"/>
            <w:vMerge w:val="continue"/>
            <w:vAlign w:val="center"/>
          </w:tcPr>
          <w:p w14:paraId="5726070A">
            <w:pPr>
              <w:widowControl/>
              <w:jc w:val="left"/>
              <w:rPr>
                <w:rFonts w:ascii="Times New Roman" w:hAnsi="Times New Roman" w:eastAsia="宋体" w:cs="Times New Roman"/>
                <w:color w:val="auto"/>
                <w:spacing w:val="-2"/>
                <w:kern w:val="0"/>
                <w:szCs w:val="21"/>
                <w:u w:val="none" w:color="auto"/>
              </w:rPr>
            </w:pPr>
          </w:p>
        </w:tc>
      </w:tr>
    </w:tbl>
    <w:p w14:paraId="42AD91F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294" w:name="_Toc499283333"/>
      <w:bookmarkEnd w:id="294"/>
      <w:bookmarkStart w:id="295" w:name="_Toc3728290"/>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.1.2企业环境管理</w:t>
      </w:r>
      <w:bookmarkEnd w:id="295"/>
    </w:p>
    <w:p w14:paraId="5E1B899F">
      <w:pPr>
        <w:autoSpaceDE w:val="0"/>
        <w:autoSpaceDN w:val="0"/>
        <w:snapToGrid w:val="0"/>
        <w:spacing w:line="360" w:lineRule="auto"/>
        <w:ind w:firstLine="480"/>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1、企业环境保护管理</w:t>
      </w:r>
    </w:p>
    <w:p w14:paraId="06B5A242">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（1）设定环保机构和配备环保人员</w:t>
      </w:r>
    </w:p>
    <w:p w14:paraId="6D24D518">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项目必须设立专门的环境保护机构，并至少配备一名专职环保人员，负责该项目的环境管理及对外的环保协调工作，负责落实项目的各项环保工作、防污治污措施、植树造林、保护生态、改善环境措施等工作。</w:t>
      </w:r>
    </w:p>
    <w:p w14:paraId="57244CB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（2）制定环境管理制度体系</w:t>
      </w:r>
    </w:p>
    <w:p w14:paraId="26FF122A">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为了落实各项污染防治措施，加强环境保护工作管理，应当根据实际特点，制订各种类型的环保制度，并以文件形式规定，形成一套厂级环境管理制度体系，如：</w:t>
      </w:r>
    </w:p>
    <w:p w14:paraId="4CC4092D">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① 各种环保装置运营操作规程（编入相应岗位生产操作规程）；</w:t>
      </w:r>
    </w:p>
    <w:p w14:paraId="4B8137CA">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② 各种污染防治对策控制工艺参数；</w:t>
      </w:r>
    </w:p>
    <w:p w14:paraId="61F7FDEB">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③ 各种环保设施检查、维护、保养规定；</w:t>
      </w:r>
    </w:p>
    <w:p w14:paraId="415594C9">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④ 环境保护工作实施计划；</w:t>
      </w:r>
    </w:p>
    <w:p w14:paraId="45FE1DA4">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⑤ 植被恢复工作年度计划；</w:t>
      </w:r>
    </w:p>
    <w:p w14:paraId="6A8BC337">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⑥ 污染事故管理标准；</w:t>
      </w:r>
    </w:p>
    <w:p w14:paraId="2D2BD436">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⑦ 环境保护指标考核管理办法；</w:t>
      </w:r>
    </w:p>
    <w:p w14:paraId="2B8643A4">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⑧ 厂区环境保护工作管理及奖罚办法。</w:t>
      </w:r>
    </w:p>
    <w:p w14:paraId="0885DFE2">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（3）制定环境管理台账</w:t>
      </w:r>
    </w:p>
    <w:p w14:paraId="5E6EB009">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环境管理台账主要内容：</w:t>
      </w:r>
    </w:p>
    <w:p w14:paraId="7C9CD3D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① 环保管理网络建立；</w:t>
      </w:r>
    </w:p>
    <w:p w14:paraId="18276B0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② 主要污染源汇总表；</w:t>
      </w:r>
    </w:p>
    <w:p w14:paraId="5F1F3E80">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③ 环保设施汇总表和运行记录；</w:t>
      </w:r>
    </w:p>
    <w:p w14:paraId="6ACB598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④ 环保检查台账和环境事件台账；</w:t>
      </w:r>
    </w:p>
    <w:p w14:paraId="723D83A1">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⑤ 环保考核与奖罚台账；</w:t>
      </w:r>
    </w:p>
    <w:p w14:paraId="2138440E">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⑥ 外排废水、废气检测台账；</w:t>
      </w:r>
    </w:p>
    <w:p w14:paraId="13E746E0">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⑦ 噪声、固体废物台账。</w:t>
      </w:r>
    </w:p>
    <w:p w14:paraId="4BB3AA0A">
      <w:pPr>
        <w:autoSpaceDE w:val="0"/>
        <w:autoSpaceDN w:val="0"/>
        <w:snapToGrid w:val="0"/>
        <w:spacing w:line="360" w:lineRule="auto"/>
        <w:ind w:firstLine="480"/>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2、保障计划</w:t>
      </w:r>
    </w:p>
    <w:p w14:paraId="29DC40F9">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（1）建立环保设施、建设和维护的记录，由于管理措施到位和及时地维护与维修，杜绝了责任事故。</w:t>
      </w:r>
    </w:p>
    <w:p w14:paraId="222D64E7">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（2）维护经费</w:t>
      </w:r>
    </w:p>
    <w:p w14:paraId="665792AC">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制定专门环保设施维护维修规定，有制度化的经费保障，每年都拨出专门用于环保设施维护、维修和购买其他元器件、耗材的经费，从而保证环保设施的完好率，保证环保设施的利用率，保证正常运转。</w:t>
      </w:r>
    </w:p>
    <w:p w14:paraId="2921EBF9">
      <w:pPr>
        <w:autoSpaceDE w:val="0"/>
        <w:autoSpaceDN w:val="0"/>
        <w:snapToGrid w:val="0"/>
        <w:spacing w:line="360" w:lineRule="auto"/>
        <w:ind w:firstLine="480"/>
        <w:rPr>
          <w:rFonts w:ascii="Times New Roman" w:hAnsi="Times New Roman" w:eastAsia="宋体" w:cs="Times New Roman"/>
          <w:b/>
          <w:color w:val="auto"/>
          <w:kern w:val="0"/>
          <w:sz w:val="24"/>
          <w:szCs w:val="24"/>
          <w:u w:val="none" w:color="auto"/>
        </w:rPr>
      </w:pPr>
      <w:r>
        <w:rPr>
          <w:rFonts w:ascii="Times New Roman" w:hAnsi="Times New Roman" w:eastAsia="宋体" w:cs="Times New Roman"/>
          <w:b/>
          <w:color w:val="auto"/>
          <w:kern w:val="0"/>
          <w:sz w:val="24"/>
          <w:szCs w:val="24"/>
          <w:u w:val="none" w:color="auto"/>
        </w:rPr>
        <w:t>3、应向社会公开的信息内容</w:t>
      </w:r>
    </w:p>
    <w:p w14:paraId="7CC5E0C9">
      <w:pPr>
        <w:spacing w:line="360" w:lineRule="auto"/>
        <w:ind w:firstLine="472" w:firstLineChars="200"/>
        <w:rPr>
          <w:rFonts w:ascii="Times New Roman" w:hAnsi="Times New Roman" w:eastAsia="宋体" w:cs="Times New Roman"/>
          <w:color w:val="auto"/>
          <w:spacing w:val="-2"/>
          <w:kern w:val="0"/>
          <w:sz w:val="24"/>
          <w:szCs w:val="24"/>
          <w:u w:val="none" w:color="auto"/>
        </w:rPr>
      </w:pPr>
      <w:r>
        <w:rPr>
          <w:rFonts w:ascii="Times New Roman" w:hAnsi="Times New Roman" w:eastAsia="宋体" w:cs="Times New Roman"/>
          <w:color w:val="auto"/>
          <w:spacing w:val="-2"/>
          <w:kern w:val="0"/>
          <w:sz w:val="24"/>
          <w:szCs w:val="24"/>
          <w:u w:val="none" w:color="auto"/>
        </w:rPr>
        <w:t>根据《建设项目环境影响评价信息公开机制方案》的要求，建设单位是建设项目环评信息公开的主体，全面规范建设单位环评信息公开范围、公开时段、公开内容、公开程度、公开方式。建设单位应分阶段向社会公开环境信息，具体见表</w:t>
      </w:r>
      <w:r>
        <w:rPr>
          <w:rFonts w:hint="eastAsia" w:ascii="Times New Roman" w:hAnsi="Times New Roman" w:eastAsia="宋体" w:cs="Times New Roman"/>
          <w:color w:val="auto"/>
          <w:spacing w:val="-2"/>
          <w:kern w:val="0"/>
          <w:sz w:val="24"/>
          <w:szCs w:val="24"/>
          <w:u w:val="none" w:color="auto"/>
        </w:rPr>
        <w:t>7</w:t>
      </w:r>
      <w:r>
        <w:rPr>
          <w:rFonts w:ascii="Times New Roman" w:hAnsi="Times New Roman" w:eastAsia="宋体" w:cs="Times New Roman"/>
          <w:color w:val="auto"/>
          <w:spacing w:val="-2"/>
          <w:kern w:val="0"/>
          <w:sz w:val="24"/>
          <w:szCs w:val="24"/>
          <w:u w:val="none" w:color="auto"/>
        </w:rPr>
        <w:t>.1-3。</w:t>
      </w:r>
    </w:p>
    <w:p w14:paraId="2083AEF4">
      <w:pPr>
        <w:jc w:val="center"/>
        <w:rPr>
          <w:rFonts w:ascii="Times New Roman" w:hAnsi="Times New Roman" w:eastAsia="宋体" w:cs="Times New Roman"/>
          <w:color w:val="auto"/>
          <w:u w:val="none" w:color="auto"/>
        </w:rPr>
      </w:pPr>
      <w:r>
        <w:rPr>
          <w:rFonts w:ascii="Times New Roman" w:hAnsi="Times New Roman" w:eastAsia="宋体" w:cs="Times New Roman"/>
          <w:color w:val="auto"/>
          <w:u w:val="none" w:color="auto"/>
        </w:rPr>
        <w:t>表7.1-3  建设单位社会公开信息情况一览表</w:t>
      </w:r>
    </w:p>
    <w:tbl>
      <w:tblPr>
        <w:tblStyle w:val="37"/>
        <w:tblW w:w="85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02"/>
        <w:gridCol w:w="7418"/>
      </w:tblGrid>
      <w:tr w14:paraId="09095E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14:paraId="4C76092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公开阶段</w:t>
            </w:r>
          </w:p>
        </w:tc>
        <w:tc>
          <w:tcPr>
            <w:tcW w:w="7418" w:type="dxa"/>
            <w:tcBorders>
              <w:tl2br w:val="nil"/>
              <w:tr2bl w:val="nil"/>
            </w:tcBorders>
            <w:vAlign w:val="center"/>
          </w:tcPr>
          <w:p w14:paraId="25DB8A3A">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公开阶段</w:t>
            </w:r>
          </w:p>
        </w:tc>
      </w:tr>
      <w:tr w14:paraId="73A990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14:paraId="2C5AD226">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报告书编制过程中</w:t>
            </w:r>
          </w:p>
        </w:tc>
        <w:tc>
          <w:tcPr>
            <w:tcW w:w="7418" w:type="dxa"/>
            <w:tcBorders>
              <w:tl2br w:val="nil"/>
              <w:tr2bl w:val="nil"/>
            </w:tcBorders>
            <w:vAlign w:val="center"/>
          </w:tcPr>
          <w:p w14:paraId="636E703C">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向社会公开建设项目的工程基本情况，主要环境影响情况、拟采取的主要环境保护措施、公众参与的途径、方式。</w:t>
            </w:r>
          </w:p>
        </w:tc>
      </w:tr>
      <w:tr w14:paraId="70DA32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14:paraId="4EEC0C32">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报告书审批前</w:t>
            </w:r>
          </w:p>
        </w:tc>
        <w:tc>
          <w:tcPr>
            <w:tcW w:w="7418" w:type="dxa"/>
            <w:tcBorders>
              <w:tl2br w:val="nil"/>
              <w:tr2bl w:val="nil"/>
            </w:tcBorders>
            <w:vAlign w:val="center"/>
          </w:tcPr>
          <w:p w14:paraId="1429FC92">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建设项目环境影响报告书编制完成后，向生态环境部门审批前，向社会公开环境影响报告书全本，同时一并公开公众参与情况说明。</w:t>
            </w:r>
          </w:p>
        </w:tc>
      </w:tr>
      <w:tr w14:paraId="153572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14:paraId="74A622FB">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建设项目开工前</w:t>
            </w:r>
          </w:p>
        </w:tc>
        <w:tc>
          <w:tcPr>
            <w:tcW w:w="7418" w:type="dxa"/>
            <w:tcBorders>
              <w:tl2br w:val="nil"/>
              <w:tr2bl w:val="nil"/>
            </w:tcBorders>
            <w:vAlign w:val="center"/>
          </w:tcPr>
          <w:p w14:paraId="58C75389">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开工前，建设单位应向社会公开建设项目开工日期、设计单位、施工单位和环境监理单位、工程基本情况、拟采取的环境保护措施清单和实施计划、由地方政府或相关部门负责配套的环境保护措施清单和实施计划等，并确保上述信息在整个施工期内均处于公开状态。</w:t>
            </w:r>
          </w:p>
        </w:tc>
      </w:tr>
      <w:tr w14:paraId="139DEBB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14:paraId="3C3B93B1">
            <w:pPr>
              <w:jc w:val="cente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项目建成后</w:t>
            </w:r>
          </w:p>
        </w:tc>
        <w:tc>
          <w:tcPr>
            <w:tcW w:w="7418" w:type="dxa"/>
            <w:tcBorders>
              <w:tl2br w:val="nil"/>
              <w:tr2bl w:val="nil"/>
            </w:tcBorders>
            <w:vAlign w:val="center"/>
          </w:tcPr>
          <w:p w14:paraId="260C5047">
            <w:pPr>
              <w:rPr>
                <w:rFonts w:ascii="Times New Roman" w:hAnsi="Times New Roman" w:eastAsia="宋体" w:cs="Times New Roman"/>
                <w:color w:val="auto"/>
                <w:spacing w:val="-2"/>
                <w:kern w:val="0"/>
                <w:szCs w:val="21"/>
                <w:u w:val="none" w:color="auto"/>
              </w:rPr>
            </w:pPr>
            <w:r>
              <w:rPr>
                <w:rFonts w:ascii="Times New Roman" w:hAnsi="Times New Roman" w:eastAsia="宋体" w:cs="Times New Roman"/>
                <w:color w:val="auto"/>
                <w:spacing w:val="-2"/>
                <w:kern w:val="0"/>
                <w:szCs w:val="21"/>
                <w:u w:val="none" w:color="auto"/>
              </w:rPr>
              <w:t>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tc>
      </w:tr>
    </w:tbl>
    <w:p w14:paraId="62DA86E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.1.3排污许可制度</w:t>
      </w:r>
    </w:p>
    <w:p w14:paraId="03FA5A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b w:val="0"/>
          <w:bCs w:val="0"/>
          <w:color w:val="auto"/>
          <w:sz w:val="24"/>
          <w:szCs w:val="24"/>
          <w:u w:val="single"/>
        </w:rPr>
        <w:t>根据《固定污染源排污许可分类管理名录（2019 版）》，项目属于简化管理。</w:t>
      </w:r>
      <w:r>
        <w:rPr>
          <w:rFonts w:hint="default" w:ascii="Times New Roman" w:hAnsi="Times New Roman" w:eastAsia="宋体" w:cs="Times New Roman"/>
          <w:color w:val="auto"/>
          <w:sz w:val="24"/>
          <w:szCs w:val="24"/>
          <w:u w:val="single"/>
          <w:lang w:val="en-US" w:eastAsia="zh-CN"/>
        </w:rPr>
        <w:t>根据《国务院关于印发控制污染物排放许可证实施方案的通知》（国发办[2016]81 号）和国家环保部文件关于印发《排污许可证管理暂行办法》的通知，（环水体[2016]186 号），建设单位应当严格执行排污许可证的规定，遵守下列要求：</w:t>
      </w:r>
    </w:p>
    <w:p w14:paraId="381A11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（1）排污口位置和数量、排放方式、排放去向、排放污染物种类、排放浓度和排放量、执行的排放标准等符合排污许可证的规定，不得私设暗管或以其他方式逃避监管。</w:t>
      </w:r>
    </w:p>
    <w:p w14:paraId="395778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（2）按排污许可证规定的监测点位、监测因子、监测频次和相关监测技术规范开展自行监测并公开。</w:t>
      </w:r>
    </w:p>
    <w:p w14:paraId="644617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（3）按规范进行台账记录，主要内容包括污染防治措施运行记录、监测数据等。</w:t>
      </w:r>
    </w:p>
    <w:p w14:paraId="34F7938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4）按排污许可证规定，定期在国家排污许可证管理信息平台填报信息，编制排污许可证执行报告，及时报送有核发权的环境保护主管部门并公开，执行报告主要内容包括污染物防治设施运行情况、污染物按证排放情况等。</w:t>
      </w:r>
    </w:p>
    <w:p w14:paraId="6A85575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（5）法律法规规定的其他义务</w:t>
      </w:r>
    </w:p>
    <w:p w14:paraId="3A5B77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建设单位应及时公开信息，畅通与公众沟通的渠道，自觉接受公众监督。同时，根据《关于做好环境影响评价制度与排污许可制衔接相关工作的通知》（环办环评[2017]84 号）提出：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建设项目发生实际排污行为之前，排污单位应当按照国家环境保护相关法律法规以及排污许可证申请与核发技术规范要求申请排污许可证，不得无证排污或不按证排污。排污许可证执行报告、台账记录以及自行监测执行情况等应作为开展建设项目环境影响后评价的重要依据。</w:t>
      </w:r>
    </w:p>
    <w:p w14:paraId="2A18B9FA">
      <w:pPr>
        <w:tabs>
          <w:tab w:val="left" w:pos="1288"/>
        </w:tabs>
        <w:autoSpaceDE w:val="0"/>
        <w:autoSpaceDN w:val="0"/>
        <w:adjustRightInd w:val="0"/>
        <w:spacing w:line="360" w:lineRule="auto"/>
        <w:jc w:val="left"/>
        <w:textAlignment w:val="baseline"/>
        <w:outlineLvl w:val="1"/>
        <w:rPr>
          <w:rFonts w:ascii="Times New Roman" w:hAnsi="Times New Roman" w:eastAsia="宋体" w:cs="Times New Roman"/>
          <w:b/>
          <w:color w:val="auto"/>
          <w:kern w:val="0"/>
          <w:sz w:val="32"/>
          <w:szCs w:val="32"/>
          <w:u w:val="none" w:color="auto"/>
        </w:rPr>
      </w:pPr>
      <w:bookmarkStart w:id="296" w:name="_Toc3728291"/>
      <w:bookmarkStart w:id="297" w:name="_Toc530130488"/>
      <w:bookmarkStart w:id="298" w:name="_Toc510169418"/>
      <w:bookmarkStart w:id="299" w:name="_Toc19406"/>
      <w:r>
        <w:rPr>
          <w:rFonts w:hint="eastAsia" w:ascii="Times New Roman" w:hAnsi="Times New Roman" w:eastAsia="宋体" w:cs="Times New Roman"/>
          <w:b/>
          <w:color w:val="auto"/>
          <w:kern w:val="0"/>
          <w:sz w:val="32"/>
          <w:szCs w:val="32"/>
          <w:u w:val="none" w:color="auto"/>
        </w:rPr>
        <w:t>7</w:t>
      </w:r>
      <w:r>
        <w:rPr>
          <w:rFonts w:ascii="Times New Roman" w:hAnsi="Times New Roman" w:eastAsia="宋体" w:cs="Times New Roman"/>
          <w:b/>
          <w:color w:val="auto"/>
          <w:kern w:val="0"/>
          <w:sz w:val="32"/>
          <w:szCs w:val="32"/>
          <w:u w:val="none" w:color="auto"/>
        </w:rPr>
        <w:t>.2污染物排放管理要求</w:t>
      </w:r>
      <w:bookmarkEnd w:id="296"/>
      <w:bookmarkEnd w:id="297"/>
      <w:bookmarkEnd w:id="298"/>
      <w:bookmarkEnd w:id="299"/>
    </w:p>
    <w:p w14:paraId="0ECF55CE">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eastAsia="宋体" w:cs="Times New Roman"/>
          <w:color w:val="auto"/>
          <w:kern w:val="0"/>
          <w:sz w:val="24"/>
          <w:szCs w:val="24"/>
          <w:u w:val="none" w:color="auto"/>
        </w:rPr>
        <w:t>本项目排污口信息，拟采取的环保措施、排放的污染物种类、执行的环境标准、排放浓度和总量指标，环境风险防范措施等污染物排放管理的要求见表</w:t>
      </w:r>
      <w:r>
        <w:rPr>
          <w:rFonts w:hint="eastAsia" w:ascii="Times New Roman" w:hAnsi="Times New Roman" w:eastAsia="宋体" w:cs="Times New Roman"/>
          <w:color w:val="auto"/>
          <w:kern w:val="0"/>
          <w:sz w:val="24"/>
          <w:szCs w:val="24"/>
          <w:u w:val="none" w:color="auto"/>
        </w:rPr>
        <w:t>7</w:t>
      </w:r>
      <w:r>
        <w:rPr>
          <w:rFonts w:ascii="Times New Roman" w:hAnsi="Times New Roman" w:eastAsia="宋体" w:cs="Times New Roman"/>
          <w:color w:val="auto"/>
          <w:kern w:val="0"/>
          <w:sz w:val="24"/>
          <w:szCs w:val="24"/>
          <w:u w:val="none" w:color="auto"/>
        </w:rPr>
        <w:t>.2-1。</w:t>
      </w:r>
    </w:p>
    <w:p w14:paraId="6D51D139">
      <w:pPr>
        <w:autoSpaceDE w:val="0"/>
        <w:autoSpaceDN w:val="0"/>
        <w:adjustRightInd w:val="0"/>
        <w:jc w:val="center"/>
        <w:rPr>
          <w:rFonts w:ascii="Times New Roman" w:hAnsi="Times New Roman" w:eastAsia="宋体" w:cs="Times New Roman"/>
          <w:b/>
          <w:bCs/>
          <w:color w:val="auto"/>
          <w:kern w:val="0"/>
          <w:szCs w:val="21"/>
          <w:highlight w:val="yellow"/>
          <w:u w:val="none" w:color="auto"/>
        </w:rPr>
      </w:pPr>
      <w:r>
        <w:rPr>
          <w:rFonts w:ascii="Times New Roman" w:hAnsi="Times New Roman" w:eastAsia="宋体" w:cs="Times New Roman"/>
          <w:b/>
          <w:bCs/>
          <w:color w:val="auto"/>
          <w:kern w:val="0"/>
          <w:szCs w:val="21"/>
          <w:u w:val="none" w:color="auto"/>
        </w:rPr>
        <w:t>表</w:t>
      </w:r>
      <w:r>
        <w:rPr>
          <w:rFonts w:hint="eastAsia" w:ascii="Times New Roman" w:hAnsi="Times New Roman" w:eastAsia="宋体" w:cs="Times New Roman"/>
          <w:b/>
          <w:bCs/>
          <w:color w:val="auto"/>
          <w:kern w:val="0"/>
          <w:szCs w:val="21"/>
          <w:u w:val="none" w:color="auto"/>
        </w:rPr>
        <w:t>7</w:t>
      </w:r>
      <w:r>
        <w:rPr>
          <w:rFonts w:ascii="Times New Roman" w:hAnsi="Times New Roman" w:eastAsia="宋体" w:cs="Times New Roman"/>
          <w:b/>
          <w:bCs/>
          <w:color w:val="auto"/>
          <w:kern w:val="0"/>
          <w:szCs w:val="21"/>
          <w:u w:val="none" w:color="auto"/>
        </w:rPr>
        <w:t>.2-1 污染物排放管理要求</w:t>
      </w:r>
    </w:p>
    <w:tbl>
      <w:tblPr>
        <w:tblStyle w:val="37"/>
        <w:tblW w:w="13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25"/>
        <w:gridCol w:w="576"/>
        <w:gridCol w:w="1923"/>
        <w:gridCol w:w="1249"/>
        <w:gridCol w:w="1532"/>
        <w:gridCol w:w="1265"/>
        <w:gridCol w:w="1146"/>
        <w:gridCol w:w="1188"/>
        <w:gridCol w:w="629"/>
        <w:gridCol w:w="990"/>
        <w:gridCol w:w="965"/>
        <w:gridCol w:w="9"/>
        <w:gridCol w:w="2151"/>
      </w:tblGrid>
      <w:tr w14:paraId="14B51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30" w:hRule="atLeast"/>
        </w:trPr>
        <w:tc>
          <w:tcPr>
            <w:tcW w:w="325" w:type="dxa"/>
            <w:vMerge w:val="restart"/>
            <w:tcBorders>
              <w:top w:val="single" w:color="auto" w:sz="4" w:space="0"/>
              <w:left w:val="single" w:color="auto" w:sz="4" w:space="0"/>
              <w:right w:val="single" w:color="auto" w:sz="4" w:space="0"/>
            </w:tcBorders>
            <w:shd w:val="clear" w:color="auto" w:fill="auto"/>
            <w:vAlign w:val="center"/>
          </w:tcPr>
          <w:p w14:paraId="700B91A7">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序号</w:t>
            </w:r>
          </w:p>
        </w:tc>
        <w:tc>
          <w:tcPr>
            <w:tcW w:w="576" w:type="dxa"/>
            <w:vMerge w:val="restart"/>
            <w:tcBorders>
              <w:top w:val="single" w:color="auto" w:sz="4" w:space="0"/>
              <w:left w:val="nil"/>
              <w:right w:val="single" w:color="auto" w:sz="4" w:space="0"/>
            </w:tcBorders>
            <w:shd w:val="clear" w:color="auto" w:fill="auto"/>
            <w:vAlign w:val="center"/>
          </w:tcPr>
          <w:p w14:paraId="7225B6F1">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环境因素</w:t>
            </w:r>
          </w:p>
        </w:tc>
        <w:tc>
          <w:tcPr>
            <w:tcW w:w="1923" w:type="dxa"/>
            <w:vMerge w:val="restart"/>
            <w:tcBorders>
              <w:top w:val="single" w:color="auto" w:sz="4" w:space="0"/>
              <w:left w:val="nil"/>
              <w:right w:val="single" w:color="auto" w:sz="4" w:space="0"/>
            </w:tcBorders>
            <w:shd w:val="clear" w:color="auto" w:fill="auto"/>
            <w:vAlign w:val="center"/>
          </w:tcPr>
          <w:p w14:paraId="69750E6B">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类别</w:t>
            </w:r>
          </w:p>
        </w:tc>
        <w:tc>
          <w:tcPr>
            <w:tcW w:w="1249" w:type="dxa"/>
            <w:vMerge w:val="restart"/>
            <w:tcBorders>
              <w:top w:val="single" w:color="auto" w:sz="4" w:space="0"/>
              <w:left w:val="single" w:color="auto" w:sz="4" w:space="0"/>
              <w:right w:val="single" w:color="auto" w:sz="4" w:space="0"/>
            </w:tcBorders>
            <w:shd w:val="clear" w:color="auto" w:fill="auto"/>
            <w:vAlign w:val="center"/>
          </w:tcPr>
          <w:p w14:paraId="625F87C3">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排污口信息（高度）</w:t>
            </w:r>
          </w:p>
        </w:tc>
        <w:tc>
          <w:tcPr>
            <w:tcW w:w="1532" w:type="dxa"/>
            <w:vMerge w:val="restart"/>
            <w:tcBorders>
              <w:top w:val="single" w:color="auto" w:sz="4" w:space="0"/>
              <w:left w:val="nil"/>
              <w:right w:val="single" w:color="auto" w:sz="4" w:space="0"/>
            </w:tcBorders>
            <w:shd w:val="clear" w:color="auto" w:fill="auto"/>
            <w:vAlign w:val="center"/>
          </w:tcPr>
          <w:p w14:paraId="2FFF0711">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拟采取的环保措施</w:t>
            </w:r>
          </w:p>
        </w:tc>
        <w:tc>
          <w:tcPr>
            <w:tcW w:w="1265" w:type="dxa"/>
            <w:vMerge w:val="restart"/>
            <w:tcBorders>
              <w:top w:val="single" w:color="auto" w:sz="4" w:space="0"/>
              <w:left w:val="nil"/>
              <w:right w:val="single" w:color="auto" w:sz="4" w:space="0"/>
            </w:tcBorders>
            <w:shd w:val="clear" w:color="auto" w:fill="auto"/>
            <w:vAlign w:val="center"/>
          </w:tcPr>
          <w:p w14:paraId="404E1FCB">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排放污染物种类</w:t>
            </w:r>
          </w:p>
        </w:tc>
        <w:tc>
          <w:tcPr>
            <w:tcW w:w="1146" w:type="dxa"/>
            <w:vMerge w:val="restart"/>
            <w:tcBorders>
              <w:top w:val="single" w:color="auto" w:sz="4" w:space="0"/>
              <w:left w:val="nil"/>
              <w:right w:val="single" w:color="auto" w:sz="4" w:space="0"/>
            </w:tcBorders>
            <w:shd w:val="clear" w:color="auto" w:fill="auto"/>
            <w:vAlign w:val="center"/>
          </w:tcPr>
          <w:p w14:paraId="7A3F854F">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污染物排放浓度（mg/m</w:t>
            </w:r>
            <w:r>
              <w:rPr>
                <w:rFonts w:ascii="Times New Roman" w:hAnsi="Times New Roman" w:eastAsia="宋体" w:cs="Times New Roman"/>
                <w:b/>
                <w:color w:val="auto"/>
                <w:szCs w:val="21"/>
                <w:u w:val="single" w:color="auto"/>
                <w:vertAlign w:val="superscript"/>
              </w:rPr>
              <w:t>3</w:t>
            </w:r>
            <w:r>
              <w:rPr>
                <w:rFonts w:ascii="Times New Roman" w:hAnsi="Times New Roman" w:eastAsia="宋体" w:cs="Times New Roman"/>
                <w:b/>
                <w:color w:val="auto"/>
                <w:szCs w:val="21"/>
                <w:u w:val="single" w:color="auto"/>
              </w:rPr>
              <w:t>）</w:t>
            </w:r>
          </w:p>
        </w:tc>
        <w:tc>
          <w:tcPr>
            <w:tcW w:w="1188" w:type="dxa"/>
            <w:vMerge w:val="restart"/>
            <w:tcBorders>
              <w:top w:val="single" w:color="auto" w:sz="4" w:space="0"/>
              <w:left w:val="nil"/>
              <w:right w:val="single" w:color="auto" w:sz="4" w:space="0"/>
            </w:tcBorders>
            <w:shd w:val="clear" w:color="auto" w:fill="auto"/>
            <w:vAlign w:val="center"/>
          </w:tcPr>
          <w:p w14:paraId="5EBC77D8">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污染物排放速率（kg/h）</w:t>
            </w:r>
          </w:p>
        </w:tc>
        <w:tc>
          <w:tcPr>
            <w:tcW w:w="629" w:type="dxa"/>
            <w:vMerge w:val="restart"/>
            <w:tcBorders>
              <w:top w:val="single" w:color="auto" w:sz="4" w:space="0"/>
              <w:left w:val="nil"/>
              <w:right w:val="single" w:color="auto" w:sz="4" w:space="0"/>
            </w:tcBorders>
            <w:shd w:val="clear" w:color="auto" w:fill="auto"/>
            <w:vAlign w:val="center"/>
          </w:tcPr>
          <w:p w14:paraId="694131FE">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排放方式</w:t>
            </w:r>
          </w:p>
        </w:tc>
        <w:tc>
          <w:tcPr>
            <w:tcW w:w="1964" w:type="dxa"/>
            <w:gridSpan w:val="3"/>
            <w:tcBorders>
              <w:top w:val="single" w:color="auto" w:sz="4" w:space="0"/>
              <w:left w:val="nil"/>
              <w:bottom w:val="single" w:color="auto" w:sz="4" w:space="0"/>
              <w:right w:val="single" w:color="auto" w:sz="4" w:space="0"/>
            </w:tcBorders>
            <w:shd w:val="clear" w:color="auto" w:fill="auto"/>
            <w:vAlign w:val="center"/>
          </w:tcPr>
          <w:p w14:paraId="13DCF62D">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标准限值</w:t>
            </w:r>
          </w:p>
        </w:tc>
        <w:tc>
          <w:tcPr>
            <w:tcW w:w="2151" w:type="dxa"/>
            <w:vMerge w:val="restart"/>
            <w:tcBorders>
              <w:top w:val="single" w:color="auto" w:sz="4" w:space="0"/>
              <w:left w:val="nil"/>
              <w:right w:val="single" w:color="auto" w:sz="4" w:space="0"/>
            </w:tcBorders>
            <w:shd w:val="clear" w:color="auto" w:fill="auto"/>
            <w:vAlign w:val="center"/>
          </w:tcPr>
          <w:p w14:paraId="6E1463EC">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排放标准</w:t>
            </w:r>
          </w:p>
        </w:tc>
      </w:tr>
      <w:tr w14:paraId="09766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3" w:hRule="atLeast"/>
        </w:trPr>
        <w:tc>
          <w:tcPr>
            <w:tcW w:w="325" w:type="dxa"/>
            <w:vMerge w:val="continue"/>
            <w:tcBorders>
              <w:left w:val="single" w:color="auto" w:sz="4" w:space="0"/>
              <w:bottom w:val="single" w:color="auto" w:sz="4" w:space="0"/>
              <w:right w:val="single" w:color="auto" w:sz="4" w:space="0"/>
            </w:tcBorders>
            <w:shd w:val="clear" w:color="auto" w:fill="auto"/>
            <w:vAlign w:val="center"/>
          </w:tcPr>
          <w:p w14:paraId="139CCB62">
            <w:pPr>
              <w:autoSpaceDE w:val="0"/>
              <w:autoSpaceDN w:val="0"/>
              <w:jc w:val="center"/>
              <w:rPr>
                <w:rFonts w:ascii="Times New Roman" w:hAnsi="Times New Roman" w:eastAsia="宋体" w:cs="Times New Roman"/>
                <w:b/>
                <w:color w:val="auto"/>
                <w:szCs w:val="21"/>
                <w:u w:val="single" w:color="auto"/>
              </w:rPr>
            </w:pPr>
          </w:p>
        </w:tc>
        <w:tc>
          <w:tcPr>
            <w:tcW w:w="576" w:type="dxa"/>
            <w:vMerge w:val="continue"/>
            <w:tcBorders>
              <w:left w:val="nil"/>
              <w:bottom w:val="single" w:color="auto" w:sz="4" w:space="0"/>
              <w:right w:val="single" w:color="auto" w:sz="4" w:space="0"/>
            </w:tcBorders>
            <w:shd w:val="clear" w:color="auto" w:fill="auto"/>
            <w:vAlign w:val="center"/>
          </w:tcPr>
          <w:p w14:paraId="499D9B3C">
            <w:pPr>
              <w:autoSpaceDE w:val="0"/>
              <w:autoSpaceDN w:val="0"/>
              <w:jc w:val="center"/>
              <w:rPr>
                <w:rFonts w:ascii="Times New Roman" w:hAnsi="Times New Roman" w:eastAsia="宋体" w:cs="Times New Roman"/>
                <w:b/>
                <w:color w:val="auto"/>
                <w:szCs w:val="21"/>
                <w:u w:val="single" w:color="auto"/>
              </w:rPr>
            </w:pPr>
          </w:p>
        </w:tc>
        <w:tc>
          <w:tcPr>
            <w:tcW w:w="1923" w:type="dxa"/>
            <w:vMerge w:val="continue"/>
            <w:tcBorders>
              <w:left w:val="nil"/>
              <w:bottom w:val="single" w:color="auto" w:sz="4" w:space="0"/>
              <w:right w:val="single" w:color="auto" w:sz="4" w:space="0"/>
            </w:tcBorders>
            <w:shd w:val="clear" w:color="auto" w:fill="auto"/>
            <w:vAlign w:val="center"/>
          </w:tcPr>
          <w:p w14:paraId="4685AC6D">
            <w:pPr>
              <w:autoSpaceDE w:val="0"/>
              <w:autoSpaceDN w:val="0"/>
              <w:jc w:val="center"/>
              <w:rPr>
                <w:rFonts w:ascii="Times New Roman" w:hAnsi="Times New Roman" w:eastAsia="宋体" w:cs="Times New Roman"/>
                <w:b/>
                <w:color w:val="auto"/>
                <w:szCs w:val="21"/>
                <w:u w:val="single" w:color="auto"/>
              </w:rPr>
            </w:pPr>
          </w:p>
        </w:tc>
        <w:tc>
          <w:tcPr>
            <w:tcW w:w="1249" w:type="dxa"/>
            <w:vMerge w:val="continue"/>
            <w:tcBorders>
              <w:left w:val="single" w:color="auto" w:sz="4" w:space="0"/>
              <w:bottom w:val="single" w:color="auto" w:sz="4" w:space="0"/>
              <w:right w:val="single" w:color="auto" w:sz="4" w:space="0"/>
            </w:tcBorders>
            <w:shd w:val="clear" w:color="auto" w:fill="auto"/>
            <w:vAlign w:val="center"/>
          </w:tcPr>
          <w:p w14:paraId="76BC7839">
            <w:pPr>
              <w:autoSpaceDE w:val="0"/>
              <w:autoSpaceDN w:val="0"/>
              <w:jc w:val="center"/>
              <w:rPr>
                <w:rFonts w:ascii="Times New Roman" w:hAnsi="Times New Roman" w:eastAsia="宋体" w:cs="Times New Roman"/>
                <w:b/>
                <w:color w:val="auto"/>
                <w:szCs w:val="21"/>
                <w:u w:val="single" w:color="auto"/>
              </w:rPr>
            </w:pPr>
          </w:p>
        </w:tc>
        <w:tc>
          <w:tcPr>
            <w:tcW w:w="1532" w:type="dxa"/>
            <w:vMerge w:val="continue"/>
            <w:tcBorders>
              <w:left w:val="nil"/>
              <w:bottom w:val="single" w:color="auto" w:sz="4" w:space="0"/>
              <w:right w:val="single" w:color="auto" w:sz="4" w:space="0"/>
            </w:tcBorders>
            <w:shd w:val="clear" w:color="auto" w:fill="auto"/>
            <w:vAlign w:val="center"/>
          </w:tcPr>
          <w:p w14:paraId="7936499C">
            <w:pPr>
              <w:autoSpaceDE w:val="0"/>
              <w:autoSpaceDN w:val="0"/>
              <w:jc w:val="center"/>
              <w:rPr>
                <w:rFonts w:ascii="Times New Roman" w:hAnsi="Times New Roman" w:eastAsia="宋体" w:cs="Times New Roman"/>
                <w:b/>
                <w:color w:val="auto"/>
                <w:szCs w:val="21"/>
                <w:u w:val="single" w:color="auto"/>
              </w:rPr>
            </w:pPr>
          </w:p>
        </w:tc>
        <w:tc>
          <w:tcPr>
            <w:tcW w:w="1265" w:type="dxa"/>
            <w:vMerge w:val="continue"/>
            <w:tcBorders>
              <w:left w:val="nil"/>
              <w:bottom w:val="single" w:color="auto" w:sz="4" w:space="0"/>
              <w:right w:val="single" w:color="auto" w:sz="4" w:space="0"/>
            </w:tcBorders>
            <w:shd w:val="clear" w:color="auto" w:fill="auto"/>
            <w:vAlign w:val="center"/>
          </w:tcPr>
          <w:p w14:paraId="4B9B227C">
            <w:pPr>
              <w:autoSpaceDE w:val="0"/>
              <w:autoSpaceDN w:val="0"/>
              <w:jc w:val="center"/>
              <w:rPr>
                <w:rFonts w:ascii="Times New Roman" w:hAnsi="Times New Roman" w:eastAsia="宋体" w:cs="Times New Roman"/>
                <w:b/>
                <w:color w:val="auto"/>
                <w:szCs w:val="21"/>
                <w:u w:val="single" w:color="auto"/>
              </w:rPr>
            </w:pPr>
          </w:p>
        </w:tc>
        <w:tc>
          <w:tcPr>
            <w:tcW w:w="1146" w:type="dxa"/>
            <w:vMerge w:val="continue"/>
            <w:tcBorders>
              <w:left w:val="nil"/>
              <w:bottom w:val="single" w:color="auto" w:sz="4" w:space="0"/>
              <w:right w:val="single" w:color="auto" w:sz="4" w:space="0"/>
            </w:tcBorders>
            <w:shd w:val="clear" w:color="auto" w:fill="auto"/>
            <w:vAlign w:val="center"/>
          </w:tcPr>
          <w:p w14:paraId="775D0638">
            <w:pPr>
              <w:autoSpaceDE w:val="0"/>
              <w:autoSpaceDN w:val="0"/>
              <w:jc w:val="center"/>
              <w:rPr>
                <w:rFonts w:ascii="Times New Roman" w:hAnsi="Times New Roman" w:eastAsia="宋体" w:cs="Times New Roman"/>
                <w:b/>
                <w:color w:val="auto"/>
                <w:szCs w:val="21"/>
                <w:u w:val="single" w:color="auto"/>
              </w:rPr>
            </w:pPr>
          </w:p>
        </w:tc>
        <w:tc>
          <w:tcPr>
            <w:tcW w:w="1188" w:type="dxa"/>
            <w:vMerge w:val="continue"/>
            <w:tcBorders>
              <w:left w:val="nil"/>
              <w:bottom w:val="single" w:color="auto" w:sz="4" w:space="0"/>
              <w:right w:val="single" w:color="auto" w:sz="4" w:space="0"/>
            </w:tcBorders>
            <w:shd w:val="clear" w:color="auto" w:fill="auto"/>
            <w:vAlign w:val="center"/>
          </w:tcPr>
          <w:p w14:paraId="77708BF5">
            <w:pPr>
              <w:autoSpaceDE w:val="0"/>
              <w:autoSpaceDN w:val="0"/>
              <w:jc w:val="center"/>
              <w:rPr>
                <w:rFonts w:ascii="Times New Roman" w:hAnsi="Times New Roman" w:eastAsia="宋体" w:cs="Times New Roman"/>
                <w:b/>
                <w:color w:val="auto"/>
                <w:szCs w:val="21"/>
                <w:u w:val="single" w:color="auto"/>
              </w:rPr>
            </w:pPr>
          </w:p>
        </w:tc>
        <w:tc>
          <w:tcPr>
            <w:tcW w:w="629" w:type="dxa"/>
            <w:vMerge w:val="continue"/>
            <w:tcBorders>
              <w:left w:val="nil"/>
              <w:bottom w:val="single" w:color="auto" w:sz="4" w:space="0"/>
              <w:right w:val="single" w:color="auto" w:sz="4" w:space="0"/>
            </w:tcBorders>
            <w:shd w:val="clear" w:color="auto" w:fill="auto"/>
            <w:vAlign w:val="center"/>
          </w:tcPr>
          <w:p w14:paraId="7128365A">
            <w:pPr>
              <w:autoSpaceDE w:val="0"/>
              <w:autoSpaceDN w:val="0"/>
              <w:jc w:val="center"/>
              <w:rPr>
                <w:rFonts w:ascii="Times New Roman" w:hAnsi="Times New Roman" w:eastAsia="宋体" w:cs="Times New Roman"/>
                <w:b/>
                <w:color w:val="auto"/>
                <w:szCs w:val="21"/>
                <w:u w:val="single" w:color="auto"/>
              </w:rPr>
            </w:pPr>
          </w:p>
        </w:tc>
        <w:tc>
          <w:tcPr>
            <w:tcW w:w="990" w:type="dxa"/>
            <w:tcBorders>
              <w:top w:val="single" w:color="auto" w:sz="4" w:space="0"/>
              <w:left w:val="nil"/>
              <w:bottom w:val="single" w:color="auto" w:sz="4" w:space="0"/>
              <w:right w:val="single" w:color="auto" w:sz="4" w:space="0"/>
            </w:tcBorders>
            <w:shd w:val="clear" w:color="auto" w:fill="auto"/>
            <w:vAlign w:val="center"/>
          </w:tcPr>
          <w:p w14:paraId="1C39E489">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排放浓度</w:t>
            </w: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4895DAE7">
            <w:pPr>
              <w:autoSpaceDE w:val="0"/>
              <w:autoSpaceDN w:val="0"/>
              <w:jc w:val="center"/>
              <w:rPr>
                <w:rFonts w:ascii="Times New Roman" w:hAnsi="Times New Roman" w:eastAsia="宋体" w:cs="Times New Roman"/>
                <w:b/>
                <w:color w:val="auto"/>
                <w:szCs w:val="21"/>
                <w:u w:val="single" w:color="auto"/>
              </w:rPr>
            </w:pPr>
            <w:r>
              <w:rPr>
                <w:rFonts w:ascii="Times New Roman" w:hAnsi="Times New Roman" w:eastAsia="宋体" w:cs="Times New Roman"/>
                <w:b/>
                <w:color w:val="auto"/>
                <w:szCs w:val="21"/>
                <w:u w:val="single" w:color="auto"/>
              </w:rPr>
              <w:t>排放速率</w:t>
            </w:r>
          </w:p>
        </w:tc>
        <w:tc>
          <w:tcPr>
            <w:tcW w:w="2151" w:type="dxa"/>
            <w:vMerge w:val="continue"/>
            <w:tcBorders>
              <w:left w:val="nil"/>
              <w:bottom w:val="single" w:color="auto" w:sz="4" w:space="0"/>
              <w:right w:val="single" w:color="auto" w:sz="4" w:space="0"/>
            </w:tcBorders>
            <w:shd w:val="clear" w:color="auto" w:fill="auto"/>
            <w:vAlign w:val="center"/>
          </w:tcPr>
          <w:p w14:paraId="6E336E17">
            <w:pPr>
              <w:autoSpaceDE w:val="0"/>
              <w:autoSpaceDN w:val="0"/>
              <w:jc w:val="center"/>
              <w:rPr>
                <w:rFonts w:ascii="Times New Roman" w:hAnsi="Times New Roman" w:eastAsia="宋体" w:cs="Times New Roman"/>
                <w:b/>
                <w:color w:val="auto"/>
                <w:szCs w:val="21"/>
                <w:u w:val="single" w:color="auto"/>
              </w:rPr>
            </w:pPr>
          </w:p>
        </w:tc>
      </w:tr>
      <w:tr w14:paraId="39107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05" w:hRule="atLeast"/>
        </w:trPr>
        <w:tc>
          <w:tcPr>
            <w:tcW w:w="325" w:type="dxa"/>
            <w:vMerge w:val="restart"/>
            <w:tcBorders>
              <w:top w:val="nil"/>
              <w:left w:val="single" w:color="auto" w:sz="4" w:space="0"/>
              <w:right w:val="single" w:color="auto" w:sz="4" w:space="0"/>
            </w:tcBorders>
            <w:shd w:val="clear" w:color="auto" w:fill="auto"/>
            <w:vAlign w:val="center"/>
          </w:tcPr>
          <w:p w14:paraId="7759868A">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1</w:t>
            </w:r>
          </w:p>
        </w:tc>
        <w:tc>
          <w:tcPr>
            <w:tcW w:w="576" w:type="dxa"/>
            <w:vMerge w:val="restart"/>
            <w:tcBorders>
              <w:top w:val="nil"/>
              <w:left w:val="nil"/>
              <w:right w:val="single" w:color="auto" w:sz="4" w:space="0"/>
            </w:tcBorders>
            <w:shd w:val="clear" w:color="auto" w:fill="auto"/>
            <w:vAlign w:val="center"/>
          </w:tcPr>
          <w:p w14:paraId="3B31D972">
            <w:pPr>
              <w:autoSpaceDE w:val="0"/>
              <w:autoSpaceDN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废气</w:t>
            </w:r>
          </w:p>
        </w:tc>
        <w:tc>
          <w:tcPr>
            <w:tcW w:w="1923" w:type="dxa"/>
            <w:tcBorders>
              <w:top w:val="single" w:color="auto" w:sz="4" w:space="0"/>
              <w:left w:val="nil"/>
              <w:right w:val="single" w:color="auto" w:sz="4" w:space="0"/>
            </w:tcBorders>
            <w:shd w:val="clear" w:color="auto" w:fill="auto"/>
            <w:vAlign w:val="center"/>
          </w:tcPr>
          <w:p w14:paraId="1E507331">
            <w:pPr>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喷砂房有组织废气</w:t>
            </w:r>
          </w:p>
        </w:tc>
        <w:tc>
          <w:tcPr>
            <w:tcW w:w="1249" w:type="dxa"/>
            <w:tcBorders>
              <w:top w:val="single" w:color="auto" w:sz="4" w:space="0"/>
              <w:left w:val="single" w:color="auto" w:sz="4" w:space="0"/>
              <w:right w:val="single" w:color="auto" w:sz="4" w:space="0"/>
            </w:tcBorders>
            <w:shd w:val="clear" w:color="auto" w:fill="auto"/>
            <w:vAlign w:val="center"/>
          </w:tcPr>
          <w:p w14:paraId="709AB5C4">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eastAsia="zh-CN"/>
              </w:rPr>
              <w:t>30m</w:t>
            </w:r>
            <w:r>
              <w:rPr>
                <w:rFonts w:ascii="Times New Roman" w:hAnsi="Times New Roman" w:eastAsia="宋体" w:cs="Times New Roman"/>
                <w:color w:val="auto"/>
                <w:kern w:val="0"/>
                <w:szCs w:val="21"/>
                <w:u w:val="single" w:color="auto"/>
              </w:rPr>
              <w:t>排气筒</w:t>
            </w:r>
          </w:p>
        </w:tc>
        <w:tc>
          <w:tcPr>
            <w:tcW w:w="1532" w:type="dxa"/>
            <w:tcBorders>
              <w:top w:val="single" w:color="auto" w:sz="4" w:space="0"/>
              <w:left w:val="nil"/>
              <w:right w:val="single" w:color="auto" w:sz="4" w:space="0"/>
            </w:tcBorders>
            <w:shd w:val="clear" w:color="auto" w:fill="auto"/>
            <w:vAlign w:val="center"/>
          </w:tcPr>
          <w:p w14:paraId="0948E294">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pacing w:val="-2"/>
                <w:kern w:val="0"/>
                <w:szCs w:val="21"/>
                <w:u w:val="single" w:color="auto"/>
              </w:rPr>
              <w:t>滤筒除尘器处理+</w:t>
            </w:r>
            <w:r>
              <w:rPr>
                <w:rFonts w:hint="eastAsia" w:ascii="Times New Roman" w:hAnsi="Times New Roman" w:eastAsia="宋体" w:cs="Times New Roman"/>
                <w:color w:val="auto"/>
                <w:spacing w:val="-2"/>
                <w:kern w:val="0"/>
                <w:szCs w:val="21"/>
                <w:u w:val="single" w:color="auto"/>
                <w:lang w:val="en-US" w:eastAsia="zh-CN"/>
              </w:rPr>
              <w:t>3</w:t>
            </w:r>
            <w:r>
              <w:rPr>
                <w:rFonts w:hint="eastAsia" w:ascii="Times New Roman" w:hAnsi="Times New Roman" w:eastAsia="宋体" w:cs="Times New Roman"/>
                <w:color w:val="auto"/>
                <w:spacing w:val="-2"/>
                <w:kern w:val="0"/>
                <w:szCs w:val="21"/>
                <w:u w:val="single" w:color="auto"/>
                <w:lang w:eastAsia="zh-CN"/>
              </w:rPr>
              <w:t>0m</w:t>
            </w:r>
            <w:r>
              <w:rPr>
                <w:rFonts w:hint="eastAsia" w:ascii="Times New Roman" w:hAnsi="Times New Roman" w:eastAsia="宋体" w:cs="Times New Roman"/>
                <w:color w:val="auto"/>
                <w:spacing w:val="-2"/>
                <w:kern w:val="0"/>
                <w:szCs w:val="21"/>
                <w:u w:val="single" w:color="auto"/>
                <w:lang w:val="en-US" w:eastAsia="zh-CN"/>
              </w:rPr>
              <w:t>DA001</w:t>
            </w:r>
            <w:r>
              <w:rPr>
                <w:rFonts w:ascii="Times New Roman" w:hAnsi="Times New Roman" w:eastAsia="宋体" w:cs="Times New Roman"/>
                <w:color w:val="auto"/>
                <w:spacing w:val="-2"/>
                <w:kern w:val="0"/>
                <w:szCs w:val="21"/>
                <w:u w:val="single" w:color="auto"/>
              </w:rPr>
              <w:t>排气筒排放</w:t>
            </w:r>
          </w:p>
        </w:tc>
        <w:tc>
          <w:tcPr>
            <w:tcW w:w="1265" w:type="dxa"/>
            <w:tcBorders>
              <w:top w:val="single" w:color="auto" w:sz="4" w:space="0"/>
              <w:left w:val="nil"/>
              <w:bottom w:val="single" w:color="auto" w:sz="4" w:space="0"/>
              <w:right w:val="single" w:color="auto" w:sz="4" w:space="0"/>
            </w:tcBorders>
            <w:shd w:val="clear" w:color="auto" w:fill="auto"/>
            <w:vAlign w:val="center"/>
          </w:tcPr>
          <w:p w14:paraId="58BF42A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颗粒物</w:t>
            </w:r>
          </w:p>
        </w:tc>
        <w:tc>
          <w:tcPr>
            <w:tcW w:w="1146" w:type="dxa"/>
            <w:tcBorders>
              <w:top w:val="single" w:color="auto" w:sz="4" w:space="0"/>
              <w:left w:val="nil"/>
              <w:right w:val="single" w:color="auto" w:sz="4" w:space="0"/>
            </w:tcBorders>
            <w:shd w:val="clear" w:color="auto" w:fill="auto"/>
            <w:vAlign w:val="center"/>
          </w:tcPr>
          <w:p w14:paraId="678079B9">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9.617</w:t>
            </w:r>
          </w:p>
        </w:tc>
        <w:tc>
          <w:tcPr>
            <w:tcW w:w="1188" w:type="dxa"/>
            <w:tcBorders>
              <w:top w:val="single" w:color="auto" w:sz="4" w:space="0"/>
              <w:left w:val="nil"/>
              <w:right w:val="single" w:color="auto" w:sz="4" w:space="0"/>
            </w:tcBorders>
            <w:shd w:val="clear" w:color="auto" w:fill="auto"/>
            <w:vAlign w:val="center"/>
          </w:tcPr>
          <w:p w14:paraId="74DE18FD">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0.577</w:t>
            </w:r>
          </w:p>
        </w:tc>
        <w:tc>
          <w:tcPr>
            <w:tcW w:w="629" w:type="dxa"/>
            <w:vMerge w:val="restart"/>
            <w:tcBorders>
              <w:top w:val="single" w:color="auto" w:sz="4" w:space="0"/>
              <w:left w:val="nil"/>
              <w:right w:val="single" w:color="auto" w:sz="4" w:space="0"/>
            </w:tcBorders>
            <w:shd w:val="clear" w:color="auto" w:fill="auto"/>
            <w:vAlign w:val="center"/>
          </w:tcPr>
          <w:p w14:paraId="1CFD167B">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连续</w:t>
            </w:r>
          </w:p>
        </w:tc>
        <w:tc>
          <w:tcPr>
            <w:tcW w:w="990" w:type="dxa"/>
            <w:tcBorders>
              <w:top w:val="single" w:color="auto" w:sz="4" w:space="0"/>
              <w:left w:val="nil"/>
              <w:right w:val="single" w:color="auto" w:sz="4" w:space="0"/>
            </w:tcBorders>
            <w:shd w:val="clear" w:color="auto" w:fill="auto"/>
            <w:vAlign w:val="center"/>
          </w:tcPr>
          <w:p w14:paraId="5464C87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120mg/m</w:t>
            </w:r>
            <w:r>
              <w:rPr>
                <w:rFonts w:ascii="Times New Roman" w:hAnsi="Times New Roman" w:eastAsia="宋体" w:cs="Times New Roman"/>
                <w:color w:val="auto"/>
                <w:szCs w:val="21"/>
                <w:u w:val="single" w:color="auto"/>
                <w:vertAlign w:val="superscript"/>
              </w:rPr>
              <w:t>3</w:t>
            </w:r>
          </w:p>
        </w:tc>
        <w:tc>
          <w:tcPr>
            <w:tcW w:w="974" w:type="dxa"/>
            <w:gridSpan w:val="2"/>
            <w:tcBorders>
              <w:top w:val="single" w:color="auto" w:sz="4" w:space="0"/>
              <w:left w:val="nil"/>
              <w:right w:val="single" w:color="auto" w:sz="4" w:space="0"/>
            </w:tcBorders>
            <w:shd w:val="clear" w:color="auto" w:fill="auto"/>
            <w:vAlign w:val="center"/>
          </w:tcPr>
          <w:p w14:paraId="73BEBB7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5.9kg/h</w:t>
            </w:r>
          </w:p>
        </w:tc>
        <w:tc>
          <w:tcPr>
            <w:tcW w:w="2151" w:type="dxa"/>
            <w:vMerge w:val="restart"/>
            <w:tcBorders>
              <w:top w:val="single" w:color="auto" w:sz="4" w:space="0"/>
              <w:left w:val="nil"/>
              <w:right w:val="single" w:color="auto" w:sz="4" w:space="0"/>
            </w:tcBorders>
            <w:shd w:val="clear" w:color="auto" w:fill="auto"/>
            <w:vAlign w:val="center"/>
          </w:tcPr>
          <w:p w14:paraId="4BE44BCB">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4"/>
                <w:u w:val="single" w:color="auto"/>
              </w:rPr>
              <w:t>《大气污染物综合排放标准》（GB 16297-1996）表2中的二级排放标准</w:t>
            </w:r>
          </w:p>
        </w:tc>
      </w:tr>
      <w:tr w14:paraId="0C11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2E0C1AB2">
            <w:pPr>
              <w:autoSpaceDE w:val="0"/>
              <w:autoSpaceDN w:val="0"/>
              <w:jc w:val="center"/>
              <w:rPr>
                <w:rFonts w:ascii="Times New Roman" w:hAnsi="Times New Roman" w:eastAsia="宋体" w:cs="Times New Roman"/>
                <w:color w:val="auto"/>
                <w:kern w:val="0"/>
                <w:szCs w:val="21"/>
                <w:u w:val="single" w:color="auto"/>
              </w:rPr>
            </w:pPr>
          </w:p>
        </w:tc>
        <w:tc>
          <w:tcPr>
            <w:tcW w:w="576" w:type="dxa"/>
            <w:vMerge w:val="continue"/>
            <w:tcBorders>
              <w:left w:val="nil"/>
              <w:right w:val="single" w:color="auto" w:sz="4" w:space="0"/>
            </w:tcBorders>
            <w:shd w:val="clear" w:color="auto" w:fill="auto"/>
            <w:vAlign w:val="center"/>
          </w:tcPr>
          <w:p w14:paraId="0BE1ED8A">
            <w:pPr>
              <w:autoSpaceDE w:val="0"/>
              <w:autoSpaceDN w:val="0"/>
              <w:jc w:val="center"/>
              <w:rPr>
                <w:rFonts w:ascii="Times New Roman" w:hAnsi="Times New Roman" w:eastAsia="宋体" w:cs="Times New Roman"/>
                <w:color w:val="auto"/>
                <w:kern w:val="0"/>
                <w:szCs w:val="21"/>
                <w:u w:val="single" w:color="auto"/>
              </w:rPr>
            </w:pPr>
          </w:p>
        </w:tc>
        <w:tc>
          <w:tcPr>
            <w:tcW w:w="1923" w:type="dxa"/>
            <w:vMerge w:val="restart"/>
            <w:tcBorders>
              <w:top w:val="single" w:color="auto" w:sz="4" w:space="0"/>
              <w:left w:val="nil"/>
              <w:right w:val="single" w:color="auto" w:sz="4" w:space="0"/>
            </w:tcBorders>
            <w:shd w:val="clear" w:color="auto" w:fill="auto"/>
            <w:vAlign w:val="center"/>
          </w:tcPr>
          <w:p w14:paraId="7748470C">
            <w:pPr>
              <w:snapToGrid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eastAsia="zh-CN"/>
              </w:rPr>
              <w:t>涂装车间</w:t>
            </w:r>
            <w:r>
              <w:rPr>
                <w:rFonts w:ascii="Times New Roman" w:hAnsi="Times New Roman" w:eastAsia="宋体" w:cs="Times New Roman"/>
                <w:color w:val="auto"/>
                <w:kern w:val="0"/>
                <w:szCs w:val="21"/>
                <w:u w:val="single" w:color="auto"/>
              </w:rPr>
              <w:t>有组织废气</w:t>
            </w:r>
          </w:p>
        </w:tc>
        <w:tc>
          <w:tcPr>
            <w:tcW w:w="1249" w:type="dxa"/>
            <w:vMerge w:val="restart"/>
            <w:tcBorders>
              <w:left w:val="single" w:color="auto" w:sz="4" w:space="0"/>
              <w:right w:val="single" w:color="auto" w:sz="4" w:space="0"/>
            </w:tcBorders>
            <w:shd w:val="clear" w:color="auto" w:fill="auto"/>
            <w:vAlign w:val="center"/>
          </w:tcPr>
          <w:p w14:paraId="271ACDF6">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kern w:val="0"/>
                <w:szCs w:val="21"/>
                <w:u w:val="single" w:color="auto"/>
                <w:lang w:eastAsia="zh-CN"/>
              </w:rPr>
              <w:t>30m</w:t>
            </w:r>
            <w:r>
              <w:rPr>
                <w:rFonts w:ascii="Times New Roman" w:hAnsi="Times New Roman" w:eastAsia="宋体" w:cs="Times New Roman"/>
                <w:color w:val="auto"/>
                <w:kern w:val="0"/>
                <w:szCs w:val="21"/>
                <w:u w:val="single" w:color="auto"/>
              </w:rPr>
              <w:t>排气筒</w:t>
            </w:r>
          </w:p>
        </w:tc>
        <w:tc>
          <w:tcPr>
            <w:tcW w:w="1532" w:type="dxa"/>
            <w:vMerge w:val="restart"/>
            <w:tcBorders>
              <w:left w:val="nil"/>
              <w:right w:val="single" w:color="auto" w:sz="4" w:space="0"/>
            </w:tcBorders>
            <w:shd w:val="clear" w:color="auto" w:fill="auto"/>
            <w:vAlign w:val="center"/>
          </w:tcPr>
          <w:p w14:paraId="4EBED4A8">
            <w:pPr>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u w:val="single" w:color="auto"/>
              </w:rPr>
              <w:t>干式漆雾过滤器+活性炭吸附+解吸脱附+催化燃烧+</w:t>
            </w:r>
            <w:r>
              <w:rPr>
                <w:rFonts w:hint="eastAsia" w:ascii="Times New Roman" w:hAnsi="Times New Roman" w:eastAsia="宋体" w:cs="Times New Roman"/>
                <w:color w:val="auto"/>
                <w:u w:val="single" w:color="auto"/>
                <w:lang w:eastAsia="zh-CN"/>
              </w:rPr>
              <w:t>30m</w:t>
            </w:r>
            <w:r>
              <w:rPr>
                <w:rFonts w:hint="eastAsia" w:ascii="Times New Roman" w:hAnsi="Times New Roman" w:eastAsia="宋体" w:cs="Times New Roman"/>
                <w:color w:val="auto"/>
                <w:spacing w:val="-2"/>
                <w:kern w:val="0"/>
                <w:szCs w:val="21"/>
                <w:u w:val="single" w:color="auto"/>
                <w:lang w:val="en-US" w:eastAsia="zh-CN"/>
              </w:rPr>
              <w:t>DA002</w:t>
            </w:r>
            <w:r>
              <w:rPr>
                <w:rFonts w:ascii="Times New Roman" w:hAnsi="Times New Roman" w:eastAsia="宋体" w:cs="Times New Roman"/>
                <w:color w:val="auto"/>
                <w:u w:val="single" w:color="auto"/>
              </w:rPr>
              <w:t>排气筒</w:t>
            </w:r>
          </w:p>
        </w:tc>
        <w:tc>
          <w:tcPr>
            <w:tcW w:w="1265" w:type="dxa"/>
            <w:tcBorders>
              <w:top w:val="single" w:color="auto" w:sz="4" w:space="0"/>
              <w:left w:val="nil"/>
              <w:bottom w:val="single" w:color="auto" w:sz="4" w:space="0"/>
              <w:right w:val="single" w:color="auto" w:sz="4" w:space="0"/>
            </w:tcBorders>
            <w:shd w:val="clear" w:color="auto" w:fill="auto"/>
            <w:vAlign w:val="center"/>
          </w:tcPr>
          <w:p w14:paraId="0FBBD876">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颗粒物</w:t>
            </w:r>
          </w:p>
        </w:tc>
        <w:tc>
          <w:tcPr>
            <w:tcW w:w="1146" w:type="dxa"/>
            <w:tcBorders>
              <w:left w:val="nil"/>
              <w:bottom w:val="single" w:color="auto" w:sz="4" w:space="0"/>
              <w:right w:val="single" w:color="auto" w:sz="4" w:space="0"/>
            </w:tcBorders>
            <w:shd w:val="clear" w:color="auto" w:fill="auto"/>
            <w:vAlign w:val="center"/>
          </w:tcPr>
          <w:p w14:paraId="4096C56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34.625</w:t>
            </w:r>
          </w:p>
        </w:tc>
        <w:tc>
          <w:tcPr>
            <w:tcW w:w="1188" w:type="dxa"/>
            <w:tcBorders>
              <w:left w:val="nil"/>
              <w:bottom w:val="single" w:color="auto" w:sz="4" w:space="0"/>
              <w:right w:val="single" w:color="auto" w:sz="4" w:space="0"/>
            </w:tcBorders>
            <w:shd w:val="clear" w:color="auto" w:fill="auto"/>
            <w:vAlign w:val="center"/>
          </w:tcPr>
          <w:p w14:paraId="6AAB43D9">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2.493</w:t>
            </w:r>
          </w:p>
        </w:tc>
        <w:tc>
          <w:tcPr>
            <w:tcW w:w="629" w:type="dxa"/>
            <w:vMerge w:val="continue"/>
            <w:tcBorders>
              <w:left w:val="nil"/>
              <w:right w:val="single" w:color="auto" w:sz="4" w:space="0"/>
            </w:tcBorders>
            <w:shd w:val="clear" w:color="auto" w:fill="auto"/>
            <w:vAlign w:val="center"/>
          </w:tcPr>
          <w:p w14:paraId="36795AEE">
            <w:pPr>
              <w:autoSpaceDE w:val="0"/>
              <w:autoSpaceDN w:val="0"/>
              <w:jc w:val="center"/>
              <w:rPr>
                <w:rFonts w:ascii="Times New Roman" w:hAnsi="Times New Roman" w:eastAsia="宋体" w:cs="Times New Roman"/>
                <w:color w:val="auto"/>
                <w:szCs w:val="21"/>
                <w:u w:val="single" w:color="auto"/>
              </w:rPr>
            </w:pPr>
          </w:p>
        </w:tc>
        <w:tc>
          <w:tcPr>
            <w:tcW w:w="990" w:type="dxa"/>
            <w:tcBorders>
              <w:left w:val="nil"/>
              <w:bottom w:val="single" w:color="auto" w:sz="4" w:space="0"/>
              <w:right w:val="single" w:color="auto" w:sz="4" w:space="0"/>
            </w:tcBorders>
            <w:shd w:val="clear" w:color="auto" w:fill="auto"/>
            <w:vAlign w:val="center"/>
          </w:tcPr>
          <w:p w14:paraId="2E3A2AB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120mg/m</w:t>
            </w:r>
            <w:r>
              <w:rPr>
                <w:rFonts w:ascii="Times New Roman" w:hAnsi="Times New Roman" w:eastAsia="宋体" w:cs="Times New Roman"/>
                <w:color w:val="auto"/>
                <w:szCs w:val="21"/>
                <w:u w:val="single" w:color="auto"/>
                <w:vertAlign w:val="superscript"/>
              </w:rPr>
              <w:t>3</w:t>
            </w:r>
          </w:p>
        </w:tc>
        <w:tc>
          <w:tcPr>
            <w:tcW w:w="974" w:type="dxa"/>
            <w:gridSpan w:val="2"/>
            <w:tcBorders>
              <w:left w:val="nil"/>
              <w:bottom w:val="single" w:color="auto" w:sz="4" w:space="0"/>
              <w:right w:val="single" w:color="auto" w:sz="4" w:space="0"/>
            </w:tcBorders>
            <w:shd w:val="clear" w:color="auto" w:fill="auto"/>
            <w:vAlign w:val="center"/>
          </w:tcPr>
          <w:p w14:paraId="0BB75816">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5.9kg/h</w:t>
            </w:r>
          </w:p>
        </w:tc>
        <w:tc>
          <w:tcPr>
            <w:tcW w:w="2151" w:type="dxa"/>
            <w:vMerge w:val="continue"/>
            <w:tcBorders>
              <w:left w:val="nil"/>
              <w:right w:val="single" w:color="auto" w:sz="4" w:space="0"/>
            </w:tcBorders>
            <w:shd w:val="clear" w:color="auto" w:fill="auto"/>
            <w:vAlign w:val="center"/>
          </w:tcPr>
          <w:p w14:paraId="120E7F37">
            <w:pPr>
              <w:autoSpaceDE w:val="0"/>
              <w:autoSpaceDN w:val="0"/>
              <w:jc w:val="center"/>
              <w:rPr>
                <w:rFonts w:ascii="Times New Roman" w:hAnsi="Times New Roman" w:eastAsia="宋体" w:cs="Times New Roman"/>
                <w:color w:val="auto"/>
                <w:szCs w:val="21"/>
                <w:u w:val="single" w:color="auto"/>
              </w:rPr>
            </w:pPr>
          </w:p>
        </w:tc>
      </w:tr>
      <w:tr w14:paraId="05733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12E4D304">
            <w:pPr>
              <w:autoSpaceDE w:val="0"/>
              <w:autoSpaceDN w:val="0"/>
              <w:jc w:val="center"/>
              <w:rPr>
                <w:rFonts w:ascii="Times New Roman" w:hAnsi="Times New Roman" w:eastAsia="宋体" w:cs="Times New Roman"/>
                <w:color w:val="auto"/>
                <w:u w:val="single" w:color="auto"/>
              </w:rPr>
            </w:pPr>
          </w:p>
        </w:tc>
        <w:tc>
          <w:tcPr>
            <w:tcW w:w="576" w:type="dxa"/>
            <w:vMerge w:val="continue"/>
            <w:tcBorders>
              <w:left w:val="nil"/>
              <w:right w:val="single" w:color="auto" w:sz="4" w:space="0"/>
            </w:tcBorders>
            <w:shd w:val="clear" w:color="auto" w:fill="auto"/>
            <w:vAlign w:val="center"/>
          </w:tcPr>
          <w:p w14:paraId="7B7129B1">
            <w:pPr>
              <w:autoSpaceDE w:val="0"/>
              <w:autoSpaceDN w:val="0"/>
              <w:jc w:val="center"/>
              <w:rPr>
                <w:rFonts w:ascii="Times New Roman" w:hAnsi="Times New Roman" w:eastAsia="宋体" w:cs="Times New Roman"/>
                <w:color w:val="auto"/>
                <w:u w:val="single" w:color="auto"/>
              </w:rPr>
            </w:pPr>
          </w:p>
        </w:tc>
        <w:tc>
          <w:tcPr>
            <w:tcW w:w="1923" w:type="dxa"/>
            <w:vMerge w:val="continue"/>
            <w:tcBorders>
              <w:left w:val="nil"/>
              <w:right w:val="single" w:color="auto" w:sz="4" w:space="0"/>
            </w:tcBorders>
            <w:shd w:val="clear" w:color="auto" w:fill="auto"/>
            <w:vAlign w:val="center"/>
          </w:tcPr>
          <w:p w14:paraId="0BFCED58">
            <w:pPr>
              <w:autoSpaceDE w:val="0"/>
              <w:autoSpaceDN w:val="0"/>
              <w:jc w:val="center"/>
              <w:rPr>
                <w:rFonts w:ascii="Times New Roman" w:hAnsi="Times New Roman" w:eastAsia="宋体" w:cs="Times New Roman"/>
                <w:color w:val="auto"/>
                <w:u w:val="single" w:color="auto"/>
              </w:rPr>
            </w:pPr>
          </w:p>
        </w:tc>
        <w:tc>
          <w:tcPr>
            <w:tcW w:w="1249" w:type="dxa"/>
            <w:vMerge w:val="continue"/>
            <w:tcBorders>
              <w:left w:val="single" w:color="auto" w:sz="4" w:space="0"/>
              <w:right w:val="single" w:color="auto" w:sz="4" w:space="0"/>
            </w:tcBorders>
            <w:shd w:val="clear" w:color="auto" w:fill="auto"/>
            <w:vAlign w:val="center"/>
          </w:tcPr>
          <w:p w14:paraId="6AA22175">
            <w:pPr>
              <w:autoSpaceDE w:val="0"/>
              <w:autoSpaceDN w:val="0"/>
              <w:jc w:val="center"/>
              <w:rPr>
                <w:rFonts w:ascii="Times New Roman" w:hAnsi="Times New Roman" w:eastAsia="宋体" w:cs="Times New Roman"/>
                <w:color w:val="auto"/>
                <w:u w:val="single" w:color="auto"/>
              </w:rPr>
            </w:pPr>
          </w:p>
        </w:tc>
        <w:tc>
          <w:tcPr>
            <w:tcW w:w="1532" w:type="dxa"/>
            <w:vMerge w:val="continue"/>
            <w:tcBorders>
              <w:left w:val="nil"/>
              <w:right w:val="single" w:color="auto" w:sz="4" w:space="0"/>
            </w:tcBorders>
            <w:shd w:val="clear" w:color="auto" w:fill="auto"/>
            <w:vAlign w:val="center"/>
          </w:tcPr>
          <w:p w14:paraId="69821B76">
            <w:pPr>
              <w:autoSpaceDE w:val="0"/>
              <w:autoSpaceDN w:val="0"/>
              <w:jc w:val="center"/>
              <w:rPr>
                <w:rFonts w:ascii="Times New Roman" w:hAnsi="Times New Roman" w:eastAsia="宋体" w:cs="Times New Roman"/>
                <w:color w:val="auto"/>
                <w:u w:val="single" w:color="auto"/>
              </w:rPr>
            </w:pPr>
          </w:p>
        </w:tc>
        <w:tc>
          <w:tcPr>
            <w:tcW w:w="1265" w:type="dxa"/>
            <w:tcBorders>
              <w:top w:val="single" w:color="auto" w:sz="4" w:space="0"/>
              <w:left w:val="nil"/>
              <w:bottom w:val="single" w:color="auto" w:sz="4" w:space="0"/>
              <w:right w:val="single" w:color="auto" w:sz="4" w:space="0"/>
            </w:tcBorders>
            <w:shd w:val="clear" w:color="auto" w:fill="auto"/>
            <w:vAlign w:val="center"/>
          </w:tcPr>
          <w:p w14:paraId="08D1C3FA">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甲苯</w:t>
            </w:r>
          </w:p>
        </w:tc>
        <w:tc>
          <w:tcPr>
            <w:tcW w:w="1146" w:type="dxa"/>
            <w:tcBorders>
              <w:left w:val="nil"/>
              <w:bottom w:val="single" w:color="auto" w:sz="4" w:space="0"/>
              <w:right w:val="single" w:color="auto" w:sz="4" w:space="0"/>
            </w:tcBorders>
            <w:shd w:val="clear" w:color="auto" w:fill="auto"/>
            <w:vAlign w:val="center"/>
          </w:tcPr>
          <w:p w14:paraId="40298345">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0.014</w:t>
            </w:r>
          </w:p>
        </w:tc>
        <w:tc>
          <w:tcPr>
            <w:tcW w:w="1188" w:type="dxa"/>
            <w:tcBorders>
              <w:left w:val="nil"/>
              <w:bottom w:val="single" w:color="auto" w:sz="4" w:space="0"/>
              <w:right w:val="single" w:color="auto" w:sz="4" w:space="0"/>
            </w:tcBorders>
            <w:shd w:val="clear" w:color="auto" w:fill="auto"/>
            <w:vAlign w:val="center"/>
          </w:tcPr>
          <w:p w14:paraId="38AA0B9E">
            <w:pPr>
              <w:keepNext w:val="0"/>
              <w:keepLines w:val="0"/>
              <w:widowControl/>
              <w:suppressLineNumbers w:val="0"/>
              <w:jc w:val="center"/>
              <w:textAlignment w:val="center"/>
              <w:rPr>
                <w:rFonts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0.001</w:t>
            </w:r>
          </w:p>
        </w:tc>
        <w:tc>
          <w:tcPr>
            <w:tcW w:w="629" w:type="dxa"/>
            <w:vMerge w:val="continue"/>
            <w:tcBorders>
              <w:left w:val="nil"/>
              <w:right w:val="single" w:color="auto" w:sz="4" w:space="0"/>
            </w:tcBorders>
            <w:shd w:val="clear" w:color="auto" w:fill="auto"/>
            <w:vAlign w:val="center"/>
          </w:tcPr>
          <w:p w14:paraId="404DB108">
            <w:pPr>
              <w:autoSpaceDE w:val="0"/>
              <w:autoSpaceDN w:val="0"/>
              <w:jc w:val="center"/>
              <w:rPr>
                <w:rFonts w:ascii="Times New Roman" w:hAnsi="Times New Roman" w:eastAsia="宋体" w:cs="Times New Roman"/>
                <w:color w:val="auto"/>
                <w:szCs w:val="21"/>
                <w:u w:val="single" w:color="auto"/>
              </w:rPr>
            </w:pPr>
          </w:p>
        </w:tc>
        <w:tc>
          <w:tcPr>
            <w:tcW w:w="990" w:type="dxa"/>
            <w:tcBorders>
              <w:left w:val="nil"/>
              <w:bottom w:val="single" w:color="auto" w:sz="4" w:space="0"/>
              <w:right w:val="single" w:color="auto" w:sz="4" w:space="0"/>
            </w:tcBorders>
            <w:shd w:val="clear" w:color="auto" w:fill="auto"/>
            <w:vAlign w:val="center"/>
          </w:tcPr>
          <w:p w14:paraId="4669E6B7">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40mg/m</w:t>
            </w:r>
            <w:r>
              <w:rPr>
                <w:rFonts w:ascii="Times New Roman" w:hAnsi="Times New Roman" w:eastAsia="宋体" w:cs="Times New Roman"/>
                <w:color w:val="auto"/>
                <w:szCs w:val="21"/>
                <w:u w:val="single" w:color="auto"/>
                <w:vertAlign w:val="superscript"/>
              </w:rPr>
              <w:t>3</w:t>
            </w:r>
          </w:p>
        </w:tc>
        <w:tc>
          <w:tcPr>
            <w:tcW w:w="974" w:type="dxa"/>
            <w:gridSpan w:val="2"/>
            <w:tcBorders>
              <w:left w:val="nil"/>
              <w:bottom w:val="single" w:color="auto" w:sz="4" w:space="0"/>
              <w:right w:val="single" w:color="auto" w:sz="4" w:space="0"/>
            </w:tcBorders>
            <w:shd w:val="clear" w:color="auto" w:fill="auto"/>
            <w:vAlign w:val="center"/>
          </w:tcPr>
          <w:p w14:paraId="5F18124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5.2kg/h</w:t>
            </w:r>
          </w:p>
        </w:tc>
        <w:tc>
          <w:tcPr>
            <w:tcW w:w="2151" w:type="dxa"/>
            <w:vMerge w:val="continue"/>
            <w:tcBorders>
              <w:left w:val="nil"/>
              <w:right w:val="single" w:color="auto" w:sz="4" w:space="0"/>
            </w:tcBorders>
            <w:shd w:val="clear" w:color="auto" w:fill="auto"/>
            <w:vAlign w:val="center"/>
          </w:tcPr>
          <w:p w14:paraId="3C62182A">
            <w:pPr>
              <w:autoSpaceDE w:val="0"/>
              <w:autoSpaceDN w:val="0"/>
              <w:jc w:val="center"/>
              <w:rPr>
                <w:rFonts w:ascii="Times New Roman" w:hAnsi="Times New Roman" w:eastAsia="宋体" w:cs="Times New Roman"/>
                <w:color w:val="auto"/>
                <w:szCs w:val="21"/>
                <w:u w:val="single" w:color="auto"/>
              </w:rPr>
            </w:pPr>
          </w:p>
        </w:tc>
      </w:tr>
      <w:tr w14:paraId="68875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1216A8EA">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right w:val="single" w:color="auto" w:sz="4" w:space="0"/>
            </w:tcBorders>
            <w:shd w:val="clear" w:color="auto" w:fill="auto"/>
            <w:vAlign w:val="center"/>
          </w:tcPr>
          <w:p w14:paraId="14C7339D">
            <w:pPr>
              <w:autoSpaceDE w:val="0"/>
              <w:autoSpaceDN w:val="0"/>
              <w:jc w:val="center"/>
              <w:rPr>
                <w:rFonts w:ascii="Times New Roman" w:hAnsi="Times New Roman" w:eastAsia="宋体" w:cs="Times New Roman"/>
                <w:color w:val="auto"/>
                <w:szCs w:val="21"/>
                <w:u w:val="single" w:color="auto"/>
              </w:rPr>
            </w:pPr>
          </w:p>
        </w:tc>
        <w:tc>
          <w:tcPr>
            <w:tcW w:w="1923" w:type="dxa"/>
            <w:vMerge w:val="continue"/>
            <w:tcBorders>
              <w:left w:val="nil"/>
              <w:right w:val="single" w:color="auto" w:sz="4" w:space="0"/>
            </w:tcBorders>
            <w:shd w:val="clear" w:color="auto" w:fill="auto"/>
            <w:vAlign w:val="center"/>
          </w:tcPr>
          <w:p w14:paraId="78156F32">
            <w:pPr>
              <w:autoSpaceDE w:val="0"/>
              <w:autoSpaceDN w:val="0"/>
              <w:jc w:val="center"/>
              <w:rPr>
                <w:rFonts w:ascii="Times New Roman" w:hAnsi="Times New Roman" w:eastAsia="宋体" w:cs="Times New Roman"/>
                <w:color w:val="auto"/>
                <w:szCs w:val="21"/>
                <w:u w:val="single" w:color="auto"/>
              </w:rPr>
            </w:pPr>
          </w:p>
        </w:tc>
        <w:tc>
          <w:tcPr>
            <w:tcW w:w="1249" w:type="dxa"/>
            <w:vMerge w:val="continue"/>
            <w:tcBorders>
              <w:left w:val="single" w:color="auto" w:sz="4" w:space="0"/>
              <w:right w:val="single" w:color="auto" w:sz="4" w:space="0"/>
            </w:tcBorders>
            <w:shd w:val="clear" w:color="auto" w:fill="auto"/>
            <w:vAlign w:val="center"/>
          </w:tcPr>
          <w:p w14:paraId="5E9CC2C6">
            <w:pPr>
              <w:autoSpaceDE w:val="0"/>
              <w:autoSpaceDN w:val="0"/>
              <w:jc w:val="center"/>
              <w:rPr>
                <w:rFonts w:ascii="Times New Roman" w:hAnsi="Times New Roman" w:eastAsia="宋体" w:cs="Times New Roman"/>
                <w:color w:val="auto"/>
                <w:szCs w:val="21"/>
                <w:u w:val="single" w:color="auto"/>
              </w:rPr>
            </w:pPr>
          </w:p>
        </w:tc>
        <w:tc>
          <w:tcPr>
            <w:tcW w:w="1532" w:type="dxa"/>
            <w:vMerge w:val="continue"/>
            <w:tcBorders>
              <w:left w:val="nil"/>
              <w:right w:val="single" w:color="auto" w:sz="4" w:space="0"/>
            </w:tcBorders>
            <w:shd w:val="clear" w:color="auto" w:fill="auto"/>
            <w:vAlign w:val="center"/>
          </w:tcPr>
          <w:p w14:paraId="6902CF8F">
            <w:pPr>
              <w:autoSpaceDE w:val="0"/>
              <w:autoSpaceDN w:val="0"/>
              <w:jc w:val="center"/>
              <w:rPr>
                <w:rFonts w:ascii="Times New Roman" w:hAnsi="Times New Roman" w:eastAsia="宋体" w:cs="Times New Roman"/>
                <w:color w:val="auto"/>
                <w:szCs w:val="21"/>
                <w:u w:val="single" w:color="auto"/>
              </w:rPr>
            </w:pPr>
          </w:p>
        </w:tc>
        <w:tc>
          <w:tcPr>
            <w:tcW w:w="1265" w:type="dxa"/>
            <w:tcBorders>
              <w:top w:val="single" w:color="auto" w:sz="4" w:space="0"/>
              <w:left w:val="nil"/>
              <w:bottom w:val="single" w:color="auto" w:sz="4" w:space="0"/>
              <w:right w:val="single" w:color="auto" w:sz="4" w:space="0"/>
            </w:tcBorders>
            <w:shd w:val="clear" w:color="auto" w:fill="auto"/>
            <w:vAlign w:val="center"/>
          </w:tcPr>
          <w:p w14:paraId="158FE5B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二甲苯</w:t>
            </w:r>
          </w:p>
        </w:tc>
        <w:tc>
          <w:tcPr>
            <w:tcW w:w="1146" w:type="dxa"/>
            <w:tcBorders>
              <w:left w:val="nil"/>
              <w:bottom w:val="single" w:color="auto" w:sz="4" w:space="0"/>
              <w:right w:val="single" w:color="auto" w:sz="4" w:space="0"/>
            </w:tcBorders>
            <w:shd w:val="clear" w:color="auto" w:fill="auto"/>
            <w:vAlign w:val="center"/>
          </w:tcPr>
          <w:p w14:paraId="54DC5C03">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6.583</w:t>
            </w:r>
          </w:p>
        </w:tc>
        <w:tc>
          <w:tcPr>
            <w:tcW w:w="1188" w:type="dxa"/>
            <w:tcBorders>
              <w:left w:val="nil"/>
              <w:bottom w:val="single" w:color="auto" w:sz="4" w:space="0"/>
              <w:right w:val="single" w:color="auto" w:sz="4" w:space="0"/>
            </w:tcBorders>
            <w:shd w:val="clear" w:color="auto" w:fill="auto"/>
            <w:vAlign w:val="center"/>
          </w:tcPr>
          <w:p w14:paraId="29AAD1B8">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0.4</w:t>
            </w:r>
            <w:r>
              <w:rPr>
                <w:rFonts w:hint="eastAsia" w:ascii="Times New Roman" w:hAnsi="Times New Roman" w:eastAsia="宋体" w:cs="Times New Roman"/>
                <w:i w:val="0"/>
                <w:iCs w:val="0"/>
                <w:color w:val="auto"/>
                <w:kern w:val="0"/>
                <w:sz w:val="21"/>
                <w:szCs w:val="21"/>
                <w:u w:val="single" w:color="auto"/>
                <w:lang w:val="en-US" w:eastAsia="zh-CN" w:bidi="ar"/>
              </w:rPr>
              <w:t>74</w:t>
            </w:r>
          </w:p>
        </w:tc>
        <w:tc>
          <w:tcPr>
            <w:tcW w:w="629" w:type="dxa"/>
            <w:vMerge w:val="continue"/>
            <w:tcBorders>
              <w:left w:val="nil"/>
              <w:right w:val="single" w:color="auto" w:sz="4" w:space="0"/>
            </w:tcBorders>
            <w:shd w:val="clear" w:color="auto" w:fill="auto"/>
            <w:vAlign w:val="center"/>
          </w:tcPr>
          <w:p w14:paraId="0FCCE4C1">
            <w:pPr>
              <w:autoSpaceDE w:val="0"/>
              <w:autoSpaceDN w:val="0"/>
              <w:jc w:val="center"/>
              <w:rPr>
                <w:rFonts w:ascii="Times New Roman" w:hAnsi="Times New Roman" w:eastAsia="宋体" w:cs="Times New Roman"/>
                <w:color w:val="auto"/>
                <w:szCs w:val="21"/>
                <w:u w:val="single" w:color="auto"/>
              </w:rPr>
            </w:pPr>
          </w:p>
        </w:tc>
        <w:tc>
          <w:tcPr>
            <w:tcW w:w="990" w:type="dxa"/>
            <w:tcBorders>
              <w:left w:val="nil"/>
              <w:bottom w:val="single" w:color="auto" w:sz="4" w:space="0"/>
              <w:right w:val="single" w:color="auto" w:sz="4" w:space="0"/>
            </w:tcBorders>
            <w:shd w:val="clear" w:color="auto" w:fill="auto"/>
            <w:vAlign w:val="center"/>
          </w:tcPr>
          <w:p w14:paraId="15B74CA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70mg/m</w:t>
            </w:r>
            <w:r>
              <w:rPr>
                <w:rFonts w:ascii="Times New Roman" w:hAnsi="Times New Roman" w:eastAsia="宋体" w:cs="Times New Roman"/>
                <w:color w:val="auto"/>
                <w:szCs w:val="21"/>
                <w:u w:val="single" w:color="auto"/>
                <w:vertAlign w:val="superscript"/>
              </w:rPr>
              <w:t>3</w:t>
            </w:r>
          </w:p>
        </w:tc>
        <w:tc>
          <w:tcPr>
            <w:tcW w:w="974" w:type="dxa"/>
            <w:gridSpan w:val="2"/>
            <w:tcBorders>
              <w:left w:val="nil"/>
              <w:bottom w:val="single" w:color="auto" w:sz="4" w:space="0"/>
              <w:right w:val="single" w:color="auto" w:sz="4" w:space="0"/>
            </w:tcBorders>
            <w:shd w:val="clear" w:color="auto" w:fill="auto"/>
            <w:vAlign w:val="center"/>
          </w:tcPr>
          <w:p w14:paraId="790580E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1.7kg/h</w:t>
            </w:r>
          </w:p>
        </w:tc>
        <w:tc>
          <w:tcPr>
            <w:tcW w:w="2151" w:type="dxa"/>
            <w:vMerge w:val="continue"/>
            <w:tcBorders>
              <w:left w:val="nil"/>
              <w:right w:val="single" w:color="auto" w:sz="4" w:space="0"/>
            </w:tcBorders>
            <w:shd w:val="clear" w:color="auto" w:fill="auto"/>
            <w:vAlign w:val="center"/>
          </w:tcPr>
          <w:p w14:paraId="1A3E1257">
            <w:pPr>
              <w:autoSpaceDE w:val="0"/>
              <w:autoSpaceDN w:val="0"/>
              <w:jc w:val="center"/>
              <w:rPr>
                <w:rFonts w:ascii="Times New Roman" w:hAnsi="Times New Roman" w:eastAsia="宋体" w:cs="Times New Roman"/>
                <w:color w:val="auto"/>
                <w:szCs w:val="21"/>
                <w:u w:val="single" w:color="auto"/>
              </w:rPr>
            </w:pPr>
          </w:p>
        </w:tc>
      </w:tr>
      <w:tr w14:paraId="11F5B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0" w:hRule="atLeast"/>
        </w:trPr>
        <w:tc>
          <w:tcPr>
            <w:tcW w:w="325" w:type="dxa"/>
            <w:vMerge w:val="continue"/>
            <w:tcBorders>
              <w:left w:val="single" w:color="auto" w:sz="4" w:space="0"/>
              <w:right w:val="single" w:color="auto" w:sz="4" w:space="0"/>
            </w:tcBorders>
            <w:shd w:val="clear" w:color="auto" w:fill="auto"/>
            <w:vAlign w:val="center"/>
          </w:tcPr>
          <w:p w14:paraId="75CA42A6">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right w:val="single" w:color="auto" w:sz="4" w:space="0"/>
            </w:tcBorders>
            <w:shd w:val="clear" w:color="auto" w:fill="auto"/>
            <w:vAlign w:val="center"/>
          </w:tcPr>
          <w:p w14:paraId="6CA295D8">
            <w:pPr>
              <w:autoSpaceDE w:val="0"/>
              <w:autoSpaceDN w:val="0"/>
              <w:jc w:val="center"/>
              <w:rPr>
                <w:rFonts w:ascii="Times New Roman" w:hAnsi="Times New Roman" w:eastAsia="宋体" w:cs="Times New Roman"/>
                <w:color w:val="auto"/>
                <w:szCs w:val="21"/>
                <w:u w:val="single" w:color="auto"/>
              </w:rPr>
            </w:pPr>
          </w:p>
        </w:tc>
        <w:tc>
          <w:tcPr>
            <w:tcW w:w="1923" w:type="dxa"/>
            <w:vMerge w:val="continue"/>
            <w:tcBorders>
              <w:left w:val="nil"/>
              <w:right w:val="single" w:color="auto" w:sz="4" w:space="0"/>
            </w:tcBorders>
            <w:shd w:val="clear" w:color="auto" w:fill="auto"/>
            <w:vAlign w:val="center"/>
          </w:tcPr>
          <w:p w14:paraId="5492FCFC">
            <w:pPr>
              <w:autoSpaceDE w:val="0"/>
              <w:autoSpaceDN w:val="0"/>
              <w:jc w:val="center"/>
              <w:rPr>
                <w:rFonts w:ascii="Times New Roman" w:hAnsi="Times New Roman" w:eastAsia="宋体" w:cs="Times New Roman"/>
                <w:color w:val="auto"/>
                <w:szCs w:val="21"/>
                <w:u w:val="single" w:color="auto"/>
              </w:rPr>
            </w:pPr>
          </w:p>
        </w:tc>
        <w:tc>
          <w:tcPr>
            <w:tcW w:w="1249" w:type="dxa"/>
            <w:vMerge w:val="continue"/>
            <w:tcBorders>
              <w:left w:val="single" w:color="auto" w:sz="4" w:space="0"/>
              <w:right w:val="single" w:color="auto" w:sz="4" w:space="0"/>
            </w:tcBorders>
            <w:shd w:val="clear" w:color="auto" w:fill="auto"/>
            <w:vAlign w:val="center"/>
          </w:tcPr>
          <w:p w14:paraId="4C8F9525">
            <w:pPr>
              <w:autoSpaceDE w:val="0"/>
              <w:autoSpaceDN w:val="0"/>
              <w:jc w:val="center"/>
              <w:rPr>
                <w:rFonts w:ascii="Times New Roman" w:hAnsi="Times New Roman" w:eastAsia="宋体" w:cs="Times New Roman"/>
                <w:color w:val="auto"/>
                <w:szCs w:val="21"/>
                <w:u w:val="single" w:color="auto"/>
              </w:rPr>
            </w:pPr>
          </w:p>
        </w:tc>
        <w:tc>
          <w:tcPr>
            <w:tcW w:w="1532" w:type="dxa"/>
            <w:vMerge w:val="continue"/>
            <w:tcBorders>
              <w:left w:val="nil"/>
              <w:right w:val="single" w:color="auto" w:sz="4" w:space="0"/>
            </w:tcBorders>
            <w:shd w:val="clear" w:color="auto" w:fill="auto"/>
            <w:vAlign w:val="center"/>
          </w:tcPr>
          <w:p w14:paraId="0B150537">
            <w:pPr>
              <w:autoSpaceDE w:val="0"/>
              <w:autoSpaceDN w:val="0"/>
              <w:jc w:val="center"/>
              <w:rPr>
                <w:rFonts w:ascii="Times New Roman" w:hAnsi="Times New Roman" w:eastAsia="宋体" w:cs="Times New Roman"/>
                <w:color w:val="auto"/>
                <w:szCs w:val="21"/>
                <w:u w:val="single" w:color="auto"/>
              </w:rPr>
            </w:pPr>
          </w:p>
        </w:tc>
        <w:tc>
          <w:tcPr>
            <w:tcW w:w="1265" w:type="dxa"/>
            <w:vMerge w:val="restart"/>
            <w:tcBorders>
              <w:top w:val="single" w:color="auto" w:sz="4" w:space="0"/>
              <w:left w:val="nil"/>
              <w:right w:val="single" w:color="auto" w:sz="4" w:space="0"/>
            </w:tcBorders>
            <w:shd w:val="clear" w:color="auto" w:fill="auto"/>
            <w:vAlign w:val="center"/>
          </w:tcPr>
          <w:p w14:paraId="7EAB77D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非甲烷总烃</w:t>
            </w:r>
          </w:p>
        </w:tc>
        <w:tc>
          <w:tcPr>
            <w:tcW w:w="1146" w:type="dxa"/>
            <w:vMerge w:val="restart"/>
            <w:tcBorders>
              <w:left w:val="nil"/>
              <w:right w:val="single" w:color="auto" w:sz="4" w:space="0"/>
            </w:tcBorders>
            <w:shd w:val="clear" w:color="auto" w:fill="auto"/>
            <w:vAlign w:val="center"/>
          </w:tcPr>
          <w:p w14:paraId="5BC94E07">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eastAsia" w:ascii="Times New Roman" w:hAnsi="Times New Roman" w:eastAsia="宋体" w:cs="Times New Roman"/>
                <w:i w:val="0"/>
                <w:iCs w:val="0"/>
                <w:color w:val="auto"/>
                <w:kern w:val="0"/>
                <w:sz w:val="21"/>
                <w:szCs w:val="21"/>
                <w:u w:val="single" w:color="auto"/>
                <w:lang w:val="en-US" w:eastAsia="zh-CN" w:bidi="ar"/>
              </w:rPr>
              <w:t>11.865</w:t>
            </w:r>
          </w:p>
        </w:tc>
        <w:tc>
          <w:tcPr>
            <w:tcW w:w="1188" w:type="dxa"/>
            <w:vMerge w:val="restart"/>
            <w:tcBorders>
              <w:left w:val="nil"/>
              <w:right w:val="single" w:color="auto" w:sz="4" w:space="0"/>
            </w:tcBorders>
            <w:shd w:val="clear" w:color="auto" w:fill="auto"/>
            <w:vAlign w:val="center"/>
          </w:tcPr>
          <w:p w14:paraId="4CD705A1">
            <w:pPr>
              <w:keepNext w:val="0"/>
              <w:keepLines w:val="0"/>
              <w:widowControl/>
              <w:suppressLineNumbers w:val="0"/>
              <w:jc w:val="center"/>
              <w:textAlignment w:val="center"/>
              <w:rPr>
                <w:rFonts w:hint="default" w:ascii="Times New Roman" w:hAnsi="Times New Roman" w:eastAsia="宋体" w:cs="Times New Roman"/>
                <w:color w:val="auto"/>
                <w:szCs w:val="21"/>
                <w:u w:val="single" w:color="auto"/>
                <w:lang w:val="en-US"/>
              </w:rPr>
            </w:pPr>
            <w:r>
              <w:rPr>
                <w:rFonts w:hint="default" w:ascii="Times New Roman" w:hAnsi="Times New Roman" w:eastAsia="宋体" w:cs="Times New Roman"/>
                <w:i w:val="0"/>
                <w:iCs w:val="0"/>
                <w:color w:val="auto"/>
                <w:kern w:val="0"/>
                <w:sz w:val="21"/>
                <w:szCs w:val="21"/>
                <w:u w:val="single" w:color="auto"/>
                <w:lang w:val="en-US" w:eastAsia="zh-CN" w:bidi="ar"/>
              </w:rPr>
              <w:t>0</w:t>
            </w:r>
            <w:r>
              <w:rPr>
                <w:rFonts w:hint="eastAsia" w:ascii="Times New Roman" w:hAnsi="Times New Roman" w:eastAsia="宋体" w:cs="Times New Roman"/>
                <w:i w:val="0"/>
                <w:iCs w:val="0"/>
                <w:color w:val="auto"/>
                <w:kern w:val="0"/>
                <w:sz w:val="21"/>
                <w:szCs w:val="21"/>
                <w:u w:val="single" w:color="auto"/>
                <w:lang w:val="en-US" w:eastAsia="zh-CN" w:bidi="ar"/>
              </w:rPr>
              <w:t>8543</w:t>
            </w:r>
          </w:p>
        </w:tc>
        <w:tc>
          <w:tcPr>
            <w:tcW w:w="629" w:type="dxa"/>
            <w:vMerge w:val="continue"/>
            <w:tcBorders>
              <w:left w:val="nil"/>
              <w:right w:val="single" w:color="auto" w:sz="4" w:space="0"/>
            </w:tcBorders>
            <w:shd w:val="clear" w:color="auto" w:fill="auto"/>
            <w:vAlign w:val="center"/>
          </w:tcPr>
          <w:p w14:paraId="46BAA9B6">
            <w:pPr>
              <w:autoSpaceDE w:val="0"/>
              <w:autoSpaceDN w:val="0"/>
              <w:jc w:val="center"/>
              <w:rPr>
                <w:rFonts w:ascii="Times New Roman" w:hAnsi="Times New Roman" w:eastAsia="宋体" w:cs="Times New Roman"/>
                <w:color w:val="auto"/>
                <w:szCs w:val="21"/>
                <w:u w:val="single" w:color="auto"/>
              </w:rPr>
            </w:pPr>
          </w:p>
        </w:tc>
        <w:tc>
          <w:tcPr>
            <w:tcW w:w="990" w:type="dxa"/>
            <w:vMerge w:val="restart"/>
            <w:tcBorders>
              <w:left w:val="nil"/>
              <w:right w:val="single" w:color="auto" w:sz="4" w:space="0"/>
            </w:tcBorders>
            <w:shd w:val="clear" w:color="auto" w:fill="auto"/>
            <w:vAlign w:val="center"/>
          </w:tcPr>
          <w:p w14:paraId="690342A7">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120mg/m</w:t>
            </w:r>
            <w:r>
              <w:rPr>
                <w:rFonts w:ascii="Times New Roman" w:hAnsi="Times New Roman" w:eastAsia="宋体" w:cs="Times New Roman"/>
                <w:color w:val="auto"/>
                <w:szCs w:val="21"/>
                <w:u w:val="single" w:color="auto"/>
                <w:vertAlign w:val="superscript"/>
              </w:rPr>
              <w:t>3</w:t>
            </w:r>
          </w:p>
        </w:tc>
        <w:tc>
          <w:tcPr>
            <w:tcW w:w="974" w:type="dxa"/>
            <w:gridSpan w:val="2"/>
            <w:vMerge w:val="restart"/>
            <w:tcBorders>
              <w:left w:val="nil"/>
              <w:right w:val="single" w:color="auto" w:sz="4" w:space="0"/>
            </w:tcBorders>
            <w:shd w:val="clear" w:color="auto" w:fill="auto"/>
            <w:vAlign w:val="center"/>
          </w:tcPr>
          <w:p w14:paraId="3E28873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17kg/h</w:t>
            </w:r>
          </w:p>
        </w:tc>
        <w:tc>
          <w:tcPr>
            <w:tcW w:w="2151" w:type="dxa"/>
            <w:vMerge w:val="continue"/>
            <w:tcBorders>
              <w:left w:val="nil"/>
              <w:right w:val="single" w:color="auto" w:sz="4" w:space="0"/>
            </w:tcBorders>
            <w:shd w:val="clear" w:color="auto" w:fill="auto"/>
            <w:vAlign w:val="center"/>
          </w:tcPr>
          <w:p w14:paraId="45BBED78">
            <w:pPr>
              <w:autoSpaceDE w:val="0"/>
              <w:autoSpaceDN w:val="0"/>
              <w:jc w:val="center"/>
              <w:rPr>
                <w:rFonts w:ascii="Times New Roman" w:hAnsi="Times New Roman" w:eastAsia="宋体" w:cs="Times New Roman"/>
                <w:color w:val="auto"/>
                <w:szCs w:val="21"/>
                <w:u w:val="single" w:color="auto"/>
              </w:rPr>
            </w:pPr>
          </w:p>
        </w:tc>
      </w:tr>
      <w:tr w14:paraId="60E6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0" w:hRule="atLeast"/>
        </w:trPr>
        <w:tc>
          <w:tcPr>
            <w:tcW w:w="325" w:type="dxa"/>
            <w:vMerge w:val="continue"/>
            <w:tcBorders>
              <w:left w:val="single" w:color="auto" w:sz="4" w:space="0"/>
              <w:right w:val="single" w:color="auto" w:sz="4" w:space="0"/>
            </w:tcBorders>
            <w:shd w:val="clear" w:color="auto" w:fill="auto"/>
            <w:vAlign w:val="center"/>
          </w:tcPr>
          <w:p w14:paraId="40E3CA46">
            <w:pPr>
              <w:widowControl/>
              <w:snapToGrid w:val="0"/>
              <w:jc w:val="center"/>
              <w:rPr>
                <w:color w:val="auto"/>
                <w:u w:val="single" w:color="auto"/>
              </w:rPr>
            </w:pPr>
          </w:p>
        </w:tc>
        <w:tc>
          <w:tcPr>
            <w:tcW w:w="576" w:type="dxa"/>
            <w:vMerge w:val="continue"/>
            <w:tcBorders>
              <w:left w:val="nil"/>
              <w:right w:val="single" w:color="auto" w:sz="4" w:space="0"/>
            </w:tcBorders>
            <w:shd w:val="clear" w:color="auto" w:fill="auto"/>
            <w:vAlign w:val="center"/>
          </w:tcPr>
          <w:p w14:paraId="372DB21D">
            <w:pPr>
              <w:widowControl/>
              <w:snapToGrid w:val="0"/>
              <w:jc w:val="center"/>
              <w:rPr>
                <w:color w:val="auto"/>
                <w:u w:val="single" w:color="auto"/>
              </w:rPr>
            </w:pPr>
          </w:p>
        </w:tc>
        <w:tc>
          <w:tcPr>
            <w:tcW w:w="1923" w:type="dxa"/>
            <w:tcBorders>
              <w:left w:val="nil"/>
              <w:right w:val="single" w:color="auto" w:sz="4" w:space="0"/>
            </w:tcBorders>
            <w:shd w:val="clear" w:color="auto" w:fill="auto"/>
            <w:vAlign w:val="center"/>
          </w:tcPr>
          <w:p w14:paraId="6709B6F7">
            <w:pPr>
              <w:widowControl/>
              <w:snapToGrid w:val="0"/>
              <w:jc w:val="center"/>
              <w:rPr>
                <w:rFonts w:hint="eastAsia" w:eastAsiaTheme="minorEastAsia"/>
                <w:color w:val="auto"/>
                <w:u w:val="single" w:color="auto"/>
                <w:lang w:eastAsia="zh-CN"/>
              </w:rPr>
            </w:pPr>
            <w:r>
              <w:rPr>
                <w:rFonts w:hint="eastAsia"/>
                <w:color w:val="auto"/>
                <w:u w:val="single" w:color="auto"/>
                <w:lang w:eastAsia="zh-CN"/>
              </w:rPr>
              <w:t>危废暂存间</w:t>
            </w:r>
          </w:p>
        </w:tc>
        <w:tc>
          <w:tcPr>
            <w:tcW w:w="1249" w:type="dxa"/>
            <w:tcBorders>
              <w:left w:val="single" w:color="auto" w:sz="4" w:space="0"/>
              <w:right w:val="single" w:color="auto" w:sz="4" w:space="0"/>
            </w:tcBorders>
            <w:shd w:val="clear" w:color="auto" w:fill="auto"/>
            <w:vAlign w:val="center"/>
          </w:tcPr>
          <w:p w14:paraId="572CEF5E">
            <w:pPr>
              <w:widowControl/>
              <w:snapToGrid w:val="0"/>
              <w:jc w:val="center"/>
              <w:rPr>
                <w:color w:val="auto"/>
                <w:u w:val="single" w:color="auto"/>
              </w:rPr>
            </w:pPr>
            <w:r>
              <w:rPr>
                <w:rFonts w:hint="eastAsia" w:ascii="Times New Roman" w:hAnsi="Times New Roman" w:eastAsia="宋体" w:cs="Times New Roman"/>
                <w:color w:val="auto"/>
                <w:kern w:val="0"/>
                <w:szCs w:val="21"/>
                <w:u w:val="single" w:color="auto"/>
                <w:lang w:eastAsia="zh-CN"/>
              </w:rPr>
              <w:t>30m</w:t>
            </w:r>
            <w:r>
              <w:rPr>
                <w:rFonts w:ascii="Times New Roman" w:hAnsi="Times New Roman" w:eastAsia="宋体" w:cs="Times New Roman"/>
                <w:color w:val="auto"/>
                <w:kern w:val="0"/>
                <w:szCs w:val="21"/>
                <w:u w:val="single" w:color="auto"/>
              </w:rPr>
              <w:t>排气筒</w:t>
            </w:r>
          </w:p>
        </w:tc>
        <w:tc>
          <w:tcPr>
            <w:tcW w:w="1532" w:type="dxa"/>
            <w:tcBorders>
              <w:left w:val="nil"/>
              <w:right w:val="single" w:color="auto" w:sz="4" w:space="0"/>
            </w:tcBorders>
            <w:shd w:val="clear" w:color="auto" w:fill="auto"/>
            <w:vAlign w:val="center"/>
          </w:tcPr>
          <w:p w14:paraId="30FD5A2D">
            <w:pPr>
              <w:widowControl/>
              <w:snapToGrid w:val="0"/>
              <w:jc w:val="center"/>
              <w:rPr>
                <w:color w:val="auto"/>
                <w:u w:val="single" w:color="auto"/>
              </w:rPr>
            </w:pPr>
            <w:r>
              <w:rPr>
                <w:rFonts w:hint="eastAsia" w:ascii="Times New Roman" w:hAnsi="Times New Roman" w:eastAsia="宋体" w:cs="Times New Roman"/>
                <w:color w:val="auto"/>
                <w:u w:val="single" w:color="auto"/>
                <w:lang w:eastAsia="zh-CN"/>
              </w:rPr>
              <w:t>两级活性炭</w:t>
            </w:r>
            <w:r>
              <w:rPr>
                <w:rFonts w:ascii="Times New Roman" w:hAnsi="Times New Roman" w:eastAsia="宋体" w:cs="Times New Roman"/>
                <w:color w:val="auto"/>
                <w:u w:val="single" w:color="auto"/>
              </w:rPr>
              <w:t>+</w:t>
            </w:r>
            <w:r>
              <w:rPr>
                <w:rFonts w:hint="eastAsia" w:ascii="Times New Roman" w:hAnsi="Times New Roman" w:eastAsia="宋体" w:cs="Times New Roman"/>
                <w:color w:val="auto"/>
                <w:u w:val="single" w:color="auto"/>
                <w:lang w:eastAsia="zh-CN"/>
              </w:rPr>
              <w:t>30m</w:t>
            </w:r>
            <w:r>
              <w:rPr>
                <w:rFonts w:hint="eastAsia" w:ascii="Times New Roman" w:hAnsi="Times New Roman" w:eastAsia="宋体" w:cs="Times New Roman"/>
                <w:color w:val="auto"/>
                <w:spacing w:val="-2"/>
                <w:kern w:val="0"/>
                <w:szCs w:val="21"/>
                <w:u w:val="single" w:color="auto"/>
                <w:lang w:val="en-US" w:eastAsia="zh-CN"/>
              </w:rPr>
              <w:t>DA002</w:t>
            </w:r>
            <w:r>
              <w:rPr>
                <w:rFonts w:ascii="Times New Roman" w:hAnsi="Times New Roman" w:eastAsia="宋体" w:cs="Times New Roman"/>
                <w:color w:val="auto"/>
                <w:u w:val="single" w:color="auto"/>
              </w:rPr>
              <w:t>排气筒</w:t>
            </w:r>
          </w:p>
        </w:tc>
        <w:tc>
          <w:tcPr>
            <w:tcW w:w="1265" w:type="dxa"/>
            <w:vMerge w:val="continue"/>
            <w:tcBorders>
              <w:left w:val="nil"/>
              <w:bottom w:val="single" w:color="auto" w:sz="4" w:space="0"/>
              <w:right w:val="single" w:color="auto" w:sz="4" w:space="0"/>
            </w:tcBorders>
            <w:shd w:val="clear" w:color="auto" w:fill="auto"/>
            <w:vAlign w:val="center"/>
          </w:tcPr>
          <w:p w14:paraId="070AB881">
            <w:pPr>
              <w:widowControl/>
              <w:snapToGrid w:val="0"/>
              <w:jc w:val="center"/>
              <w:rPr>
                <w:rFonts w:hint="eastAsia" w:ascii="Times New Roman" w:hAnsi="Times New Roman" w:eastAsia="宋体" w:cs="Times New Roman"/>
                <w:color w:val="auto"/>
                <w:szCs w:val="21"/>
                <w:u w:val="single" w:color="auto"/>
              </w:rPr>
            </w:pPr>
          </w:p>
        </w:tc>
        <w:tc>
          <w:tcPr>
            <w:tcW w:w="1146" w:type="dxa"/>
            <w:vMerge w:val="continue"/>
            <w:tcBorders>
              <w:left w:val="nil"/>
              <w:bottom w:val="single" w:color="auto" w:sz="4" w:space="0"/>
              <w:right w:val="single" w:color="auto" w:sz="4" w:space="0"/>
            </w:tcBorders>
            <w:shd w:val="clear" w:color="auto" w:fill="auto"/>
            <w:vAlign w:val="center"/>
          </w:tcPr>
          <w:p w14:paraId="3865AEAB">
            <w:pPr>
              <w:jc w:val="center"/>
              <w:rPr>
                <w:rFonts w:hint="eastAsia" w:ascii="Times New Roman" w:hAnsi="Times New Roman" w:eastAsia="宋体" w:cs="Times New Roman"/>
                <w:color w:val="auto"/>
                <w:kern w:val="0"/>
                <w:sz w:val="21"/>
                <w:szCs w:val="21"/>
                <w:u w:val="single" w:color="auto"/>
                <w:lang w:val="en-US" w:eastAsia="zh-CN" w:bidi="ar"/>
              </w:rPr>
            </w:pPr>
          </w:p>
        </w:tc>
        <w:tc>
          <w:tcPr>
            <w:tcW w:w="1188" w:type="dxa"/>
            <w:vMerge w:val="continue"/>
            <w:tcBorders>
              <w:left w:val="nil"/>
              <w:bottom w:val="single" w:color="auto" w:sz="4" w:space="0"/>
              <w:right w:val="single" w:color="auto" w:sz="4" w:space="0"/>
            </w:tcBorders>
            <w:shd w:val="clear" w:color="auto" w:fill="auto"/>
            <w:vAlign w:val="center"/>
          </w:tcPr>
          <w:p w14:paraId="7B97277B">
            <w:pPr>
              <w:jc w:val="center"/>
              <w:rPr>
                <w:rFonts w:hint="eastAsia" w:ascii="Times New Roman" w:hAnsi="Times New Roman" w:eastAsia="宋体" w:cs="Times New Roman"/>
                <w:color w:val="auto"/>
                <w:kern w:val="0"/>
                <w:sz w:val="21"/>
                <w:szCs w:val="21"/>
                <w:u w:val="single" w:color="auto"/>
                <w:lang w:val="en-US" w:eastAsia="zh-CN" w:bidi="ar"/>
              </w:rPr>
            </w:pPr>
          </w:p>
        </w:tc>
        <w:tc>
          <w:tcPr>
            <w:tcW w:w="629" w:type="dxa"/>
            <w:vMerge w:val="continue"/>
            <w:tcBorders>
              <w:left w:val="nil"/>
              <w:right w:val="single" w:color="auto" w:sz="4" w:space="0"/>
            </w:tcBorders>
            <w:shd w:val="clear" w:color="auto" w:fill="auto"/>
            <w:vAlign w:val="center"/>
          </w:tcPr>
          <w:p w14:paraId="20D8DFFA">
            <w:pPr>
              <w:widowControl/>
              <w:snapToGrid w:val="0"/>
              <w:jc w:val="center"/>
              <w:rPr>
                <w:rFonts w:ascii="Times New Roman" w:hAnsi="Times New Roman" w:eastAsia="宋体" w:cs="Times New Roman"/>
                <w:color w:val="auto"/>
                <w:szCs w:val="21"/>
                <w:u w:val="single" w:color="auto"/>
              </w:rPr>
            </w:pPr>
          </w:p>
        </w:tc>
        <w:tc>
          <w:tcPr>
            <w:tcW w:w="990" w:type="dxa"/>
            <w:vMerge w:val="continue"/>
            <w:tcBorders>
              <w:left w:val="nil"/>
              <w:bottom w:val="single" w:color="auto" w:sz="4" w:space="0"/>
              <w:right w:val="single" w:color="auto" w:sz="4" w:space="0"/>
            </w:tcBorders>
            <w:shd w:val="clear" w:color="auto" w:fill="auto"/>
            <w:vAlign w:val="center"/>
          </w:tcPr>
          <w:p w14:paraId="5D927577">
            <w:pPr>
              <w:autoSpaceDE w:val="0"/>
              <w:autoSpaceDN w:val="0"/>
              <w:jc w:val="center"/>
              <w:rPr>
                <w:rFonts w:hint="eastAsia" w:ascii="Times New Roman" w:hAnsi="Times New Roman" w:eastAsia="宋体" w:cs="Times New Roman"/>
                <w:color w:val="auto"/>
                <w:szCs w:val="21"/>
                <w:u w:val="single" w:color="auto"/>
              </w:rPr>
            </w:pPr>
          </w:p>
        </w:tc>
        <w:tc>
          <w:tcPr>
            <w:tcW w:w="974" w:type="dxa"/>
            <w:gridSpan w:val="2"/>
            <w:vMerge w:val="continue"/>
            <w:tcBorders>
              <w:left w:val="nil"/>
              <w:bottom w:val="single" w:color="auto" w:sz="4" w:space="0"/>
              <w:right w:val="single" w:color="auto" w:sz="4" w:space="0"/>
            </w:tcBorders>
            <w:shd w:val="clear" w:color="auto" w:fill="auto"/>
            <w:vAlign w:val="center"/>
          </w:tcPr>
          <w:p w14:paraId="55BEBB71">
            <w:pPr>
              <w:autoSpaceDE w:val="0"/>
              <w:autoSpaceDN w:val="0"/>
              <w:jc w:val="center"/>
              <w:rPr>
                <w:rFonts w:ascii="Times New Roman" w:hAnsi="Times New Roman" w:eastAsia="宋体" w:cs="Times New Roman"/>
                <w:color w:val="auto"/>
                <w:szCs w:val="21"/>
                <w:u w:val="single" w:color="auto"/>
              </w:rPr>
            </w:pPr>
          </w:p>
        </w:tc>
        <w:tc>
          <w:tcPr>
            <w:tcW w:w="2151" w:type="dxa"/>
            <w:vMerge w:val="continue"/>
            <w:tcBorders>
              <w:left w:val="nil"/>
              <w:right w:val="single" w:color="auto" w:sz="4" w:space="0"/>
            </w:tcBorders>
            <w:shd w:val="clear" w:color="auto" w:fill="auto"/>
            <w:vAlign w:val="center"/>
          </w:tcPr>
          <w:p w14:paraId="7E61B658">
            <w:pPr>
              <w:widowControl/>
              <w:snapToGrid w:val="0"/>
              <w:jc w:val="center"/>
              <w:rPr>
                <w:rFonts w:ascii="Times New Roman" w:hAnsi="Times New Roman" w:eastAsia="宋体" w:cs="Times New Roman"/>
                <w:color w:val="auto"/>
                <w:szCs w:val="21"/>
                <w:u w:val="single" w:color="auto"/>
              </w:rPr>
            </w:pPr>
          </w:p>
        </w:tc>
      </w:tr>
      <w:tr w14:paraId="0B385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157D4570">
            <w:pPr>
              <w:autoSpaceDE w:val="0"/>
              <w:autoSpaceDN w:val="0"/>
              <w:jc w:val="center"/>
              <w:rPr>
                <w:rFonts w:ascii="Times New Roman" w:hAnsi="Times New Roman" w:eastAsia="宋体" w:cs="Times New Roman"/>
                <w:color w:val="auto"/>
                <w:kern w:val="0"/>
                <w:szCs w:val="21"/>
                <w:u w:val="single" w:color="auto"/>
              </w:rPr>
            </w:pPr>
          </w:p>
        </w:tc>
        <w:tc>
          <w:tcPr>
            <w:tcW w:w="576" w:type="dxa"/>
            <w:vMerge w:val="continue"/>
            <w:tcBorders>
              <w:left w:val="nil"/>
              <w:right w:val="single" w:color="auto" w:sz="4" w:space="0"/>
            </w:tcBorders>
            <w:shd w:val="clear" w:color="auto" w:fill="auto"/>
            <w:vAlign w:val="center"/>
          </w:tcPr>
          <w:p w14:paraId="70A3B146">
            <w:pPr>
              <w:autoSpaceDE w:val="0"/>
              <w:autoSpaceDN w:val="0"/>
              <w:jc w:val="center"/>
              <w:rPr>
                <w:rFonts w:ascii="Times New Roman" w:hAnsi="Times New Roman" w:eastAsia="宋体" w:cs="Times New Roman"/>
                <w:color w:val="auto"/>
                <w:kern w:val="0"/>
                <w:szCs w:val="21"/>
                <w:u w:val="single" w:color="auto"/>
              </w:rPr>
            </w:pPr>
          </w:p>
        </w:tc>
        <w:tc>
          <w:tcPr>
            <w:tcW w:w="1923" w:type="dxa"/>
            <w:vMerge w:val="restart"/>
            <w:tcBorders>
              <w:left w:val="nil"/>
              <w:right w:val="single" w:color="auto" w:sz="4" w:space="0"/>
            </w:tcBorders>
            <w:shd w:val="clear" w:color="auto" w:fill="auto"/>
            <w:vAlign w:val="center"/>
          </w:tcPr>
          <w:p w14:paraId="5F525005">
            <w:pPr>
              <w:snapToGrid w:val="0"/>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szCs w:val="21"/>
                <w:u w:val="single" w:color="auto"/>
              </w:rPr>
              <w:t>无组织废气</w:t>
            </w:r>
          </w:p>
        </w:tc>
        <w:tc>
          <w:tcPr>
            <w:tcW w:w="1249" w:type="dxa"/>
            <w:vMerge w:val="restart"/>
            <w:tcBorders>
              <w:top w:val="single" w:color="auto" w:sz="4" w:space="0"/>
              <w:left w:val="single" w:color="auto" w:sz="4" w:space="0"/>
              <w:right w:val="single" w:color="auto" w:sz="4" w:space="0"/>
            </w:tcBorders>
            <w:shd w:val="clear" w:color="auto" w:fill="auto"/>
            <w:vAlign w:val="center"/>
          </w:tcPr>
          <w:p w14:paraId="04B18C2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厂界</w:t>
            </w:r>
          </w:p>
        </w:tc>
        <w:tc>
          <w:tcPr>
            <w:tcW w:w="1532" w:type="dxa"/>
            <w:vMerge w:val="restart"/>
            <w:tcBorders>
              <w:top w:val="single" w:color="auto" w:sz="4" w:space="0"/>
              <w:left w:val="nil"/>
              <w:right w:val="single" w:color="auto" w:sz="4" w:space="0"/>
            </w:tcBorders>
            <w:shd w:val="clear" w:color="auto" w:fill="auto"/>
            <w:vAlign w:val="center"/>
          </w:tcPr>
          <w:p w14:paraId="538CD247">
            <w:pPr>
              <w:snapToGrid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移动式</w:t>
            </w:r>
            <w:r>
              <w:rPr>
                <w:rFonts w:hint="eastAsia" w:ascii="Times New Roman" w:hAnsi="Times New Roman" w:eastAsia="宋体" w:cs="Times New Roman"/>
                <w:color w:val="auto"/>
                <w:szCs w:val="21"/>
                <w:u w:val="single" w:color="auto"/>
              </w:rPr>
              <w:t>除尘</w:t>
            </w:r>
            <w:r>
              <w:rPr>
                <w:rFonts w:ascii="Times New Roman" w:hAnsi="Times New Roman" w:eastAsia="宋体" w:cs="Times New Roman"/>
                <w:color w:val="auto"/>
                <w:szCs w:val="21"/>
                <w:u w:val="single" w:color="auto"/>
              </w:rPr>
              <w:t>净化器、移动式</w:t>
            </w:r>
            <w:r>
              <w:rPr>
                <w:rFonts w:hint="eastAsia" w:ascii="Times New Roman" w:hAnsi="Times New Roman" w:eastAsia="宋体" w:cs="Times New Roman"/>
                <w:color w:val="auto"/>
                <w:szCs w:val="21"/>
                <w:u w:val="single" w:color="auto"/>
              </w:rPr>
              <w:t>烟尘</w:t>
            </w:r>
            <w:r>
              <w:rPr>
                <w:rFonts w:ascii="Times New Roman" w:hAnsi="Times New Roman" w:eastAsia="宋体" w:cs="Times New Roman"/>
                <w:color w:val="auto"/>
                <w:szCs w:val="21"/>
                <w:u w:val="single" w:color="auto"/>
              </w:rPr>
              <w:t>净化器、</w:t>
            </w:r>
            <w:r>
              <w:rPr>
                <w:rFonts w:hint="eastAsia" w:ascii="Times New Roman" w:hAnsi="Times New Roman" w:eastAsia="宋体" w:cs="Times New Roman"/>
                <w:color w:val="auto"/>
                <w:szCs w:val="21"/>
                <w:u w:val="single" w:color="auto"/>
              </w:rPr>
              <w:t>车间沉降</w:t>
            </w:r>
            <w:r>
              <w:rPr>
                <w:rFonts w:ascii="Times New Roman" w:hAnsi="Times New Roman" w:eastAsia="宋体" w:cs="Times New Roman"/>
                <w:color w:val="auto"/>
                <w:szCs w:val="21"/>
                <w:u w:val="single" w:color="auto"/>
              </w:rPr>
              <w:t>处理</w:t>
            </w:r>
          </w:p>
        </w:tc>
        <w:tc>
          <w:tcPr>
            <w:tcW w:w="1265" w:type="dxa"/>
            <w:tcBorders>
              <w:top w:val="single" w:color="auto" w:sz="4" w:space="0"/>
              <w:left w:val="nil"/>
              <w:bottom w:val="single" w:color="auto" w:sz="4" w:space="0"/>
              <w:right w:val="single" w:color="auto" w:sz="4" w:space="0"/>
            </w:tcBorders>
            <w:shd w:val="clear" w:color="auto" w:fill="auto"/>
            <w:vAlign w:val="center"/>
          </w:tcPr>
          <w:p w14:paraId="3BE6E29C">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颗粒物</w:t>
            </w:r>
          </w:p>
        </w:tc>
        <w:tc>
          <w:tcPr>
            <w:tcW w:w="1146" w:type="dxa"/>
            <w:tcBorders>
              <w:top w:val="single" w:color="auto" w:sz="4" w:space="0"/>
              <w:left w:val="nil"/>
              <w:bottom w:val="single" w:color="auto" w:sz="4" w:space="0"/>
              <w:right w:val="single" w:color="auto" w:sz="4" w:space="0"/>
            </w:tcBorders>
            <w:shd w:val="clear" w:color="auto" w:fill="auto"/>
            <w:vAlign w:val="center"/>
          </w:tcPr>
          <w:p w14:paraId="02894A78">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8" w:type="dxa"/>
            <w:tcBorders>
              <w:top w:val="single" w:color="auto" w:sz="4" w:space="0"/>
              <w:left w:val="nil"/>
              <w:bottom w:val="single" w:color="auto" w:sz="4" w:space="0"/>
              <w:right w:val="single" w:color="auto" w:sz="4" w:space="0"/>
            </w:tcBorders>
            <w:shd w:val="clear" w:color="auto" w:fill="auto"/>
            <w:vAlign w:val="center"/>
          </w:tcPr>
          <w:p w14:paraId="29650F37">
            <w:pPr>
              <w:widowControl/>
              <w:snapToGrid w:val="0"/>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bidi="ar"/>
              </w:rPr>
              <w:t>3.578</w:t>
            </w:r>
          </w:p>
        </w:tc>
        <w:tc>
          <w:tcPr>
            <w:tcW w:w="629" w:type="dxa"/>
            <w:vMerge w:val="continue"/>
            <w:tcBorders>
              <w:left w:val="nil"/>
              <w:right w:val="single" w:color="auto" w:sz="4" w:space="0"/>
            </w:tcBorders>
            <w:shd w:val="clear" w:color="auto" w:fill="auto"/>
            <w:vAlign w:val="center"/>
          </w:tcPr>
          <w:p w14:paraId="50B4A1B9">
            <w:pPr>
              <w:autoSpaceDE w:val="0"/>
              <w:autoSpaceDN w:val="0"/>
              <w:jc w:val="center"/>
              <w:rPr>
                <w:rFonts w:ascii="Times New Roman" w:hAnsi="Times New Roman" w:eastAsia="宋体" w:cs="Times New Roman"/>
                <w:color w:val="auto"/>
                <w:szCs w:val="21"/>
                <w:u w:val="single" w:color="auto"/>
              </w:rPr>
            </w:pPr>
          </w:p>
        </w:tc>
        <w:tc>
          <w:tcPr>
            <w:tcW w:w="990" w:type="dxa"/>
            <w:tcBorders>
              <w:top w:val="single" w:color="auto" w:sz="4" w:space="0"/>
              <w:left w:val="nil"/>
              <w:right w:val="single" w:color="auto" w:sz="4" w:space="0"/>
            </w:tcBorders>
            <w:shd w:val="clear" w:color="auto" w:fill="auto"/>
            <w:vAlign w:val="center"/>
          </w:tcPr>
          <w:p w14:paraId="197137E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1.0mg/m</w:t>
            </w:r>
            <w:r>
              <w:rPr>
                <w:rFonts w:ascii="Times New Roman" w:hAnsi="Times New Roman" w:eastAsia="宋体" w:cs="Times New Roman"/>
                <w:color w:val="auto"/>
                <w:szCs w:val="21"/>
                <w:u w:val="single" w:color="auto"/>
                <w:vertAlign w:val="superscript"/>
              </w:rPr>
              <w:t>3</w:t>
            </w: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5DD0ED21">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2151" w:type="dxa"/>
            <w:vMerge w:val="continue"/>
            <w:tcBorders>
              <w:left w:val="nil"/>
              <w:right w:val="single" w:color="auto" w:sz="4" w:space="0"/>
            </w:tcBorders>
            <w:shd w:val="clear" w:color="auto" w:fill="auto"/>
            <w:vAlign w:val="center"/>
          </w:tcPr>
          <w:p w14:paraId="11E290C3">
            <w:pPr>
              <w:autoSpaceDE w:val="0"/>
              <w:autoSpaceDN w:val="0"/>
              <w:jc w:val="center"/>
              <w:rPr>
                <w:rFonts w:ascii="Times New Roman" w:hAnsi="Times New Roman" w:eastAsia="宋体" w:cs="Times New Roman"/>
                <w:color w:val="auto"/>
                <w:szCs w:val="21"/>
                <w:u w:val="single" w:color="auto"/>
              </w:rPr>
            </w:pPr>
          </w:p>
        </w:tc>
      </w:tr>
      <w:tr w14:paraId="69C4A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4758B3C2">
            <w:pPr>
              <w:autoSpaceDE w:val="0"/>
              <w:autoSpaceDN w:val="0"/>
              <w:jc w:val="center"/>
              <w:rPr>
                <w:rFonts w:ascii="Times New Roman" w:hAnsi="Times New Roman" w:eastAsia="宋体" w:cs="Times New Roman"/>
                <w:color w:val="auto"/>
                <w:u w:val="single" w:color="auto"/>
              </w:rPr>
            </w:pPr>
          </w:p>
        </w:tc>
        <w:tc>
          <w:tcPr>
            <w:tcW w:w="576" w:type="dxa"/>
            <w:vMerge w:val="continue"/>
            <w:tcBorders>
              <w:left w:val="nil"/>
              <w:right w:val="single" w:color="auto" w:sz="4" w:space="0"/>
            </w:tcBorders>
            <w:shd w:val="clear" w:color="auto" w:fill="auto"/>
            <w:vAlign w:val="center"/>
          </w:tcPr>
          <w:p w14:paraId="23F8F71F">
            <w:pPr>
              <w:autoSpaceDE w:val="0"/>
              <w:autoSpaceDN w:val="0"/>
              <w:jc w:val="center"/>
              <w:rPr>
                <w:rFonts w:ascii="Times New Roman" w:hAnsi="Times New Roman" w:eastAsia="宋体" w:cs="Times New Roman"/>
                <w:color w:val="auto"/>
                <w:u w:val="single" w:color="auto"/>
              </w:rPr>
            </w:pPr>
          </w:p>
        </w:tc>
        <w:tc>
          <w:tcPr>
            <w:tcW w:w="1923" w:type="dxa"/>
            <w:vMerge w:val="continue"/>
            <w:tcBorders>
              <w:left w:val="nil"/>
              <w:right w:val="single" w:color="auto" w:sz="4" w:space="0"/>
            </w:tcBorders>
            <w:shd w:val="clear" w:color="auto" w:fill="auto"/>
            <w:vAlign w:val="center"/>
          </w:tcPr>
          <w:p w14:paraId="2B8083DA">
            <w:pPr>
              <w:autoSpaceDE w:val="0"/>
              <w:autoSpaceDN w:val="0"/>
              <w:jc w:val="center"/>
              <w:rPr>
                <w:rFonts w:ascii="Times New Roman" w:hAnsi="Times New Roman" w:eastAsia="宋体" w:cs="Times New Roman"/>
                <w:color w:val="auto"/>
                <w:u w:val="single" w:color="auto"/>
              </w:rPr>
            </w:pPr>
          </w:p>
        </w:tc>
        <w:tc>
          <w:tcPr>
            <w:tcW w:w="1249" w:type="dxa"/>
            <w:vMerge w:val="continue"/>
            <w:tcBorders>
              <w:left w:val="single" w:color="auto" w:sz="4" w:space="0"/>
              <w:right w:val="single" w:color="auto" w:sz="4" w:space="0"/>
            </w:tcBorders>
            <w:shd w:val="clear" w:color="auto" w:fill="auto"/>
            <w:vAlign w:val="center"/>
          </w:tcPr>
          <w:p w14:paraId="1D81CCB4">
            <w:pPr>
              <w:autoSpaceDE w:val="0"/>
              <w:autoSpaceDN w:val="0"/>
              <w:jc w:val="center"/>
              <w:rPr>
                <w:rFonts w:ascii="Times New Roman" w:hAnsi="Times New Roman" w:eastAsia="宋体" w:cs="Times New Roman"/>
                <w:color w:val="auto"/>
                <w:u w:val="single" w:color="auto"/>
              </w:rPr>
            </w:pPr>
          </w:p>
        </w:tc>
        <w:tc>
          <w:tcPr>
            <w:tcW w:w="1532" w:type="dxa"/>
            <w:vMerge w:val="continue"/>
            <w:tcBorders>
              <w:left w:val="nil"/>
              <w:right w:val="single" w:color="auto" w:sz="4" w:space="0"/>
            </w:tcBorders>
            <w:shd w:val="clear" w:color="auto" w:fill="auto"/>
            <w:vAlign w:val="center"/>
          </w:tcPr>
          <w:p w14:paraId="61774082">
            <w:pPr>
              <w:autoSpaceDE w:val="0"/>
              <w:autoSpaceDN w:val="0"/>
              <w:jc w:val="center"/>
              <w:rPr>
                <w:rFonts w:ascii="Times New Roman" w:hAnsi="Times New Roman" w:eastAsia="宋体" w:cs="Times New Roman"/>
                <w:color w:val="auto"/>
                <w:u w:val="single" w:color="auto"/>
              </w:rPr>
            </w:pPr>
          </w:p>
        </w:tc>
        <w:tc>
          <w:tcPr>
            <w:tcW w:w="1265" w:type="dxa"/>
            <w:tcBorders>
              <w:top w:val="single" w:color="auto" w:sz="4" w:space="0"/>
              <w:left w:val="nil"/>
              <w:bottom w:val="single" w:color="auto" w:sz="4" w:space="0"/>
              <w:right w:val="single" w:color="auto" w:sz="4" w:space="0"/>
            </w:tcBorders>
            <w:shd w:val="clear" w:color="auto" w:fill="auto"/>
            <w:vAlign w:val="center"/>
          </w:tcPr>
          <w:p w14:paraId="43BF104B">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甲苯</w:t>
            </w:r>
          </w:p>
        </w:tc>
        <w:tc>
          <w:tcPr>
            <w:tcW w:w="1146" w:type="dxa"/>
            <w:tcBorders>
              <w:top w:val="single" w:color="auto" w:sz="4" w:space="0"/>
              <w:left w:val="nil"/>
              <w:bottom w:val="single" w:color="auto" w:sz="4" w:space="0"/>
              <w:right w:val="single" w:color="auto" w:sz="4" w:space="0"/>
            </w:tcBorders>
            <w:shd w:val="clear" w:color="auto" w:fill="auto"/>
            <w:vAlign w:val="center"/>
          </w:tcPr>
          <w:p w14:paraId="1BEAB1F2">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8" w:type="dxa"/>
            <w:tcBorders>
              <w:top w:val="single" w:color="auto" w:sz="4" w:space="0"/>
              <w:left w:val="nil"/>
              <w:bottom w:val="single" w:color="auto" w:sz="4" w:space="0"/>
              <w:right w:val="single" w:color="auto" w:sz="4" w:space="0"/>
            </w:tcBorders>
            <w:shd w:val="clear" w:color="auto" w:fill="auto"/>
            <w:vAlign w:val="center"/>
          </w:tcPr>
          <w:p w14:paraId="785FAC9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0.0</w:t>
            </w:r>
            <w:r>
              <w:rPr>
                <w:rFonts w:hint="eastAsia" w:ascii="Times New Roman" w:hAnsi="Times New Roman" w:eastAsia="宋体" w:cs="Times New Roman"/>
                <w:color w:val="auto"/>
                <w:szCs w:val="21"/>
                <w:u w:val="single" w:color="auto"/>
                <w:lang w:val="en-US" w:eastAsia="zh-CN"/>
              </w:rPr>
              <w:t>0</w:t>
            </w:r>
            <w:r>
              <w:rPr>
                <w:rFonts w:hint="eastAsia" w:ascii="Times New Roman" w:hAnsi="Times New Roman" w:eastAsia="宋体" w:cs="Times New Roman"/>
                <w:color w:val="auto"/>
                <w:szCs w:val="21"/>
                <w:u w:val="single" w:color="auto"/>
              </w:rPr>
              <w:t>1</w:t>
            </w:r>
          </w:p>
        </w:tc>
        <w:tc>
          <w:tcPr>
            <w:tcW w:w="629" w:type="dxa"/>
            <w:vMerge w:val="continue"/>
            <w:tcBorders>
              <w:left w:val="nil"/>
              <w:right w:val="single" w:color="auto" w:sz="4" w:space="0"/>
            </w:tcBorders>
            <w:shd w:val="clear" w:color="auto" w:fill="auto"/>
            <w:vAlign w:val="center"/>
          </w:tcPr>
          <w:p w14:paraId="668A5FED">
            <w:pPr>
              <w:autoSpaceDE w:val="0"/>
              <w:autoSpaceDN w:val="0"/>
              <w:jc w:val="center"/>
              <w:rPr>
                <w:rFonts w:ascii="Times New Roman" w:hAnsi="Times New Roman" w:eastAsia="宋体" w:cs="Times New Roman"/>
                <w:color w:val="auto"/>
                <w:szCs w:val="21"/>
                <w:u w:val="single" w:color="auto"/>
              </w:rPr>
            </w:pPr>
          </w:p>
        </w:tc>
        <w:tc>
          <w:tcPr>
            <w:tcW w:w="990" w:type="dxa"/>
            <w:tcBorders>
              <w:top w:val="single" w:color="auto" w:sz="4" w:space="0"/>
              <w:left w:val="nil"/>
              <w:right w:val="single" w:color="auto" w:sz="4" w:space="0"/>
            </w:tcBorders>
            <w:shd w:val="clear" w:color="auto" w:fill="auto"/>
            <w:vAlign w:val="center"/>
          </w:tcPr>
          <w:p w14:paraId="68811CD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2.4mg/m</w:t>
            </w:r>
            <w:r>
              <w:rPr>
                <w:rFonts w:ascii="Times New Roman" w:hAnsi="Times New Roman" w:eastAsia="宋体" w:cs="Times New Roman"/>
                <w:color w:val="auto"/>
                <w:szCs w:val="21"/>
                <w:u w:val="single" w:color="auto"/>
                <w:vertAlign w:val="superscript"/>
              </w:rPr>
              <w:t>3</w:t>
            </w: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58DA5B1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2151" w:type="dxa"/>
            <w:vMerge w:val="continue"/>
            <w:tcBorders>
              <w:left w:val="nil"/>
              <w:right w:val="single" w:color="auto" w:sz="4" w:space="0"/>
            </w:tcBorders>
            <w:shd w:val="clear" w:color="auto" w:fill="auto"/>
            <w:vAlign w:val="center"/>
          </w:tcPr>
          <w:p w14:paraId="467812D0">
            <w:pPr>
              <w:autoSpaceDE w:val="0"/>
              <w:autoSpaceDN w:val="0"/>
              <w:jc w:val="center"/>
              <w:rPr>
                <w:rFonts w:ascii="Times New Roman" w:hAnsi="Times New Roman" w:eastAsia="宋体" w:cs="Times New Roman"/>
                <w:color w:val="auto"/>
                <w:szCs w:val="21"/>
                <w:u w:val="single" w:color="auto"/>
              </w:rPr>
            </w:pPr>
          </w:p>
        </w:tc>
      </w:tr>
      <w:tr w14:paraId="3B1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0" w:hRule="atLeast"/>
        </w:trPr>
        <w:tc>
          <w:tcPr>
            <w:tcW w:w="325" w:type="dxa"/>
            <w:vMerge w:val="continue"/>
            <w:tcBorders>
              <w:left w:val="single" w:color="auto" w:sz="4" w:space="0"/>
              <w:right w:val="single" w:color="auto" w:sz="4" w:space="0"/>
            </w:tcBorders>
            <w:shd w:val="clear" w:color="auto" w:fill="auto"/>
            <w:vAlign w:val="center"/>
          </w:tcPr>
          <w:p w14:paraId="03C0FB82">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right w:val="single" w:color="auto" w:sz="4" w:space="0"/>
            </w:tcBorders>
            <w:shd w:val="clear" w:color="auto" w:fill="auto"/>
            <w:vAlign w:val="center"/>
          </w:tcPr>
          <w:p w14:paraId="593609F8">
            <w:pPr>
              <w:autoSpaceDE w:val="0"/>
              <w:autoSpaceDN w:val="0"/>
              <w:jc w:val="center"/>
              <w:rPr>
                <w:rFonts w:ascii="Times New Roman" w:hAnsi="Times New Roman" w:eastAsia="宋体" w:cs="Times New Roman"/>
                <w:color w:val="auto"/>
                <w:szCs w:val="21"/>
                <w:u w:val="single" w:color="auto"/>
              </w:rPr>
            </w:pPr>
          </w:p>
        </w:tc>
        <w:tc>
          <w:tcPr>
            <w:tcW w:w="1923" w:type="dxa"/>
            <w:vMerge w:val="continue"/>
            <w:tcBorders>
              <w:left w:val="nil"/>
              <w:right w:val="single" w:color="auto" w:sz="4" w:space="0"/>
            </w:tcBorders>
            <w:shd w:val="clear" w:color="auto" w:fill="auto"/>
            <w:vAlign w:val="center"/>
          </w:tcPr>
          <w:p w14:paraId="602FD7A7">
            <w:pPr>
              <w:autoSpaceDE w:val="0"/>
              <w:autoSpaceDN w:val="0"/>
              <w:jc w:val="center"/>
              <w:rPr>
                <w:rFonts w:ascii="Times New Roman" w:hAnsi="Times New Roman" w:eastAsia="宋体" w:cs="Times New Roman"/>
                <w:color w:val="auto"/>
                <w:szCs w:val="21"/>
                <w:u w:val="single" w:color="auto"/>
              </w:rPr>
            </w:pPr>
          </w:p>
        </w:tc>
        <w:tc>
          <w:tcPr>
            <w:tcW w:w="1249" w:type="dxa"/>
            <w:vMerge w:val="continue"/>
            <w:tcBorders>
              <w:left w:val="single" w:color="auto" w:sz="4" w:space="0"/>
              <w:right w:val="single" w:color="auto" w:sz="4" w:space="0"/>
            </w:tcBorders>
            <w:shd w:val="clear" w:color="auto" w:fill="auto"/>
            <w:vAlign w:val="center"/>
          </w:tcPr>
          <w:p w14:paraId="480BE3AB">
            <w:pPr>
              <w:autoSpaceDE w:val="0"/>
              <w:autoSpaceDN w:val="0"/>
              <w:jc w:val="center"/>
              <w:rPr>
                <w:rFonts w:ascii="Times New Roman" w:hAnsi="Times New Roman" w:eastAsia="宋体" w:cs="Times New Roman"/>
                <w:color w:val="auto"/>
                <w:szCs w:val="21"/>
                <w:u w:val="single" w:color="auto"/>
              </w:rPr>
            </w:pPr>
          </w:p>
        </w:tc>
        <w:tc>
          <w:tcPr>
            <w:tcW w:w="1532" w:type="dxa"/>
            <w:vMerge w:val="continue"/>
            <w:tcBorders>
              <w:left w:val="nil"/>
              <w:right w:val="single" w:color="auto" w:sz="4" w:space="0"/>
            </w:tcBorders>
            <w:shd w:val="clear" w:color="auto" w:fill="auto"/>
            <w:vAlign w:val="center"/>
          </w:tcPr>
          <w:p w14:paraId="7CF07C10">
            <w:pPr>
              <w:autoSpaceDE w:val="0"/>
              <w:autoSpaceDN w:val="0"/>
              <w:jc w:val="center"/>
              <w:rPr>
                <w:rFonts w:ascii="Times New Roman" w:hAnsi="Times New Roman" w:eastAsia="宋体" w:cs="Times New Roman"/>
                <w:color w:val="auto"/>
                <w:szCs w:val="21"/>
                <w:u w:val="single" w:color="auto"/>
              </w:rPr>
            </w:pPr>
          </w:p>
        </w:tc>
        <w:tc>
          <w:tcPr>
            <w:tcW w:w="1265" w:type="dxa"/>
            <w:tcBorders>
              <w:top w:val="single" w:color="auto" w:sz="4" w:space="0"/>
              <w:left w:val="nil"/>
              <w:bottom w:val="single" w:color="auto" w:sz="4" w:space="0"/>
              <w:right w:val="single" w:color="auto" w:sz="4" w:space="0"/>
            </w:tcBorders>
            <w:shd w:val="clear" w:color="auto" w:fill="auto"/>
            <w:vAlign w:val="center"/>
          </w:tcPr>
          <w:p w14:paraId="3BE0DF0A">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二甲苯</w:t>
            </w:r>
          </w:p>
        </w:tc>
        <w:tc>
          <w:tcPr>
            <w:tcW w:w="1146" w:type="dxa"/>
            <w:tcBorders>
              <w:top w:val="single" w:color="auto" w:sz="4" w:space="0"/>
              <w:left w:val="nil"/>
              <w:bottom w:val="single" w:color="auto" w:sz="4" w:space="0"/>
              <w:right w:val="single" w:color="auto" w:sz="4" w:space="0"/>
            </w:tcBorders>
            <w:shd w:val="clear" w:color="auto" w:fill="auto"/>
            <w:vAlign w:val="center"/>
          </w:tcPr>
          <w:p w14:paraId="0F06C34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8" w:type="dxa"/>
            <w:tcBorders>
              <w:top w:val="single" w:color="auto" w:sz="4" w:space="0"/>
              <w:left w:val="nil"/>
              <w:bottom w:val="single" w:color="auto" w:sz="4" w:space="0"/>
              <w:right w:val="single" w:color="auto" w:sz="4" w:space="0"/>
            </w:tcBorders>
            <w:shd w:val="clear" w:color="auto" w:fill="auto"/>
            <w:vAlign w:val="center"/>
          </w:tcPr>
          <w:p w14:paraId="74D2E83B">
            <w:pPr>
              <w:autoSpaceDE w:val="0"/>
              <w:autoSpaceDN w:val="0"/>
              <w:jc w:val="center"/>
              <w:rPr>
                <w:rFonts w:hint="default" w:ascii="Times New Roman" w:hAnsi="Times New Roman" w:eastAsia="宋体" w:cs="Times New Roman"/>
                <w:color w:val="auto"/>
                <w:szCs w:val="21"/>
                <w:u w:val="single" w:color="auto"/>
                <w:lang w:val="en-US" w:eastAsia="zh-CN"/>
              </w:rPr>
            </w:pPr>
            <w:r>
              <w:rPr>
                <w:rFonts w:ascii="Times New Roman" w:hAnsi="Times New Roman" w:eastAsia="宋体" w:cs="Times New Roman"/>
                <w:color w:val="auto"/>
                <w:szCs w:val="21"/>
                <w:u w:val="single" w:color="auto"/>
              </w:rPr>
              <w:t>0.</w:t>
            </w:r>
            <w:r>
              <w:rPr>
                <w:rFonts w:hint="eastAsia" w:ascii="Times New Roman" w:hAnsi="Times New Roman" w:eastAsia="宋体" w:cs="Times New Roman"/>
                <w:color w:val="auto"/>
                <w:szCs w:val="21"/>
                <w:u w:val="single" w:color="auto"/>
                <w:lang w:val="en-US" w:eastAsia="zh-CN"/>
              </w:rPr>
              <w:t>526</w:t>
            </w:r>
          </w:p>
        </w:tc>
        <w:tc>
          <w:tcPr>
            <w:tcW w:w="629" w:type="dxa"/>
            <w:vMerge w:val="continue"/>
            <w:tcBorders>
              <w:left w:val="nil"/>
              <w:right w:val="single" w:color="auto" w:sz="4" w:space="0"/>
            </w:tcBorders>
            <w:shd w:val="clear" w:color="auto" w:fill="auto"/>
            <w:vAlign w:val="center"/>
          </w:tcPr>
          <w:p w14:paraId="1C04A22A">
            <w:pPr>
              <w:autoSpaceDE w:val="0"/>
              <w:autoSpaceDN w:val="0"/>
              <w:jc w:val="center"/>
              <w:rPr>
                <w:rFonts w:ascii="Times New Roman" w:hAnsi="Times New Roman" w:eastAsia="宋体" w:cs="Times New Roman"/>
                <w:color w:val="auto"/>
                <w:szCs w:val="21"/>
                <w:u w:val="single" w:color="auto"/>
              </w:rPr>
            </w:pPr>
          </w:p>
        </w:tc>
        <w:tc>
          <w:tcPr>
            <w:tcW w:w="990" w:type="dxa"/>
            <w:tcBorders>
              <w:top w:val="single" w:color="auto" w:sz="4" w:space="0"/>
              <w:left w:val="nil"/>
              <w:right w:val="single" w:color="auto" w:sz="4" w:space="0"/>
            </w:tcBorders>
            <w:shd w:val="clear" w:color="auto" w:fill="auto"/>
            <w:vAlign w:val="center"/>
          </w:tcPr>
          <w:p w14:paraId="76262426">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1.2mg/m</w:t>
            </w:r>
            <w:r>
              <w:rPr>
                <w:rFonts w:ascii="Times New Roman" w:hAnsi="Times New Roman" w:eastAsia="宋体" w:cs="Times New Roman"/>
                <w:color w:val="auto"/>
                <w:szCs w:val="21"/>
                <w:u w:val="single" w:color="auto"/>
                <w:vertAlign w:val="superscript"/>
              </w:rPr>
              <w:t>3</w:t>
            </w: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24F3B6E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2151" w:type="dxa"/>
            <w:vMerge w:val="continue"/>
            <w:tcBorders>
              <w:left w:val="nil"/>
              <w:right w:val="single" w:color="auto" w:sz="4" w:space="0"/>
            </w:tcBorders>
            <w:shd w:val="clear" w:color="auto" w:fill="auto"/>
            <w:vAlign w:val="center"/>
          </w:tcPr>
          <w:p w14:paraId="476A62C9">
            <w:pPr>
              <w:autoSpaceDE w:val="0"/>
              <w:autoSpaceDN w:val="0"/>
              <w:jc w:val="center"/>
              <w:rPr>
                <w:rFonts w:ascii="Times New Roman" w:hAnsi="Times New Roman" w:eastAsia="宋体" w:cs="Times New Roman"/>
                <w:color w:val="auto"/>
                <w:szCs w:val="21"/>
                <w:u w:val="single" w:color="auto"/>
              </w:rPr>
            </w:pPr>
          </w:p>
        </w:tc>
      </w:tr>
      <w:tr w14:paraId="32714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0" w:hRule="atLeast"/>
        </w:trPr>
        <w:tc>
          <w:tcPr>
            <w:tcW w:w="325" w:type="dxa"/>
            <w:vMerge w:val="continue"/>
            <w:tcBorders>
              <w:left w:val="single" w:color="auto" w:sz="4" w:space="0"/>
              <w:right w:val="single" w:color="auto" w:sz="4" w:space="0"/>
            </w:tcBorders>
            <w:shd w:val="clear" w:color="auto" w:fill="auto"/>
            <w:vAlign w:val="center"/>
          </w:tcPr>
          <w:p w14:paraId="140A5CDA">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right w:val="single" w:color="auto" w:sz="4" w:space="0"/>
            </w:tcBorders>
            <w:shd w:val="clear" w:color="auto" w:fill="auto"/>
            <w:vAlign w:val="center"/>
          </w:tcPr>
          <w:p w14:paraId="40E8A4DB">
            <w:pPr>
              <w:autoSpaceDE w:val="0"/>
              <w:autoSpaceDN w:val="0"/>
              <w:jc w:val="center"/>
              <w:rPr>
                <w:rFonts w:ascii="Times New Roman" w:hAnsi="Times New Roman" w:eastAsia="宋体" w:cs="Times New Roman"/>
                <w:color w:val="auto"/>
                <w:szCs w:val="21"/>
                <w:u w:val="single" w:color="auto"/>
              </w:rPr>
            </w:pPr>
          </w:p>
        </w:tc>
        <w:tc>
          <w:tcPr>
            <w:tcW w:w="1923" w:type="dxa"/>
            <w:vMerge w:val="continue"/>
            <w:tcBorders>
              <w:left w:val="nil"/>
              <w:right w:val="single" w:color="auto" w:sz="4" w:space="0"/>
            </w:tcBorders>
            <w:shd w:val="clear" w:color="auto" w:fill="auto"/>
            <w:vAlign w:val="center"/>
          </w:tcPr>
          <w:p w14:paraId="46344BEB">
            <w:pPr>
              <w:autoSpaceDE w:val="0"/>
              <w:autoSpaceDN w:val="0"/>
              <w:jc w:val="center"/>
              <w:rPr>
                <w:rFonts w:ascii="Times New Roman" w:hAnsi="Times New Roman" w:eastAsia="宋体" w:cs="Times New Roman"/>
                <w:color w:val="auto"/>
                <w:szCs w:val="21"/>
                <w:u w:val="single" w:color="auto"/>
              </w:rPr>
            </w:pPr>
          </w:p>
        </w:tc>
        <w:tc>
          <w:tcPr>
            <w:tcW w:w="1249" w:type="dxa"/>
            <w:vMerge w:val="continue"/>
            <w:tcBorders>
              <w:left w:val="single" w:color="auto" w:sz="4" w:space="0"/>
              <w:right w:val="single" w:color="auto" w:sz="4" w:space="0"/>
            </w:tcBorders>
            <w:shd w:val="clear" w:color="auto" w:fill="auto"/>
            <w:vAlign w:val="center"/>
          </w:tcPr>
          <w:p w14:paraId="100DDC79">
            <w:pPr>
              <w:autoSpaceDE w:val="0"/>
              <w:autoSpaceDN w:val="0"/>
              <w:jc w:val="center"/>
              <w:rPr>
                <w:rFonts w:ascii="Times New Roman" w:hAnsi="Times New Roman" w:eastAsia="宋体" w:cs="Times New Roman"/>
                <w:color w:val="auto"/>
                <w:szCs w:val="21"/>
                <w:u w:val="single" w:color="auto"/>
              </w:rPr>
            </w:pPr>
          </w:p>
        </w:tc>
        <w:tc>
          <w:tcPr>
            <w:tcW w:w="1532" w:type="dxa"/>
            <w:vMerge w:val="continue"/>
            <w:tcBorders>
              <w:left w:val="nil"/>
              <w:right w:val="single" w:color="auto" w:sz="4" w:space="0"/>
            </w:tcBorders>
            <w:shd w:val="clear" w:color="auto" w:fill="auto"/>
            <w:vAlign w:val="center"/>
          </w:tcPr>
          <w:p w14:paraId="4D6F35A8">
            <w:pPr>
              <w:autoSpaceDE w:val="0"/>
              <w:autoSpaceDN w:val="0"/>
              <w:jc w:val="center"/>
              <w:rPr>
                <w:rFonts w:ascii="Times New Roman" w:hAnsi="Times New Roman" w:eastAsia="宋体" w:cs="Times New Roman"/>
                <w:color w:val="auto"/>
                <w:szCs w:val="21"/>
                <w:u w:val="single" w:color="auto"/>
              </w:rPr>
            </w:pPr>
          </w:p>
        </w:tc>
        <w:tc>
          <w:tcPr>
            <w:tcW w:w="1265" w:type="dxa"/>
            <w:tcBorders>
              <w:top w:val="single" w:color="auto" w:sz="4" w:space="0"/>
              <w:left w:val="nil"/>
              <w:bottom w:val="single" w:color="auto" w:sz="4" w:space="0"/>
              <w:right w:val="single" w:color="auto" w:sz="4" w:space="0"/>
            </w:tcBorders>
            <w:shd w:val="clear" w:color="auto" w:fill="auto"/>
            <w:vAlign w:val="center"/>
          </w:tcPr>
          <w:p w14:paraId="65F543C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非甲烷总烃</w:t>
            </w:r>
          </w:p>
        </w:tc>
        <w:tc>
          <w:tcPr>
            <w:tcW w:w="1146" w:type="dxa"/>
            <w:tcBorders>
              <w:top w:val="single" w:color="auto" w:sz="4" w:space="0"/>
              <w:left w:val="nil"/>
              <w:bottom w:val="single" w:color="auto" w:sz="4" w:space="0"/>
              <w:right w:val="single" w:color="auto" w:sz="4" w:space="0"/>
            </w:tcBorders>
            <w:shd w:val="clear" w:color="auto" w:fill="auto"/>
            <w:vAlign w:val="center"/>
          </w:tcPr>
          <w:p w14:paraId="3ED4107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8" w:type="dxa"/>
            <w:tcBorders>
              <w:top w:val="single" w:color="auto" w:sz="4" w:space="0"/>
              <w:left w:val="nil"/>
              <w:bottom w:val="single" w:color="auto" w:sz="4" w:space="0"/>
              <w:right w:val="single" w:color="auto" w:sz="4" w:space="0"/>
            </w:tcBorders>
            <w:shd w:val="clear" w:color="auto" w:fill="auto"/>
            <w:vAlign w:val="center"/>
          </w:tcPr>
          <w:p w14:paraId="55C163DA">
            <w:pPr>
              <w:autoSpaceDE w:val="0"/>
              <w:autoSpaceDN w:val="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0.9490802</w:t>
            </w:r>
          </w:p>
        </w:tc>
        <w:tc>
          <w:tcPr>
            <w:tcW w:w="629" w:type="dxa"/>
            <w:vMerge w:val="continue"/>
            <w:tcBorders>
              <w:left w:val="nil"/>
              <w:right w:val="single" w:color="auto" w:sz="4" w:space="0"/>
            </w:tcBorders>
            <w:shd w:val="clear" w:color="auto" w:fill="auto"/>
            <w:vAlign w:val="center"/>
          </w:tcPr>
          <w:p w14:paraId="1239F066">
            <w:pPr>
              <w:autoSpaceDE w:val="0"/>
              <w:autoSpaceDN w:val="0"/>
              <w:jc w:val="center"/>
              <w:rPr>
                <w:rFonts w:ascii="Times New Roman" w:hAnsi="Times New Roman" w:eastAsia="宋体" w:cs="Times New Roman"/>
                <w:color w:val="auto"/>
                <w:szCs w:val="21"/>
                <w:u w:val="single" w:color="auto"/>
              </w:rPr>
            </w:pPr>
          </w:p>
        </w:tc>
        <w:tc>
          <w:tcPr>
            <w:tcW w:w="990" w:type="dxa"/>
            <w:tcBorders>
              <w:top w:val="single" w:color="auto" w:sz="4" w:space="0"/>
              <w:left w:val="nil"/>
              <w:right w:val="single" w:color="auto" w:sz="4" w:space="0"/>
            </w:tcBorders>
            <w:shd w:val="clear" w:color="auto" w:fill="auto"/>
            <w:vAlign w:val="center"/>
          </w:tcPr>
          <w:p w14:paraId="1DE05F0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4.0mg/m</w:t>
            </w:r>
            <w:r>
              <w:rPr>
                <w:rFonts w:ascii="Times New Roman" w:hAnsi="Times New Roman" w:eastAsia="宋体" w:cs="Times New Roman"/>
                <w:color w:val="auto"/>
                <w:szCs w:val="21"/>
                <w:u w:val="single" w:color="auto"/>
                <w:vertAlign w:val="superscript"/>
              </w:rPr>
              <w:t>3</w:t>
            </w: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1BF6CE5A">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2151" w:type="dxa"/>
            <w:vMerge w:val="continue"/>
            <w:tcBorders>
              <w:left w:val="nil"/>
              <w:right w:val="single" w:color="auto" w:sz="4" w:space="0"/>
            </w:tcBorders>
            <w:shd w:val="clear" w:color="auto" w:fill="auto"/>
            <w:vAlign w:val="center"/>
          </w:tcPr>
          <w:p w14:paraId="2802F54B">
            <w:pPr>
              <w:autoSpaceDE w:val="0"/>
              <w:autoSpaceDN w:val="0"/>
              <w:jc w:val="center"/>
              <w:rPr>
                <w:rFonts w:ascii="Times New Roman" w:hAnsi="Times New Roman" w:eastAsia="宋体" w:cs="Times New Roman"/>
                <w:color w:val="auto"/>
                <w:szCs w:val="21"/>
                <w:u w:val="single" w:color="auto"/>
              </w:rPr>
            </w:pPr>
          </w:p>
        </w:tc>
      </w:tr>
      <w:tr w14:paraId="50760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0" w:hRule="atLeast"/>
        </w:trPr>
        <w:tc>
          <w:tcPr>
            <w:tcW w:w="325" w:type="dxa"/>
            <w:vMerge w:val="continue"/>
            <w:tcBorders>
              <w:left w:val="single" w:color="auto" w:sz="4" w:space="0"/>
              <w:right w:val="single" w:color="auto" w:sz="4" w:space="0"/>
            </w:tcBorders>
            <w:shd w:val="clear" w:color="auto" w:fill="auto"/>
            <w:vAlign w:val="center"/>
          </w:tcPr>
          <w:p w14:paraId="14A6998E">
            <w:pPr>
              <w:autoSpaceDE w:val="0"/>
              <w:autoSpaceDN w:val="0"/>
              <w:jc w:val="center"/>
              <w:rPr>
                <w:color w:val="auto"/>
                <w:u w:val="single" w:color="auto"/>
              </w:rPr>
            </w:pPr>
          </w:p>
        </w:tc>
        <w:tc>
          <w:tcPr>
            <w:tcW w:w="576" w:type="dxa"/>
            <w:vMerge w:val="continue"/>
            <w:tcBorders>
              <w:left w:val="nil"/>
              <w:right w:val="single" w:color="auto" w:sz="4" w:space="0"/>
            </w:tcBorders>
            <w:shd w:val="clear" w:color="auto" w:fill="auto"/>
            <w:vAlign w:val="center"/>
          </w:tcPr>
          <w:p w14:paraId="106995CB">
            <w:pPr>
              <w:autoSpaceDE w:val="0"/>
              <w:autoSpaceDN w:val="0"/>
              <w:jc w:val="center"/>
              <w:rPr>
                <w:color w:val="auto"/>
                <w:u w:val="single" w:color="auto"/>
              </w:rPr>
            </w:pPr>
          </w:p>
        </w:tc>
        <w:tc>
          <w:tcPr>
            <w:tcW w:w="1923" w:type="dxa"/>
            <w:tcBorders>
              <w:left w:val="nil"/>
              <w:right w:val="single" w:color="auto" w:sz="4" w:space="0"/>
            </w:tcBorders>
            <w:shd w:val="clear" w:color="auto" w:fill="auto"/>
            <w:vAlign w:val="center"/>
          </w:tcPr>
          <w:p w14:paraId="411FB107">
            <w:pPr>
              <w:autoSpaceDE w:val="0"/>
              <w:autoSpaceDN w:val="0"/>
              <w:jc w:val="center"/>
              <w:rPr>
                <w:rFonts w:ascii="Times New Roman" w:hAnsi="Times New Roman" w:eastAsia="宋体" w:cs="Times New Roman"/>
                <w:color w:val="auto"/>
                <w:u w:val="single" w:color="auto"/>
              </w:rPr>
            </w:pPr>
            <w:r>
              <w:rPr>
                <w:rFonts w:ascii="Times New Roman" w:hAnsi="Times New Roman" w:eastAsia="宋体" w:cs="Times New Roman"/>
                <w:color w:val="auto"/>
                <w:u w:val="single" w:color="auto"/>
              </w:rPr>
              <w:t>厨房油烟</w:t>
            </w:r>
          </w:p>
        </w:tc>
        <w:tc>
          <w:tcPr>
            <w:tcW w:w="1249" w:type="dxa"/>
            <w:tcBorders>
              <w:left w:val="single" w:color="auto" w:sz="4" w:space="0"/>
              <w:right w:val="single" w:color="auto" w:sz="4" w:space="0"/>
            </w:tcBorders>
            <w:shd w:val="clear" w:color="auto" w:fill="auto"/>
            <w:vAlign w:val="center"/>
          </w:tcPr>
          <w:p w14:paraId="23C0EA5A">
            <w:pPr>
              <w:autoSpaceDE w:val="0"/>
              <w:autoSpaceDN w:val="0"/>
              <w:jc w:val="center"/>
              <w:rPr>
                <w:rFonts w:ascii="Times New Roman" w:hAnsi="Times New Roman" w:eastAsia="宋体" w:cs="Times New Roman"/>
                <w:color w:val="auto"/>
                <w:u w:val="single" w:color="auto"/>
              </w:rPr>
            </w:pPr>
            <w:r>
              <w:rPr>
                <w:rFonts w:ascii="Times New Roman" w:hAnsi="Times New Roman" w:eastAsia="宋体" w:cs="Times New Roman"/>
                <w:color w:val="auto"/>
                <w:u w:val="single" w:color="auto"/>
              </w:rPr>
              <w:t>厨房烟囱</w:t>
            </w:r>
          </w:p>
        </w:tc>
        <w:tc>
          <w:tcPr>
            <w:tcW w:w="1532" w:type="dxa"/>
            <w:tcBorders>
              <w:left w:val="nil"/>
              <w:right w:val="single" w:color="auto" w:sz="4" w:space="0"/>
            </w:tcBorders>
            <w:shd w:val="clear" w:color="auto" w:fill="auto"/>
            <w:vAlign w:val="center"/>
          </w:tcPr>
          <w:p w14:paraId="1CFD1233">
            <w:pPr>
              <w:autoSpaceDE w:val="0"/>
              <w:autoSpaceDN w:val="0"/>
              <w:jc w:val="center"/>
              <w:rPr>
                <w:rFonts w:ascii="Times New Roman" w:hAnsi="Times New Roman" w:eastAsia="宋体" w:cs="Times New Roman"/>
                <w:color w:val="auto"/>
                <w:u w:val="single" w:color="auto"/>
              </w:rPr>
            </w:pPr>
            <w:r>
              <w:rPr>
                <w:rFonts w:ascii="Times New Roman" w:hAnsi="Times New Roman" w:eastAsia="宋体" w:cs="Times New Roman"/>
                <w:color w:val="auto"/>
                <w:szCs w:val="21"/>
                <w:u w:val="single" w:color="auto"/>
              </w:rPr>
              <w:t>油烟净化器</w:t>
            </w:r>
          </w:p>
        </w:tc>
        <w:tc>
          <w:tcPr>
            <w:tcW w:w="1265" w:type="dxa"/>
            <w:tcBorders>
              <w:top w:val="single" w:color="auto" w:sz="4" w:space="0"/>
              <w:left w:val="nil"/>
              <w:bottom w:val="single" w:color="auto" w:sz="4" w:space="0"/>
              <w:right w:val="single" w:color="auto" w:sz="4" w:space="0"/>
            </w:tcBorders>
            <w:shd w:val="clear" w:color="auto" w:fill="auto"/>
            <w:vAlign w:val="center"/>
          </w:tcPr>
          <w:p w14:paraId="6FD77C39">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油烟</w:t>
            </w:r>
          </w:p>
        </w:tc>
        <w:tc>
          <w:tcPr>
            <w:tcW w:w="1146" w:type="dxa"/>
            <w:tcBorders>
              <w:top w:val="single" w:color="auto" w:sz="4" w:space="0"/>
              <w:left w:val="nil"/>
              <w:bottom w:val="single" w:color="auto" w:sz="4" w:space="0"/>
              <w:right w:val="single" w:color="auto" w:sz="4" w:space="0"/>
            </w:tcBorders>
            <w:shd w:val="clear" w:color="auto" w:fill="auto"/>
            <w:vAlign w:val="center"/>
          </w:tcPr>
          <w:p w14:paraId="0F42265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0.637</w:t>
            </w:r>
          </w:p>
        </w:tc>
        <w:tc>
          <w:tcPr>
            <w:tcW w:w="1188" w:type="dxa"/>
            <w:tcBorders>
              <w:top w:val="single" w:color="auto" w:sz="4" w:space="0"/>
              <w:left w:val="nil"/>
              <w:bottom w:val="single" w:color="auto" w:sz="4" w:space="0"/>
              <w:right w:val="single" w:color="auto" w:sz="4" w:space="0"/>
            </w:tcBorders>
            <w:shd w:val="clear" w:color="auto" w:fill="auto"/>
            <w:vAlign w:val="center"/>
          </w:tcPr>
          <w:p w14:paraId="08EB8FD1">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0.003</w:t>
            </w:r>
          </w:p>
        </w:tc>
        <w:tc>
          <w:tcPr>
            <w:tcW w:w="629" w:type="dxa"/>
            <w:tcBorders>
              <w:left w:val="nil"/>
              <w:right w:val="single" w:color="auto" w:sz="4" w:space="0"/>
            </w:tcBorders>
            <w:shd w:val="clear" w:color="auto" w:fill="auto"/>
            <w:vAlign w:val="center"/>
          </w:tcPr>
          <w:p w14:paraId="36C645CB">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连续</w:t>
            </w:r>
          </w:p>
        </w:tc>
        <w:tc>
          <w:tcPr>
            <w:tcW w:w="990" w:type="dxa"/>
            <w:tcBorders>
              <w:top w:val="single" w:color="auto" w:sz="4" w:space="0"/>
              <w:left w:val="nil"/>
              <w:right w:val="single" w:color="auto" w:sz="4" w:space="0"/>
            </w:tcBorders>
            <w:shd w:val="clear" w:color="auto" w:fill="auto"/>
            <w:vAlign w:val="center"/>
          </w:tcPr>
          <w:p w14:paraId="5CE9FF30">
            <w:pPr>
              <w:autoSpaceDE w:val="0"/>
              <w:autoSpaceDN w:val="0"/>
              <w:jc w:val="center"/>
              <w:rPr>
                <w:rFonts w:ascii="Times New Roman" w:hAnsi="Times New Roman" w:eastAsia="宋体" w:cs="Times New Roman"/>
                <w:color w:val="auto"/>
                <w:szCs w:val="21"/>
                <w:u w:val="single" w:color="auto"/>
              </w:rPr>
            </w:pPr>
          </w:p>
        </w:tc>
        <w:tc>
          <w:tcPr>
            <w:tcW w:w="974" w:type="dxa"/>
            <w:gridSpan w:val="2"/>
            <w:tcBorders>
              <w:top w:val="single" w:color="auto" w:sz="4" w:space="0"/>
              <w:left w:val="nil"/>
              <w:bottom w:val="single" w:color="auto" w:sz="4" w:space="0"/>
              <w:right w:val="single" w:color="auto" w:sz="4" w:space="0"/>
            </w:tcBorders>
            <w:shd w:val="clear" w:color="auto" w:fill="auto"/>
            <w:vAlign w:val="center"/>
          </w:tcPr>
          <w:p w14:paraId="2A3677A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2151" w:type="dxa"/>
            <w:tcBorders>
              <w:left w:val="nil"/>
              <w:right w:val="single" w:color="auto" w:sz="4" w:space="0"/>
            </w:tcBorders>
            <w:shd w:val="clear" w:color="auto" w:fill="auto"/>
            <w:vAlign w:val="center"/>
          </w:tcPr>
          <w:p w14:paraId="33529614">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《饮食业油烟排放标准(试行)》（GBl8483-2001）</w:t>
            </w:r>
          </w:p>
        </w:tc>
      </w:tr>
      <w:tr w14:paraId="17F76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25" w:type="dxa"/>
            <w:tcBorders>
              <w:left w:val="single" w:color="auto" w:sz="4" w:space="0"/>
              <w:right w:val="single" w:color="auto" w:sz="4" w:space="0"/>
            </w:tcBorders>
            <w:shd w:val="clear" w:color="auto" w:fill="auto"/>
            <w:vAlign w:val="center"/>
          </w:tcPr>
          <w:p w14:paraId="15E1B27D">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2</w:t>
            </w:r>
          </w:p>
        </w:tc>
        <w:tc>
          <w:tcPr>
            <w:tcW w:w="576" w:type="dxa"/>
            <w:tcBorders>
              <w:left w:val="nil"/>
              <w:right w:val="single" w:color="auto" w:sz="4" w:space="0"/>
            </w:tcBorders>
            <w:shd w:val="clear" w:color="auto" w:fill="auto"/>
            <w:vAlign w:val="center"/>
          </w:tcPr>
          <w:p w14:paraId="2D2EC336">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废水</w:t>
            </w:r>
          </w:p>
        </w:tc>
        <w:tc>
          <w:tcPr>
            <w:tcW w:w="1923" w:type="dxa"/>
            <w:tcBorders>
              <w:top w:val="single" w:color="auto" w:sz="4" w:space="0"/>
              <w:left w:val="nil"/>
              <w:right w:val="single" w:color="auto" w:sz="4" w:space="0"/>
            </w:tcBorders>
            <w:shd w:val="clear" w:color="auto" w:fill="auto"/>
            <w:vAlign w:val="center"/>
          </w:tcPr>
          <w:p w14:paraId="532C32F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生活污水</w:t>
            </w:r>
          </w:p>
        </w:tc>
        <w:tc>
          <w:tcPr>
            <w:tcW w:w="1249" w:type="dxa"/>
            <w:tcBorders>
              <w:top w:val="single" w:color="auto" w:sz="4" w:space="0"/>
              <w:left w:val="single" w:color="auto" w:sz="4" w:space="0"/>
              <w:right w:val="single" w:color="auto" w:sz="4" w:space="0"/>
            </w:tcBorders>
            <w:shd w:val="clear" w:color="auto" w:fill="auto"/>
            <w:vAlign w:val="center"/>
          </w:tcPr>
          <w:p w14:paraId="0F0BB57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532" w:type="dxa"/>
            <w:tcBorders>
              <w:top w:val="single" w:color="auto" w:sz="4" w:space="0"/>
              <w:left w:val="single" w:color="auto" w:sz="4" w:space="0"/>
              <w:right w:val="single" w:color="auto" w:sz="4" w:space="0"/>
            </w:tcBorders>
            <w:shd w:val="clear" w:color="auto" w:fill="auto"/>
            <w:vAlign w:val="center"/>
          </w:tcPr>
          <w:p w14:paraId="3313ECD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化粪池处理后排入市政管网</w:t>
            </w:r>
          </w:p>
        </w:tc>
        <w:tc>
          <w:tcPr>
            <w:tcW w:w="1265" w:type="dxa"/>
            <w:tcBorders>
              <w:top w:val="single" w:color="auto" w:sz="4" w:space="0"/>
              <w:left w:val="nil"/>
              <w:bottom w:val="single" w:color="auto" w:sz="4" w:space="0"/>
              <w:right w:val="single" w:color="auto" w:sz="4" w:space="0"/>
            </w:tcBorders>
            <w:shd w:val="clear" w:color="auto" w:fill="auto"/>
            <w:vAlign w:val="center"/>
          </w:tcPr>
          <w:p w14:paraId="4A73B8F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COD、BOD、SS、氨氧</w:t>
            </w:r>
          </w:p>
        </w:tc>
        <w:tc>
          <w:tcPr>
            <w:tcW w:w="1146" w:type="dxa"/>
            <w:tcBorders>
              <w:top w:val="single" w:color="auto" w:sz="4" w:space="0"/>
              <w:left w:val="nil"/>
              <w:bottom w:val="single" w:color="auto" w:sz="4" w:space="0"/>
              <w:right w:val="single" w:color="auto" w:sz="4" w:space="0"/>
            </w:tcBorders>
            <w:shd w:val="clear" w:color="auto" w:fill="auto"/>
            <w:vAlign w:val="center"/>
          </w:tcPr>
          <w:p w14:paraId="5C6EF2E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1188" w:type="dxa"/>
            <w:tcBorders>
              <w:top w:val="single" w:color="auto" w:sz="4" w:space="0"/>
              <w:left w:val="nil"/>
              <w:bottom w:val="single" w:color="auto" w:sz="4" w:space="0"/>
              <w:right w:val="single" w:color="auto" w:sz="4" w:space="0"/>
            </w:tcBorders>
            <w:shd w:val="clear" w:color="auto" w:fill="auto"/>
            <w:vAlign w:val="center"/>
          </w:tcPr>
          <w:p w14:paraId="521F5247">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w:t>
            </w:r>
          </w:p>
        </w:tc>
        <w:tc>
          <w:tcPr>
            <w:tcW w:w="629" w:type="dxa"/>
            <w:tcBorders>
              <w:top w:val="single" w:color="auto" w:sz="4" w:space="0"/>
              <w:left w:val="nil"/>
              <w:right w:val="single" w:color="auto" w:sz="4" w:space="0"/>
            </w:tcBorders>
            <w:shd w:val="clear" w:color="auto" w:fill="auto"/>
            <w:vAlign w:val="center"/>
          </w:tcPr>
          <w:p w14:paraId="3358EC3D">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连续</w:t>
            </w:r>
          </w:p>
        </w:tc>
        <w:tc>
          <w:tcPr>
            <w:tcW w:w="1964" w:type="dxa"/>
            <w:gridSpan w:val="3"/>
            <w:tcBorders>
              <w:top w:val="single" w:color="auto" w:sz="4" w:space="0"/>
              <w:left w:val="nil"/>
              <w:bottom w:val="single" w:color="auto" w:sz="4" w:space="0"/>
              <w:right w:val="single" w:color="auto" w:sz="4" w:space="0"/>
            </w:tcBorders>
            <w:shd w:val="clear" w:color="auto" w:fill="auto"/>
            <w:vAlign w:val="center"/>
          </w:tcPr>
          <w:p w14:paraId="41BEE5BC">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4</w:t>
            </w:r>
            <w:r>
              <w:rPr>
                <w:rFonts w:ascii="Times New Roman" w:hAnsi="Times New Roman" w:eastAsia="宋体" w:cs="Times New Roman"/>
                <w:color w:val="auto"/>
                <w:szCs w:val="21"/>
                <w:u w:val="single" w:color="auto"/>
              </w:rPr>
              <w:t>00mg/L</w:t>
            </w:r>
          </w:p>
        </w:tc>
        <w:tc>
          <w:tcPr>
            <w:tcW w:w="2151" w:type="dxa"/>
            <w:tcBorders>
              <w:top w:val="single" w:color="auto" w:sz="4" w:space="0"/>
              <w:left w:val="nil"/>
              <w:right w:val="single" w:color="auto" w:sz="4" w:space="0"/>
            </w:tcBorders>
            <w:shd w:val="clear" w:color="auto" w:fill="auto"/>
            <w:vAlign w:val="center"/>
          </w:tcPr>
          <w:p w14:paraId="3FD4CCBF">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大榄坪污水处理厂纳管要求</w:t>
            </w:r>
          </w:p>
        </w:tc>
      </w:tr>
      <w:tr w14:paraId="0D425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25" w:type="dxa"/>
            <w:tcBorders>
              <w:top w:val="single" w:color="auto" w:sz="4" w:space="0"/>
              <w:left w:val="single" w:color="auto" w:sz="4" w:space="0"/>
              <w:bottom w:val="single" w:color="auto" w:sz="4" w:space="0"/>
              <w:right w:val="single" w:color="auto" w:sz="4" w:space="0"/>
            </w:tcBorders>
            <w:shd w:val="clear" w:color="auto" w:fill="auto"/>
            <w:vAlign w:val="center"/>
          </w:tcPr>
          <w:p w14:paraId="22E34BD3">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3</w:t>
            </w:r>
          </w:p>
        </w:tc>
        <w:tc>
          <w:tcPr>
            <w:tcW w:w="576" w:type="dxa"/>
            <w:tcBorders>
              <w:top w:val="single" w:color="auto" w:sz="4" w:space="0"/>
              <w:left w:val="nil"/>
              <w:bottom w:val="single" w:color="auto" w:sz="4" w:space="0"/>
              <w:right w:val="single" w:color="auto" w:sz="4" w:space="0"/>
            </w:tcBorders>
            <w:shd w:val="clear" w:color="auto" w:fill="auto"/>
            <w:vAlign w:val="center"/>
          </w:tcPr>
          <w:p w14:paraId="62D7B294">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噪声</w:t>
            </w:r>
          </w:p>
        </w:tc>
        <w:tc>
          <w:tcPr>
            <w:tcW w:w="3172" w:type="dxa"/>
            <w:gridSpan w:val="2"/>
            <w:tcBorders>
              <w:top w:val="single" w:color="auto" w:sz="4" w:space="0"/>
              <w:left w:val="nil"/>
              <w:bottom w:val="single" w:color="auto" w:sz="4" w:space="0"/>
              <w:right w:val="single" w:color="auto" w:sz="4" w:space="0"/>
            </w:tcBorders>
            <w:shd w:val="clear" w:color="auto" w:fill="auto"/>
            <w:vAlign w:val="center"/>
          </w:tcPr>
          <w:p w14:paraId="74A80268">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厂界</w:t>
            </w:r>
          </w:p>
        </w:tc>
        <w:tc>
          <w:tcPr>
            <w:tcW w:w="5131"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3956002E">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消声、减震、隔声</w:t>
            </w:r>
          </w:p>
        </w:tc>
        <w:tc>
          <w:tcPr>
            <w:tcW w:w="629" w:type="dxa"/>
            <w:tcBorders>
              <w:top w:val="single" w:color="auto" w:sz="4" w:space="0"/>
              <w:left w:val="nil"/>
              <w:bottom w:val="single" w:color="auto" w:sz="4" w:space="0"/>
              <w:right w:val="single" w:color="auto" w:sz="4" w:space="0"/>
            </w:tcBorders>
            <w:shd w:val="clear" w:color="auto" w:fill="auto"/>
            <w:vAlign w:val="center"/>
          </w:tcPr>
          <w:p w14:paraId="7DAFF100">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连续</w:t>
            </w:r>
          </w:p>
        </w:tc>
        <w:tc>
          <w:tcPr>
            <w:tcW w:w="1964" w:type="dxa"/>
            <w:gridSpan w:val="3"/>
            <w:tcBorders>
              <w:top w:val="single" w:color="auto" w:sz="4" w:space="0"/>
              <w:left w:val="nil"/>
              <w:bottom w:val="single" w:color="auto" w:sz="4" w:space="0"/>
              <w:right w:val="single" w:color="auto" w:sz="4" w:space="0"/>
            </w:tcBorders>
            <w:shd w:val="clear" w:color="auto" w:fill="auto"/>
            <w:vAlign w:val="center"/>
          </w:tcPr>
          <w:p w14:paraId="2129F2E6">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昼间：≤65dB（A）；</w:t>
            </w:r>
          </w:p>
          <w:p w14:paraId="5BACC24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夜间：≤55dB（A）</w:t>
            </w:r>
          </w:p>
        </w:tc>
        <w:tc>
          <w:tcPr>
            <w:tcW w:w="2151" w:type="dxa"/>
            <w:tcBorders>
              <w:top w:val="single" w:color="auto" w:sz="4" w:space="0"/>
              <w:left w:val="nil"/>
              <w:bottom w:val="single" w:color="auto" w:sz="4" w:space="0"/>
              <w:right w:val="single" w:color="auto" w:sz="4" w:space="0"/>
            </w:tcBorders>
            <w:shd w:val="clear" w:color="auto" w:fill="auto"/>
            <w:vAlign w:val="center"/>
          </w:tcPr>
          <w:p w14:paraId="0FC33914">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《工业企业厂界环境噪声排放标准》（GB12348-2008）中3类标准</w:t>
            </w:r>
          </w:p>
        </w:tc>
      </w:tr>
      <w:tr w14:paraId="1F88C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25" w:type="dxa"/>
            <w:vMerge w:val="restart"/>
            <w:tcBorders>
              <w:top w:val="single" w:color="auto" w:sz="4" w:space="0"/>
              <w:left w:val="single" w:color="auto" w:sz="4" w:space="0"/>
              <w:right w:val="single" w:color="auto" w:sz="4" w:space="0"/>
            </w:tcBorders>
            <w:shd w:val="clear" w:color="auto" w:fill="auto"/>
            <w:vAlign w:val="center"/>
          </w:tcPr>
          <w:p w14:paraId="358FD5FC">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4</w:t>
            </w:r>
          </w:p>
        </w:tc>
        <w:tc>
          <w:tcPr>
            <w:tcW w:w="576" w:type="dxa"/>
            <w:vMerge w:val="restart"/>
            <w:tcBorders>
              <w:top w:val="single" w:color="auto" w:sz="4" w:space="0"/>
              <w:left w:val="nil"/>
              <w:right w:val="single" w:color="auto" w:sz="4" w:space="0"/>
            </w:tcBorders>
            <w:shd w:val="clear" w:color="auto" w:fill="auto"/>
            <w:vAlign w:val="center"/>
          </w:tcPr>
          <w:p w14:paraId="05849D9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固体废物</w:t>
            </w:r>
          </w:p>
        </w:tc>
        <w:tc>
          <w:tcPr>
            <w:tcW w:w="3172" w:type="dxa"/>
            <w:gridSpan w:val="2"/>
            <w:tcBorders>
              <w:top w:val="single" w:color="auto" w:sz="4" w:space="0"/>
              <w:left w:val="nil"/>
              <w:right w:val="single" w:color="auto" w:sz="4" w:space="0"/>
            </w:tcBorders>
            <w:shd w:val="clear" w:color="auto" w:fill="auto"/>
            <w:vAlign w:val="center"/>
          </w:tcPr>
          <w:p w14:paraId="344DB469">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一般工业固体废物</w:t>
            </w:r>
          </w:p>
        </w:tc>
        <w:tc>
          <w:tcPr>
            <w:tcW w:w="5131" w:type="dxa"/>
            <w:gridSpan w:val="4"/>
            <w:tcBorders>
              <w:top w:val="single" w:color="auto" w:sz="4" w:space="0"/>
              <w:left w:val="nil"/>
              <w:bottom w:val="single" w:color="auto" w:sz="4" w:space="0"/>
              <w:right w:val="single" w:color="auto" w:sz="4" w:space="0"/>
            </w:tcBorders>
            <w:shd w:val="clear" w:color="auto" w:fill="auto"/>
            <w:vAlign w:val="center"/>
          </w:tcPr>
          <w:p w14:paraId="4E65F611">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4"/>
                <w:u w:val="single" w:color="auto"/>
              </w:rPr>
              <w:t>切割下脚料、净化器除尘灰</w:t>
            </w:r>
            <w:r>
              <w:rPr>
                <w:rFonts w:hint="eastAsia" w:ascii="Times New Roman" w:hAnsi="Times New Roman" w:eastAsia="宋体" w:cs="Times New Roman"/>
                <w:color w:val="auto"/>
                <w:szCs w:val="24"/>
                <w:u w:val="single" w:color="auto"/>
              </w:rPr>
              <w:t>、滤筒除尘灰、</w:t>
            </w:r>
            <w:r>
              <w:rPr>
                <w:rFonts w:ascii="Times New Roman" w:hAnsi="Times New Roman" w:eastAsia="宋体" w:cs="Times New Roman"/>
                <w:color w:val="auto"/>
                <w:szCs w:val="24"/>
                <w:u w:val="single" w:color="auto"/>
              </w:rPr>
              <w:t>沉降粉尘、废焊条焊渣、废钢丸</w:t>
            </w:r>
          </w:p>
        </w:tc>
        <w:tc>
          <w:tcPr>
            <w:tcW w:w="258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FE5A5B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4"/>
                <w:u w:val="single" w:color="auto"/>
              </w:rPr>
              <w:t>收集</w:t>
            </w:r>
            <w:r>
              <w:rPr>
                <w:rFonts w:hint="eastAsia" w:ascii="Times New Roman" w:hAnsi="Times New Roman" w:eastAsia="宋体" w:cs="Times New Roman"/>
                <w:color w:val="auto"/>
                <w:szCs w:val="24"/>
                <w:u w:val="single" w:color="auto"/>
              </w:rPr>
              <w:t>在一般固体废物暂存间，定期</w:t>
            </w:r>
            <w:r>
              <w:rPr>
                <w:rFonts w:ascii="Times New Roman" w:hAnsi="Times New Roman" w:eastAsia="宋体" w:cs="Times New Roman"/>
                <w:color w:val="auto"/>
                <w:szCs w:val="24"/>
                <w:u w:val="single" w:color="auto"/>
              </w:rPr>
              <w:t>外售</w:t>
            </w:r>
          </w:p>
        </w:tc>
        <w:tc>
          <w:tcPr>
            <w:tcW w:w="2160" w:type="dxa"/>
            <w:gridSpan w:val="2"/>
            <w:vMerge w:val="restart"/>
            <w:tcBorders>
              <w:top w:val="single" w:color="auto" w:sz="4" w:space="0"/>
              <w:left w:val="single" w:color="auto" w:sz="4" w:space="0"/>
              <w:right w:val="single" w:color="auto" w:sz="4" w:space="0"/>
            </w:tcBorders>
            <w:shd w:val="clear" w:color="auto" w:fill="auto"/>
            <w:vAlign w:val="center"/>
          </w:tcPr>
          <w:p w14:paraId="2926FC1F">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不对外环境产生影响</w:t>
            </w:r>
          </w:p>
        </w:tc>
      </w:tr>
      <w:tr w14:paraId="089A1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7" w:hRule="atLeast"/>
        </w:trPr>
        <w:tc>
          <w:tcPr>
            <w:tcW w:w="325" w:type="dxa"/>
            <w:vMerge w:val="continue"/>
            <w:tcBorders>
              <w:left w:val="single" w:color="auto" w:sz="4" w:space="0"/>
              <w:right w:val="single" w:color="auto" w:sz="4" w:space="0"/>
            </w:tcBorders>
            <w:shd w:val="clear" w:color="auto" w:fill="auto"/>
            <w:vAlign w:val="center"/>
          </w:tcPr>
          <w:p w14:paraId="116FDFF8">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right w:val="single" w:color="auto" w:sz="4" w:space="0"/>
            </w:tcBorders>
            <w:shd w:val="clear" w:color="auto" w:fill="auto"/>
            <w:vAlign w:val="center"/>
          </w:tcPr>
          <w:p w14:paraId="0BAD9AC9">
            <w:pPr>
              <w:autoSpaceDE w:val="0"/>
              <w:autoSpaceDN w:val="0"/>
              <w:jc w:val="center"/>
              <w:rPr>
                <w:rFonts w:ascii="Times New Roman" w:hAnsi="Times New Roman" w:eastAsia="宋体" w:cs="Times New Roman"/>
                <w:color w:val="auto"/>
                <w:szCs w:val="21"/>
                <w:u w:val="single" w:color="auto"/>
              </w:rPr>
            </w:pPr>
          </w:p>
        </w:tc>
        <w:tc>
          <w:tcPr>
            <w:tcW w:w="3172" w:type="dxa"/>
            <w:gridSpan w:val="2"/>
            <w:tcBorders>
              <w:top w:val="single" w:color="auto" w:sz="4" w:space="0"/>
              <w:left w:val="nil"/>
              <w:right w:val="single" w:color="auto" w:sz="4" w:space="0"/>
            </w:tcBorders>
            <w:shd w:val="clear" w:color="auto" w:fill="auto"/>
            <w:vAlign w:val="center"/>
          </w:tcPr>
          <w:p w14:paraId="638D8038">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危险废物</w:t>
            </w:r>
          </w:p>
        </w:tc>
        <w:tc>
          <w:tcPr>
            <w:tcW w:w="5131" w:type="dxa"/>
            <w:gridSpan w:val="4"/>
            <w:tcBorders>
              <w:top w:val="single" w:color="auto" w:sz="4" w:space="0"/>
              <w:left w:val="nil"/>
              <w:bottom w:val="single" w:color="auto" w:sz="4" w:space="0"/>
              <w:right w:val="single" w:color="auto" w:sz="4" w:space="0"/>
            </w:tcBorders>
            <w:shd w:val="clear" w:color="auto" w:fill="auto"/>
            <w:vAlign w:val="center"/>
          </w:tcPr>
          <w:p w14:paraId="79908FBD">
            <w:pPr>
              <w:autoSpaceDE w:val="0"/>
              <w:autoSpaceDN w:val="0"/>
              <w:jc w:val="center"/>
              <w:rPr>
                <w:rFonts w:ascii="Times New Roman" w:hAnsi="Times New Roman" w:eastAsia="宋体" w:cs="Times New Roman"/>
                <w:color w:val="auto"/>
                <w:szCs w:val="24"/>
                <w:u w:val="single" w:color="auto"/>
              </w:rPr>
            </w:pPr>
            <w:r>
              <w:rPr>
                <w:rFonts w:hint="eastAsia" w:ascii="Times New Roman" w:hAnsi="Times New Roman" w:eastAsia="宋体" w:cs="Times New Roman"/>
                <w:color w:val="auto"/>
                <w:szCs w:val="24"/>
                <w:u w:val="single" w:color="auto"/>
              </w:rPr>
              <w:t>废过滤棉、废活性炭、废催化剂、废油漆桶、废稀释剂桶、废固化剂桶、废润滑油桶、废润滑油、</w:t>
            </w:r>
          </w:p>
          <w:p w14:paraId="33CED304">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4"/>
                <w:u w:val="single" w:color="auto"/>
              </w:rPr>
              <w:t>漆渣、废</w:t>
            </w:r>
            <w:r>
              <w:rPr>
                <w:rFonts w:hint="eastAsia" w:ascii="Times New Roman" w:hAnsi="Times New Roman" w:eastAsia="宋体" w:cs="Times New Roman"/>
                <w:color w:val="auto"/>
                <w:szCs w:val="21"/>
                <w:u w:val="single" w:color="auto"/>
              </w:rPr>
              <w:t>含油抹布</w:t>
            </w:r>
          </w:p>
        </w:tc>
        <w:tc>
          <w:tcPr>
            <w:tcW w:w="258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A56541F">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4"/>
                <w:u w:val="single" w:color="auto"/>
              </w:rPr>
              <w:t>暂存于危险废物暂存间，定期</w:t>
            </w:r>
            <w:r>
              <w:rPr>
                <w:rFonts w:ascii="Times New Roman" w:hAnsi="Times New Roman" w:eastAsia="宋体" w:cs="Times New Roman"/>
                <w:color w:val="auto"/>
                <w:szCs w:val="24"/>
                <w:u w:val="single" w:color="auto"/>
              </w:rPr>
              <w:t>交有资质单位处理</w:t>
            </w:r>
          </w:p>
        </w:tc>
        <w:tc>
          <w:tcPr>
            <w:tcW w:w="2160" w:type="dxa"/>
            <w:gridSpan w:val="2"/>
            <w:vMerge w:val="continue"/>
            <w:tcBorders>
              <w:left w:val="single" w:color="auto" w:sz="4" w:space="0"/>
              <w:right w:val="single" w:color="auto" w:sz="4" w:space="0"/>
            </w:tcBorders>
            <w:shd w:val="clear" w:color="auto" w:fill="auto"/>
            <w:vAlign w:val="center"/>
          </w:tcPr>
          <w:p w14:paraId="63D9CAC8">
            <w:pPr>
              <w:autoSpaceDE w:val="0"/>
              <w:autoSpaceDN w:val="0"/>
              <w:jc w:val="center"/>
              <w:rPr>
                <w:rFonts w:ascii="Times New Roman" w:hAnsi="Times New Roman" w:eastAsia="宋体" w:cs="Times New Roman"/>
                <w:color w:val="auto"/>
                <w:szCs w:val="21"/>
                <w:u w:val="single" w:color="auto"/>
              </w:rPr>
            </w:pPr>
          </w:p>
        </w:tc>
      </w:tr>
      <w:tr w14:paraId="6A6B6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7" w:hRule="atLeast"/>
        </w:trPr>
        <w:tc>
          <w:tcPr>
            <w:tcW w:w="325" w:type="dxa"/>
            <w:vMerge w:val="continue"/>
            <w:tcBorders>
              <w:left w:val="single" w:color="auto" w:sz="4" w:space="0"/>
              <w:bottom w:val="single" w:color="auto" w:sz="4" w:space="0"/>
              <w:right w:val="single" w:color="auto" w:sz="4" w:space="0"/>
            </w:tcBorders>
            <w:shd w:val="clear" w:color="auto" w:fill="auto"/>
            <w:vAlign w:val="center"/>
          </w:tcPr>
          <w:p w14:paraId="298B915C">
            <w:pPr>
              <w:autoSpaceDE w:val="0"/>
              <w:autoSpaceDN w:val="0"/>
              <w:jc w:val="center"/>
              <w:rPr>
                <w:rFonts w:ascii="Times New Roman" w:hAnsi="Times New Roman" w:eastAsia="宋体" w:cs="Times New Roman"/>
                <w:color w:val="auto"/>
                <w:szCs w:val="21"/>
                <w:u w:val="single" w:color="auto"/>
              </w:rPr>
            </w:pPr>
          </w:p>
        </w:tc>
        <w:tc>
          <w:tcPr>
            <w:tcW w:w="576" w:type="dxa"/>
            <w:vMerge w:val="continue"/>
            <w:tcBorders>
              <w:left w:val="nil"/>
              <w:bottom w:val="single" w:color="auto" w:sz="4" w:space="0"/>
              <w:right w:val="single" w:color="auto" w:sz="4" w:space="0"/>
            </w:tcBorders>
            <w:shd w:val="clear" w:color="auto" w:fill="auto"/>
            <w:vAlign w:val="center"/>
          </w:tcPr>
          <w:p w14:paraId="7AAEE0B9">
            <w:pPr>
              <w:autoSpaceDE w:val="0"/>
              <w:autoSpaceDN w:val="0"/>
              <w:jc w:val="center"/>
              <w:rPr>
                <w:rFonts w:ascii="Times New Roman" w:hAnsi="Times New Roman" w:eastAsia="宋体" w:cs="Times New Roman"/>
                <w:color w:val="auto"/>
                <w:szCs w:val="21"/>
                <w:u w:val="single" w:color="auto"/>
              </w:rPr>
            </w:pPr>
          </w:p>
        </w:tc>
        <w:tc>
          <w:tcPr>
            <w:tcW w:w="3172" w:type="dxa"/>
            <w:gridSpan w:val="2"/>
            <w:tcBorders>
              <w:top w:val="single" w:color="auto" w:sz="4" w:space="0"/>
              <w:left w:val="nil"/>
              <w:bottom w:val="single" w:color="auto" w:sz="4" w:space="0"/>
              <w:right w:val="single" w:color="auto" w:sz="4" w:space="0"/>
            </w:tcBorders>
            <w:shd w:val="clear" w:color="auto" w:fill="auto"/>
            <w:vAlign w:val="center"/>
          </w:tcPr>
          <w:p w14:paraId="60EDEFC5">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生活垃圾</w:t>
            </w:r>
          </w:p>
        </w:tc>
        <w:tc>
          <w:tcPr>
            <w:tcW w:w="5131" w:type="dxa"/>
            <w:gridSpan w:val="4"/>
            <w:tcBorders>
              <w:top w:val="single" w:color="auto" w:sz="4" w:space="0"/>
              <w:left w:val="nil"/>
              <w:bottom w:val="single" w:color="auto" w:sz="4" w:space="0"/>
              <w:right w:val="single" w:color="auto" w:sz="4" w:space="0"/>
            </w:tcBorders>
            <w:shd w:val="clear" w:color="auto" w:fill="auto"/>
            <w:vAlign w:val="center"/>
          </w:tcPr>
          <w:p w14:paraId="0B853601">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1"/>
                <w:u w:val="single" w:color="auto"/>
              </w:rPr>
              <w:t>生活垃圾</w:t>
            </w:r>
          </w:p>
        </w:tc>
        <w:tc>
          <w:tcPr>
            <w:tcW w:w="258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7E859589">
            <w:pPr>
              <w:autoSpaceDE w:val="0"/>
              <w:autoSpaceDN w:val="0"/>
              <w:jc w:val="center"/>
              <w:rPr>
                <w:rFonts w:ascii="Times New Roman" w:hAnsi="Times New Roman" w:eastAsia="宋体" w:cs="Times New Roman"/>
                <w:color w:val="auto"/>
                <w:szCs w:val="21"/>
                <w:u w:val="single" w:color="auto"/>
              </w:rPr>
            </w:pPr>
            <w:r>
              <w:rPr>
                <w:rFonts w:ascii="Times New Roman" w:hAnsi="Times New Roman" w:eastAsia="宋体" w:cs="Times New Roman"/>
                <w:color w:val="auto"/>
                <w:szCs w:val="24"/>
                <w:u w:val="single" w:color="auto"/>
              </w:rPr>
              <w:t>环卫部门清理</w:t>
            </w:r>
            <w:r>
              <w:rPr>
                <w:rFonts w:hint="eastAsia" w:ascii="Times New Roman" w:hAnsi="Times New Roman" w:eastAsia="宋体" w:cs="Times New Roman"/>
                <w:color w:val="auto"/>
                <w:szCs w:val="24"/>
                <w:u w:val="single" w:color="auto"/>
              </w:rPr>
              <w:t>处理</w:t>
            </w:r>
          </w:p>
        </w:tc>
        <w:tc>
          <w:tcPr>
            <w:tcW w:w="2160" w:type="dxa"/>
            <w:gridSpan w:val="2"/>
            <w:vMerge w:val="continue"/>
            <w:tcBorders>
              <w:left w:val="single" w:color="auto" w:sz="4" w:space="0"/>
              <w:bottom w:val="single" w:color="auto" w:sz="4" w:space="0"/>
              <w:right w:val="single" w:color="auto" w:sz="4" w:space="0"/>
            </w:tcBorders>
            <w:shd w:val="clear" w:color="auto" w:fill="auto"/>
            <w:vAlign w:val="center"/>
          </w:tcPr>
          <w:p w14:paraId="57B03041">
            <w:pPr>
              <w:autoSpaceDE w:val="0"/>
              <w:autoSpaceDN w:val="0"/>
              <w:jc w:val="center"/>
              <w:rPr>
                <w:rFonts w:ascii="Times New Roman" w:hAnsi="Times New Roman" w:eastAsia="宋体" w:cs="Times New Roman"/>
                <w:color w:val="auto"/>
                <w:szCs w:val="21"/>
                <w:u w:val="single" w:color="auto"/>
              </w:rPr>
            </w:pPr>
          </w:p>
        </w:tc>
      </w:tr>
    </w:tbl>
    <w:p w14:paraId="2CF401F0">
      <w:pPr>
        <w:autoSpaceDE w:val="0"/>
        <w:autoSpaceDN w:val="0"/>
        <w:snapToGrid w:val="0"/>
        <w:spacing w:line="360" w:lineRule="auto"/>
        <w:rPr>
          <w:rFonts w:ascii="Times New Roman" w:hAnsi="Times New Roman" w:eastAsia="宋体" w:cs="Times New Roman"/>
          <w:color w:val="auto"/>
          <w:kern w:val="0"/>
          <w:sz w:val="24"/>
          <w:szCs w:val="24"/>
          <w:u w:val="none" w:color="auto"/>
        </w:rPr>
      </w:pPr>
    </w:p>
    <w:p w14:paraId="4161C924">
      <w:pPr>
        <w:autoSpaceDE w:val="0"/>
        <w:autoSpaceDN w:val="0"/>
        <w:rPr>
          <w:rFonts w:ascii="Times New Roman" w:hAnsi="Times New Roman" w:eastAsia="宋体" w:cs="Times New Roman"/>
          <w:color w:val="auto"/>
          <w:sz w:val="24"/>
          <w:szCs w:val="24"/>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4F20373">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00" w:name="_Toc3728300"/>
      <w:bookmarkStart w:id="301" w:name="_Toc530130490"/>
      <w:bookmarkStart w:id="302" w:name="_Toc1075"/>
      <w:r>
        <w:rPr>
          <w:rFonts w:hint="eastAsia" w:ascii="Times New Roman" w:hAnsi="Times New Roman" w:eastAsia="宋体" w:cs="Times New Roman"/>
          <w:b/>
          <w:color w:val="auto"/>
          <w:kern w:val="0"/>
          <w:sz w:val="32"/>
          <w:szCs w:val="32"/>
          <w:u w:val="none" w:color="auto"/>
        </w:rPr>
        <w:t>7</w:t>
      </w:r>
      <w:r>
        <w:rPr>
          <w:rFonts w:ascii="Times New Roman" w:hAnsi="Times New Roman" w:eastAsia="宋体" w:cs="Times New Roman"/>
          <w:b/>
          <w:color w:val="auto"/>
          <w:kern w:val="0"/>
          <w:sz w:val="32"/>
          <w:szCs w:val="32"/>
          <w:u w:val="none" w:color="auto"/>
        </w:rPr>
        <w:t>.3环境监测</w:t>
      </w:r>
      <w:bookmarkEnd w:id="300"/>
      <w:bookmarkEnd w:id="301"/>
      <w:bookmarkEnd w:id="302"/>
    </w:p>
    <w:p w14:paraId="5A1139BE">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03" w:name="_Toc3728301"/>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.3.1环境监测机构设置</w:t>
      </w:r>
      <w:bookmarkEnd w:id="303"/>
    </w:p>
    <w:p w14:paraId="268BEA9D">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（1）环境监测机构</w:t>
      </w:r>
    </w:p>
    <w:p w14:paraId="77500F2D">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委托有资质的环境监测部门实施监测。</w:t>
      </w:r>
    </w:p>
    <w:p w14:paraId="4CF737CF">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（2）职责和任务</w:t>
      </w:r>
    </w:p>
    <w:p w14:paraId="062946F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根据监测计划进行监测并编制监测报告。</w:t>
      </w:r>
    </w:p>
    <w:p w14:paraId="00E6435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04" w:name="_Toc3728302"/>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.3.2运营期环境日常监测计划</w:t>
      </w:r>
      <w:bookmarkEnd w:id="304"/>
    </w:p>
    <w:p w14:paraId="75E484A7">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1、环境监测计划</w:t>
      </w:r>
    </w:p>
    <w:p w14:paraId="0D78CF55">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为了有效地了解项目的排污情况和环境质量，及时报告有关管理单位和部门，确保建设项目运营期各项污染物的达标排放和职工的身体健康，建设单位要承担环境监测计划中日常监测任务，需成立监测室，配置必要的环境监测设备，因技术力量或仪器所限暂时难以实施监测的项目，委托有相关监测资质的单位进行监测。监测项目针对行业的生产特点、污染物排放特征及污染物测试手段的可靠性进行确定。 </w:t>
      </w:r>
    </w:p>
    <w:p w14:paraId="0CCF7BF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根据</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排污单位自行监测技术指南 涂装</w:t>
      </w:r>
      <w:r>
        <w:rPr>
          <w:rFonts w:ascii="Times New Roman" w:hAnsi="Times New Roman" w:eastAsia="宋体" w:cs="Times New Roman"/>
          <w:color w:val="auto"/>
          <w:kern w:val="0"/>
          <w:sz w:val="24"/>
          <w:szCs w:val="24"/>
          <w:u w:val="none" w:color="auto"/>
        </w:rPr>
        <w:t>》(HJ</w:t>
      </w:r>
      <w:r>
        <w:rPr>
          <w:rFonts w:hint="eastAsia" w:ascii="Times New Roman" w:hAnsi="Times New Roman" w:eastAsia="宋体" w:cs="Times New Roman"/>
          <w:color w:val="auto"/>
          <w:kern w:val="0"/>
          <w:sz w:val="24"/>
          <w:szCs w:val="24"/>
          <w:u w:val="none" w:color="auto"/>
        </w:rPr>
        <w:t>1086</w:t>
      </w:r>
      <w:r>
        <w:rPr>
          <w:rFonts w:ascii="Times New Roman" w:hAnsi="Times New Roman" w:eastAsia="宋体" w:cs="Times New Roman"/>
          <w:color w:val="auto"/>
          <w:kern w:val="0"/>
          <w:sz w:val="24"/>
          <w:szCs w:val="24"/>
          <w:u w:val="none" w:color="auto"/>
        </w:rPr>
        <w:t>-20</w:t>
      </w:r>
      <w:r>
        <w:rPr>
          <w:rFonts w:hint="eastAsia" w:ascii="Times New Roman" w:hAnsi="Times New Roman" w:eastAsia="宋体" w:cs="Times New Roman"/>
          <w:color w:val="auto"/>
          <w:kern w:val="0"/>
          <w:sz w:val="24"/>
          <w:szCs w:val="24"/>
          <w:u w:val="none" w:color="auto"/>
        </w:rPr>
        <w:t>20</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企业自行监测计划见表</w:t>
      </w:r>
      <w:r>
        <w:rPr>
          <w:rFonts w:hint="eastAsia" w:ascii="Times New Roman" w:hAnsi="Times New Roman" w:eastAsia="宋体" w:cs="Times New Roman"/>
          <w:color w:val="auto"/>
          <w:kern w:val="0"/>
          <w:sz w:val="24"/>
          <w:szCs w:val="24"/>
          <w:u w:val="none" w:color="auto"/>
        </w:rPr>
        <w:t>7</w:t>
      </w:r>
      <w:r>
        <w:rPr>
          <w:rFonts w:ascii="Times New Roman" w:hAnsi="Times New Roman" w:eastAsia="宋体" w:cs="Times New Roman"/>
          <w:color w:val="auto"/>
          <w:kern w:val="0"/>
          <w:sz w:val="24"/>
          <w:szCs w:val="24"/>
          <w:u w:val="none" w:color="auto"/>
        </w:rPr>
        <w:t>.3-1。</w:t>
      </w:r>
    </w:p>
    <w:p w14:paraId="7D2C7CFC">
      <w:pPr>
        <w:autoSpaceDE w:val="0"/>
        <w:autoSpaceDN w:val="0"/>
        <w:adjustRightInd w:val="0"/>
        <w:jc w:val="center"/>
        <w:rPr>
          <w:rFonts w:ascii="Times New Roman" w:hAnsi="Times New Roman" w:eastAsia="宋体" w:cs="Times New Roman"/>
          <w:b/>
          <w:bCs/>
          <w:color w:val="auto"/>
          <w:kern w:val="0"/>
          <w:szCs w:val="24"/>
          <w:u w:val="none" w:color="auto"/>
        </w:rPr>
      </w:pPr>
      <w:r>
        <w:rPr>
          <w:rFonts w:ascii="Times New Roman" w:hAnsi="Times New Roman" w:eastAsia="宋体" w:cs="Times New Roman"/>
          <w:b/>
          <w:bCs/>
          <w:color w:val="auto"/>
          <w:kern w:val="0"/>
          <w:szCs w:val="24"/>
          <w:u w:val="none" w:color="auto"/>
        </w:rPr>
        <w:t>表</w:t>
      </w:r>
      <w:r>
        <w:rPr>
          <w:rFonts w:hint="eastAsia" w:ascii="Times New Roman" w:hAnsi="Times New Roman" w:eastAsia="宋体" w:cs="Times New Roman"/>
          <w:b/>
          <w:bCs/>
          <w:color w:val="auto"/>
          <w:kern w:val="0"/>
          <w:szCs w:val="24"/>
          <w:u w:val="none" w:color="auto"/>
        </w:rPr>
        <w:t>7</w:t>
      </w:r>
      <w:r>
        <w:rPr>
          <w:rFonts w:ascii="Times New Roman" w:hAnsi="Times New Roman" w:eastAsia="宋体" w:cs="Times New Roman"/>
          <w:b/>
          <w:bCs/>
          <w:color w:val="auto"/>
          <w:kern w:val="0"/>
          <w:szCs w:val="24"/>
          <w:u w:val="none" w:color="auto"/>
        </w:rPr>
        <w:t>.3-1 日常监测计划一览表</w:t>
      </w:r>
    </w:p>
    <w:tbl>
      <w:tblPr>
        <w:tblStyle w:val="37"/>
        <w:tblW w:w="840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1" w:type="dxa"/>
          <w:bottom w:w="0" w:type="dxa"/>
          <w:right w:w="51" w:type="dxa"/>
        </w:tblCellMar>
      </w:tblPr>
      <w:tblGrid>
        <w:gridCol w:w="831"/>
        <w:gridCol w:w="1637"/>
        <w:gridCol w:w="2006"/>
        <w:gridCol w:w="2040"/>
        <w:gridCol w:w="1891"/>
      </w:tblGrid>
      <w:tr w14:paraId="3A659C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22" w:hRule="atLeast"/>
        </w:trPr>
        <w:tc>
          <w:tcPr>
            <w:tcW w:w="831" w:type="dxa"/>
            <w:tcBorders>
              <w:top w:val="single" w:color="000000" w:sz="4" w:space="0"/>
              <w:left w:val="single" w:color="000000" w:sz="4" w:space="0"/>
              <w:bottom w:val="single" w:color="000000" w:sz="4" w:space="0"/>
              <w:right w:val="single" w:color="000000" w:sz="4" w:space="0"/>
            </w:tcBorders>
            <w:vAlign w:val="center"/>
          </w:tcPr>
          <w:p w14:paraId="47BB6994">
            <w:pPr>
              <w:autoSpaceDE w:val="0"/>
              <w:autoSpaceDN w:val="0"/>
              <w:contextualSpacing/>
              <w:jc w:val="center"/>
              <w:rPr>
                <w:rFonts w:ascii="Times New Roman" w:hAnsi="Times New Roman" w:eastAsia="宋体" w:cs="Times New Roman"/>
                <w:b/>
                <w:color w:val="auto"/>
                <w:kern w:val="0"/>
                <w:szCs w:val="21"/>
                <w:u w:val="single" w:color="auto"/>
              </w:rPr>
            </w:pPr>
            <w:bookmarkStart w:id="305" w:name="_Toc3728303"/>
            <w:r>
              <w:rPr>
                <w:rFonts w:ascii="Times New Roman" w:hAnsi="Times New Roman" w:eastAsia="宋体" w:cs="Times New Roman"/>
                <w:b/>
                <w:color w:val="auto"/>
                <w:kern w:val="0"/>
                <w:szCs w:val="21"/>
                <w:u w:val="single" w:color="auto"/>
              </w:rPr>
              <w:t>类别</w:t>
            </w:r>
          </w:p>
        </w:tc>
        <w:tc>
          <w:tcPr>
            <w:tcW w:w="1637" w:type="dxa"/>
            <w:tcBorders>
              <w:top w:val="single" w:color="000000" w:sz="4" w:space="0"/>
              <w:left w:val="nil"/>
              <w:bottom w:val="single" w:color="000000" w:sz="4" w:space="0"/>
              <w:right w:val="single" w:color="auto" w:sz="4" w:space="0"/>
            </w:tcBorders>
            <w:vAlign w:val="center"/>
          </w:tcPr>
          <w:p w14:paraId="36454950">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监测点位</w:t>
            </w:r>
          </w:p>
        </w:tc>
        <w:tc>
          <w:tcPr>
            <w:tcW w:w="2006" w:type="dxa"/>
            <w:tcBorders>
              <w:top w:val="single" w:color="000000" w:sz="4" w:space="0"/>
              <w:left w:val="nil"/>
              <w:bottom w:val="single" w:color="000000" w:sz="4" w:space="0"/>
              <w:right w:val="single" w:color="auto" w:sz="4" w:space="0"/>
            </w:tcBorders>
            <w:vAlign w:val="center"/>
          </w:tcPr>
          <w:p w14:paraId="589106A3">
            <w:pPr>
              <w:autoSpaceDE w:val="0"/>
              <w:autoSpaceDN w:val="0"/>
              <w:contextualSpacing/>
              <w:jc w:val="center"/>
              <w:rPr>
                <w:color w:val="auto"/>
                <w:u w:val="single" w:color="auto"/>
              </w:rPr>
            </w:pPr>
            <w:r>
              <w:rPr>
                <w:rFonts w:ascii="Times New Roman" w:hAnsi="Times New Roman" w:eastAsia="宋体" w:cs="Times New Roman"/>
                <w:b/>
                <w:color w:val="auto"/>
                <w:kern w:val="0"/>
                <w:szCs w:val="21"/>
                <w:u w:val="single" w:color="auto"/>
              </w:rPr>
              <w:t>监测点位</w:t>
            </w:r>
          </w:p>
        </w:tc>
        <w:tc>
          <w:tcPr>
            <w:tcW w:w="2040" w:type="dxa"/>
            <w:tcBorders>
              <w:top w:val="single" w:color="000000" w:sz="4" w:space="0"/>
              <w:left w:val="single" w:color="auto" w:sz="4" w:space="0"/>
              <w:bottom w:val="single" w:color="000000" w:sz="4" w:space="0"/>
              <w:right w:val="single" w:color="000000" w:sz="4" w:space="0"/>
            </w:tcBorders>
            <w:vAlign w:val="center"/>
          </w:tcPr>
          <w:p w14:paraId="655A39D4">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监测项目</w:t>
            </w:r>
          </w:p>
        </w:tc>
        <w:tc>
          <w:tcPr>
            <w:tcW w:w="1891" w:type="dxa"/>
            <w:tcBorders>
              <w:top w:val="single" w:color="000000" w:sz="4" w:space="0"/>
              <w:left w:val="nil"/>
              <w:bottom w:val="single" w:color="000000" w:sz="4" w:space="0"/>
              <w:right w:val="single" w:color="000000" w:sz="4" w:space="0"/>
            </w:tcBorders>
            <w:vAlign w:val="center"/>
          </w:tcPr>
          <w:p w14:paraId="6294A4C3">
            <w:pPr>
              <w:autoSpaceDE w:val="0"/>
              <w:autoSpaceDN w:val="0"/>
              <w:contextualSpacing/>
              <w:jc w:val="center"/>
              <w:rPr>
                <w:rFonts w:ascii="Times New Roman" w:hAnsi="Times New Roman" w:eastAsia="宋体" w:cs="Times New Roman"/>
                <w:b/>
                <w:color w:val="auto"/>
                <w:kern w:val="0"/>
                <w:szCs w:val="21"/>
                <w:u w:val="single" w:color="auto"/>
              </w:rPr>
            </w:pPr>
            <w:r>
              <w:rPr>
                <w:rFonts w:ascii="Times New Roman" w:hAnsi="Times New Roman" w:eastAsia="宋体" w:cs="Times New Roman"/>
                <w:b/>
                <w:color w:val="auto"/>
                <w:kern w:val="0"/>
                <w:szCs w:val="21"/>
                <w:u w:val="single" w:color="auto"/>
              </w:rPr>
              <w:t>频次</w:t>
            </w:r>
          </w:p>
        </w:tc>
      </w:tr>
      <w:tr w14:paraId="13A22E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22" w:hRule="atLeast"/>
        </w:trPr>
        <w:tc>
          <w:tcPr>
            <w:tcW w:w="831" w:type="dxa"/>
            <w:vMerge w:val="restart"/>
            <w:tcBorders>
              <w:top w:val="single" w:color="000000" w:sz="4" w:space="0"/>
              <w:left w:val="single" w:color="000000" w:sz="4" w:space="0"/>
              <w:right w:val="single" w:color="000000" w:sz="4" w:space="0"/>
            </w:tcBorders>
            <w:vAlign w:val="center"/>
          </w:tcPr>
          <w:p w14:paraId="1212AF25">
            <w:pPr>
              <w:autoSpaceDE w:val="0"/>
              <w:autoSpaceDN w:val="0"/>
              <w:contextualSpacing/>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废气</w:t>
            </w:r>
          </w:p>
        </w:tc>
        <w:tc>
          <w:tcPr>
            <w:tcW w:w="1637" w:type="dxa"/>
            <w:tcBorders>
              <w:top w:val="single" w:color="000000" w:sz="4" w:space="0"/>
              <w:left w:val="nil"/>
              <w:bottom w:val="single" w:color="000000" w:sz="4" w:space="0"/>
              <w:right w:val="single" w:color="auto" w:sz="4" w:space="0"/>
            </w:tcBorders>
            <w:vAlign w:val="center"/>
          </w:tcPr>
          <w:p w14:paraId="0F6033CB">
            <w:pPr>
              <w:autoSpaceDE w:val="0"/>
              <w:autoSpaceDN w:val="0"/>
              <w:adjustRightInd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喷砂房有组织废气</w:t>
            </w:r>
          </w:p>
        </w:tc>
        <w:tc>
          <w:tcPr>
            <w:tcW w:w="2006" w:type="dxa"/>
            <w:tcBorders>
              <w:top w:val="single" w:color="000000" w:sz="4" w:space="0"/>
              <w:left w:val="nil"/>
              <w:bottom w:val="single" w:color="000000" w:sz="4" w:space="0"/>
              <w:right w:val="single" w:color="auto" w:sz="4" w:space="0"/>
            </w:tcBorders>
            <w:vAlign w:val="center"/>
          </w:tcPr>
          <w:p w14:paraId="496AC808">
            <w:pPr>
              <w:autoSpaceDE w:val="0"/>
              <w:autoSpaceDN w:val="0"/>
              <w:adjustRightInd w:val="0"/>
              <w:jc w:val="center"/>
              <w:rPr>
                <w:color w:val="auto"/>
                <w:u w:val="single" w:color="auto"/>
              </w:rPr>
            </w:pPr>
            <w:r>
              <w:rPr>
                <w:rFonts w:hint="eastAsia" w:ascii="Times New Roman" w:hAnsi="Times New Roman" w:eastAsia="宋体" w:cs="Times New Roman"/>
                <w:color w:val="auto"/>
                <w:kern w:val="0"/>
                <w:szCs w:val="21"/>
                <w:u w:val="single" w:color="auto"/>
                <w:lang w:eastAsia="zh-CN"/>
              </w:rPr>
              <w:t>30m</w:t>
            </w:r>
            <w:r>
              <w:rPr>
                <w:rFonts w:hint="eastAsia" w:ascii="Times New Roman" w:hAnsi="Times New Roman" w:eastAsia="宋体" w:cs="Times New Roman"/>
                <w:color w:val="auto"/>
                <w:kern w:val="0"/>
                <w:szCs w:val="21"/>
                <w:u w:val="single" w:color="auto"/>
                <w:lang w:val="en-US" w:eastAsia="zh-CN"/>
              </w:rPr>
              <w:t>DA001</w:t>
            </w:r>
            <w:r>
              <w:rPr>
                <w:rFonts w:ascii="Times New Roman" w:hAnsi="Times New Roman" w:eastAsia="宋体" w:cs="Times New Roman"/>
                <w:color w:val="auto"/>
                <w:kern w:val="0"/>
                <w:szCs w:val="21"/>
                <w:u w:val="single" w:color="auto"/>
              </w:rPr>
              <w:t>排气筒</w:t>
            </w:r>
          </w:p>
        </w:tc>
        <w:tc>
          <w:tcPr>
            <w:tcW w:w="2040" w:type="dxa"/>
            <w:tcBorders>
              <w:top w:val="single" w:color="000000" w:sz="4" w:space="0"/>
              <w:left w:val="single" w:color="auto" w:sz="4" w:space="0"/>
              <w:bottom w:val="single" w:color="auto" w:sz="4" w:space="0"/>
              <w:right w:val="single" w:color="000000" w:sz="4" w:space="0"/>
            </w:tcBorders>
            <w:vAlign w:val="center"/>
          </w:tcPr>
          <w:p w14:paraId="63AD9E28">
            <w:pPr>
              <w:autoSpaceDE w:val="0"/>
              <w:autoSpaceDN w:val="0"/>
              <w:jc w:val="center"/>
              <w:rPr>
                <w:rFonts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颗粒物</w:t>
            </w:r>
          </w:p>
        </w:tc>
        <w:tc>
          <w:tcPr>
            <w:tcW w:w="1891" w:type="dxa"/>
            <w:tcBorders>
              <w:top w:val="single" w:color="000000" w:sz="4" w:space="0"/>
              <w:left w:val="nil"/>
              <w:bottom w:val="single" w:color="auto" w:sz="4" w:space="0"/>
              <w:right w:val="single" w:color="000000" w:sz="4" w:space="0"/>
            </w:tcBorders>
            <w:vAlign w:val="center"/>
          </w:tcPr>
          <w:p w14:paraId="5BF993A3">
            <w:pPr>
              <w:autoSpaceDE w:val="0"/>
              <w:autoSpaceDN w:val="0"/>
              <w:contextualSpacing/>
              <w:jc w:val="center"/>
              <w:rPr>
                <w:rFonts w:hint="eastAsia"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rPr>
              <w:t>1</w:t>
            </w:r>
            <w:r>
              <w:rPr>
                <w:rFonts w:ascii="Times New Roman" w:hAnsi="Times New Roman" w:eastAsia="宋体" w:cs="Times New Roman"/>
                <w:color w:val="auto"/>
                <w:kern w:val="0"/>
                <w:szCs w:val="21"/>
                <w:u w:val="single" w:color="auto"/>
              </w:rPr>
              <w:t>次</w:t>
            </w:r>
            <w:r>
              <w:rPr>
                <w:rFonts w:hint="eastAsia" w:ascii="Times New Roman" w:hAnsi="Times New Roman" w:eastAsia="宋体" w:cs="Times New Roman"/>
                <w:color w:val="auto"/>
                <w:kern w:val="0"/>
                <w:szCs w:val="21"/>
                <w:u w:val="single" w:color="auto"/>
              </w:rPr>
              <w:t>/</w:t>
            </w:r>
            <w:r>
              <w:rPr>
                <w:rFonts w:hint="eastAsia" w:ascii="Times New Roman" w:hAnsi="Times New Roman" w:eastAsia="宋体" w:cs="Times New Roman"/>
                <w:color w:val="auto"/>
                <w:kern w:val="0"/>
                <w:szCs w:val="21"/>
                <w:u w:val="single" w:color="auto"/>
                <w:lang w:val="en-US" w:eastAsia="zh-CN"/>
              </w:rPr>
              <w:t>年</w:t>
            </w:r>
          </w:p>
        </w:tc>
      </w:tr>
      <w:tr w14:paraId="58AE4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22" w:hRule="atLeast"/>
        </w:trPr>
        <w:tc>
          <w:tcPr>
            <w:tcW w:w="831" w:type="dxa"/>
            <w:vMerge w:val="continue"/>
            <w:tcBorders>
              <w:left w:val="single" w:color="000000" w:sz="4" w:space="0"/>
              <w:right w:val="single" w:color="000000" w:sz="4" w:space="0"/>
            </w:tcBorders>
            <w:vAlign w:val="center"/>
          </w:tcPr>
          <w:p w14:paraId="22B67117">
            <w:pPr>
              <w:autoSpaceDE w:val="0"/>
              <w:autoSpaceDN w:val="0"/>
              <w:contextualSpacing/>
              <w:jc w:val="center"/>
              <w:rPr>
                <w:color w:val="auto"/>
                <w:u w:val="single" w:color="auto"/>
              </w:rPr>
            </w:pPr>
          </w:p>
        </w:tc>
        <w:tc>
          <w:tcPr>
            <w:tcW w:w="1637" w:type="dxa"/>
            <w:tcBorders>
              <w:top w:val="single" w:color="000000" w:sz="4" w:space="0"/>
              <w:left w:val="nil"/>
              <w:bottom w:val="single" w:color="000000" w:sz="4" w:space="0"/>
              <w:right w:val="single" w:color="auto" w:sz="4" w:space="0"/>
            </w:tcBorders>
            <w:vAlign w:val="center"/>
          </w:tcPr>
          <w:p w14:paraId="3FAB23F9">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eastAsia="zh-CN"/>
              </w:rPr>
              <w:t>涂装车间、危废暂存间</w:t>
            </w:r>
            <w:r>
              <w:rPr>
                <w:rFonts w:hint="eastAsia" w:ascii="Times New Roman" w:hAnsi="Times New Roman" w:eastAsia="宋体" w:cs="Times New Roman"/>
                <w:color w:val="auto"/>
                <w:kern w:val="0"/>
                <w:szCs w:val="21"/>
                <w:u w:val="single" w:color="auto"/>
              </w:rPr>
              <w:t>有组织废气</w:t>
            </w:r>
          </w:p>
        </w:tc>
        <w:tc>
          <w:tcPr>
            <w:tcW w:w="2006" w:type="dxa"/>
            <w:tcBorders>
              <w:top w:val="single" w:color="000000" w:sz="4" w:space="0"/>
              <w:left w:val="nil"/>
              <w:bottom w:val="single" w:color="000000" w:sz="4" w:space="0"/>
              <w:right w:val="single" w:color="auto" w:sz="4" w:space="0"/>
            </w:tcBorders>
            <w:vAlign w:val="center"/>
          </w:tcPr>
          <w:p w14:paraId="10D7A052">
            <w:pPr>
              <w:autoSpaceDE w:val="0"/>
              <w:autoSpaceDN w:val="0"/>
              <w:contextualSpacing/>
              <w:jc w:val="center"/>
              <w:rPr>
                <w:color w:val="auto"/>
                <w:u w:val="single" w:color="auto"/>
              </w:rPr>
            </w:pPr>
            <w:r>
              <w:rPr>
                <w:rFonts w:hint="eastAsia" w:ascii="Times New Roman" w:hAnsi="Times New Roman" w:eastAsia="宋体" w:cs="Times New Roman"/>
                <w:color w:val="auto"/>
                <w:kern w:val="0"/>
                <w:szCs w:val="21"/>
                <w:u w:val="single" w:color="auto"/>
                <w:lang w:eastAsia="zh-CN"/>
              </w:rPr>
              <w:t>30m</w:t>
            </w:r>
            <w:r>
              <w:rPr>
                <w:rFonts w:hint="eastAsia" w:ascii="Times New Roman" w:hAnsi="Times New Roman" w:eastAsia="宋体" w:cs="Times New Roman"/>
                <w:color w:val="auto"/>
                <w:kern w:val="0"/>
                <w:szCs w:val="21"/>
                <w:u w:val="single" w:color="auto"/>
                <w:lang w:val="en-US" w:eastAsia="zh-CN"/>
              </w:rPr>
              <w:t>DA002</w:t>
            </w:r>
            <w:r>
              <w:rPr>
                <w:rFonts w:ascii="Times New Roman" w:hAnsi="Times New Roman" w:eastAsia="宋体" w:cs="Times New Roman"/>
                <w:color w:val="auto"/>
                <w:kern w:val="0"/>
                <w:szCs w:val="21"/>
                <w:u w:val="single" w:color="auto"/>
              </w:rPr>
              <w:t>排气筒</w:t>
            </w:r>
          </w:p>
        </w:tc>
        <w:tc>
          <w:tcPr>
            <w:tcW w:w="2040" w:type="dxa"/>
            <w:tcBorders>
              <w:top w:val="single" w:color="auto" w:sz="4" w:space="0"/>
              <w:left w:val="single" w:color="auto" w:sz="4" w:space="0"/>
              <w:bottom w:val="single" w:color="auto" w:sz="4" w:space="0"/>
              <w:right w:val="single" w:color="000000" w:sz="4" w:space="0"/>
            </w:tcBorders>
            <w:vAlign w:val="center"/>
          </w:tcPr>
          <w:p w14:paraId="07489C4B">
            <w:pPr>
              <w:autoSpaceDE w:val="0"/>
              <w:autoSpaceDN w:val="0"/>
              <w:contextualSpacing/>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rPr>
              <w:t>颗粒物、甲苯、二甲苯、非甲烷总烃</w:t>
            </w:r>
            <w:r>
              <w:rPr>
                <w:rFonts w:hint="eastAsia" w:ascii="Times New Roman" w:hAnsi="Times New Roman" w:eastAsia="宋体" w:cs="Times New Roman"/>
                <w:color w:val="auto"/>
                <w:kern w:val="0"/>
                <w:szCs w:val="21"/>
                <w:u w:val="single" w:color="auto"/>
                <w:lang w:eastAsia="zh-CN"/>
              </w:rPr>
              <w:t>、</w:t>
            </w:r>
            <w:r>
              <w:rPr>
                <w:rFonts w:hint="eastAsia" w:ascii="Times New Roman" w:hAnsi="Times New Roman" w:eastAsia="宋体" w:cs="Times New Roman"/>
                <w:color w:val="auto"/>
                <w:kern w:val="0"/>
                <w:szCs w:val="21"/>
                <w:u w:val="single" w:color="auto"/>
                <w:lang w:val="en-US" w:eastAsia="zh-CN"/>
              </w:rPr>
              <w:t>臭气浓度</w:t>
            </w:r>
          </w:p>
        </w:tc>
        <w:tc>
          <w:tcPr>
            <w:tcW w:w="1891" w:type="dxa"/>
            <w:tcBorders>
              <w:top w:val="single" w:color="auto" w:sz="4" w:space="0"/>
              <w:left w:val="nil"/>
              <w:bottom w:val="single" w:color="auto" w:sz="4" w:space="0"/>
              <w:right w:val="single" w:color="000000" w:sz="4" w:space="0"/>
            </w:tcBorders>
            <w:vAlign w:val="center"/>
          </w:tcPr>
          <w:p w14:paraId="78EB7220">
            <w:pPr>
              <w:autoSpaceDE w:val="0"/>
              <w:autoSpaceDN w:val="0"/>
              <w:contextualSpacing/>
              <w:jc w:val="center"/>
              <w:rPr>
                <w:rFonts w:hint="eastAsia"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rPr>
              <w:t>1</w:t>
            </w:r>
            <w:r>
              <w:rPr>
                <w:rFonts w:ascii="Times New Roman" w:hAnsi="Times New Roman" w:eastAsia="宋体" w:cs="Times New Roman"/>
                <w:color w:val="auto"/>
                <w:kern w:val="0"/>
                <w:szCs w:val="21"/>
                <w:u w:val="single" w:color="auto"/>
              </w:rPr>
              <w:t>次</w:t>
            </w:r>
            <w:r>
              <w:rPr>
                <w:rFonts w:hint="eastAsia" w:ascii="Times New Roman" w:hAnsi="Times New Roman" w:eastAsia="宋体" w:cs="Times New Roman"/>
                <w:color w:val="auto"/>
                <w:kern w:val="0"/>
                <w:szCs w:val="21"/>
                <w:u w:val="single" w:color="auto"/>
              </w:rPr>
              <w:t>/</w:t>
            </w:r>
            <w:r>
              <w:rPr>
                <w:rFonts w:hint="eastAsia" w:ascii="Times New Roman" w:hAnsi="Times New Roman" w:eastAsia="宋体" w:cs="Times New Roman"/>
                <w:color w:val="auto"/>
                <w:kern w:val="0"/>
                <w:szCs w:val="21"/>
                <w:u w:val="single" w:color="auto"/>
                <w:lang w:val="en-US" w:eastAsia="zh-CN"/>
              </w:rPr>
              <w:t>年</w:t>
            </w:r>
          </w:p>
        </w:tc>
      </w:tr>
      <w:tr w14:paraId="6A81A6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07" w:hRule="atLeast"/>
        </w:trPr>
        <w:tc>
          <w:tcPr>
            <w:tcW w:w="831" w:type="dxa"/>
            <w:vMerge w:val="continue"/>
            <w:tcBorders>
              <w:left w:val="single" w:color="000000" w:sz="4" w:space="0"/>
              <w:bottom w:val="single" w:color="auto" w:sz="4" w:space="0"/>
              <w:right w:val="single" w:color="000000" w:sz="4" w:space="0"/>
            </w:tcBorders>
            <w:vAlign w:val="center"/>
          </w:tcPr>
          <w:p w14:paraId="51B2A863">
            <w:pPr>
              <w:autoSpaceDE w:val="0"/>
              <w:autoSpaceDN w:val="0"/>
              <w:contextualSpacing/>
              <w:jc w:val="center"/>
              <w:rPr>
                <w:rFonts w:ascii="Times New Roman" w:hAnsi="Times New Roman" w:eastAsia="宋体" w:cs="Times New Roman"/>
                <w:color w:val="auto"/>
                <w:kern w:val="0"/>
                <w:szCs w:val="21"/>
                <w:u w:val="single" w:color="auto"/>
              </w:rPr>
            </w:pPr>
          </w:p>
        </w:tc>
        <w:tc>
          <w:tcPr>
            <w:tcW w:w="1637" w:type="dxa"/>
            <w:vMerge w:val="restart"/>
            <w:tcBorders>
              <w:top w:val="single" w:color="000000" w:sz="4" w:space="0"/>
              <w:left w:val="nil"/>
              <w:right w:val="single" w:color="auto" w:sz="4" w:space="0"/>
            </w:tcBorders>
            <w:vAlign w:val="center"/>
          </w:tcPr>
          <w:p w14:paraId="7C8FA8E2">
            <w:pPr>
              <w:autoSpaceDE w:val="0"/>
              <w:autoSpaceDN w:val="0"/>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无组织废气</w:t>
            </w:r>
          </w:p>
        </w:tc>
        <w:tc>
          <w:tcPr>
            <w:tcW w:w="2006" w:type="dxa"/>
            <w:tcBorders>
              <w:top w:val="single" w:color="000000" w:sz="4" w:space="0"/>
              <w:left w:val="nil"/>
              <w:bottom w:val="single" w:color="000000" w:sz="4" w:space="0"/>
              <w:right w:val="single" w:color="auto" w:sz="4" w:space="0"/>
            </w:tcBorders>
            <w:vAlign w:val="center"/>
          </w:tcPr>
          <w:p w14:paraId="06F27620">
            <w:pPr>
              <w:autoSpaceDE w:val="0"/>
              <w:autoSpaceDN w:val="0"/>
              <w:jc w:val="center"/>
              <w:rPr>
                <w:color w:val="auto"/>
                <w:u w:val="single" w:color="auto"/>
              </w:rPr>
            </w:pPr>
            <w:r>
              <w:rPr>
                <w:rFonts w:ascii="Times New Roman" w:hAnsi="Times New Roman" w:eastAsia="宋体" w:cs="Times New Roman"/>
                <w:color w:val="auto"/>
                <w:kern w:val="0"/>
                <w:szCs w:val="21"/>
                <w:u w:val="single" w:color="auto"/>
              </w:rPr>
              <w:t>厂界</w:t>
            </w:r>
          </w:p>
        </w:tc>
        <w:tc>
          <w:tcPr>
            <w:tcW w:w="2040" w:type="dxa"/>
            <w:tcBorders>
              <w:top w:val="single" w:color="auto" w:sz="4" w:space="0"/>
              <w:left w:val="single" w:color="auto" w:sz="4" w:space="0"/>
              <w:bottom w:val="single" w:color="auto" w:sz="4" w:space="0"/>
              <w:right w:val="single" w:color="000000" w:sz="4" w:space="0"/>
            </w:tcBorders>
            <w:vAlign w:val="center"/>
          </w:tcPr>
          <w:p w14:paraId="4265A17F">
            <w:pPr>
              <w:autoSpaceDE w:val="0"/>
              <w:autoSpaceDN w:val="0"/>
              <w:contextualSpacing/>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rPr>
              <w:t>颗粒物、甲苯、二甲苯、非甲烷总烃</w:t>
            </w:r>
            <w:r>
              <w:rPr>
                <w:rFonts w:hint="eastAsia" w:ascii="Times New Roman" w:hAnsi="Times New Roman" w:eastAsia="宋体" w:cs="Times New Roman"/>
                <w:color w:val="auto"/>
                <w:kern w:val="0"/>
                <w:szCs w:val="21"/>
                <w:u w:val="single" w:color="auto"/>
                <w:lang w:eastAsia="zh-CN"/>
              </w:rPr>
              <w:t>、</w:t>
            </w:r>
            <w:r>
              <w:rPr>
                <w:rFonts w:hint="eastAsia" w:ascii="Times New Roman" w:hAnsi="Times New Roman" w:eastAsia="宋体" w:cs="Times New Roman"/>
                <w:color w:val="auto"/>
                <w:kern w:val="0"/>
                <w:szCs w:val="21"/>
                <w:u w:val="single" w:color="auto"/>
                <w:lang w:val="en-US" w:eastAsia="zh-CN"/>
              </w:rPr>
              <w:t>臭气浓度</w:t>
            </w:r>
          </w:p>
        </w:tc>
        <w:tc>
          <w:tcPr>
            <w:tcW w:w="1891" w:type="dxa"/>
            <w:tcBorders>
              <w:top w:val="single" w:color="auto" w:sz="4" w:space="0"/>
              <w:left w:val="nil"/>
              <w:bottom w:val="single" w:color="auto" w:sz="4" w:space="0"/>
              <w:right w:val="single" w:color="000000" w:sz="4" w:space="0"/>
            </w:tcBorders>
            <w:vAlign w:val="center"/>
          </w:tcPr>
          <w:p w14:paraId="255339A3">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1</w:t>
            </w:r>
            <w:r>
              <w:rPr>
                <w:rFonts w:ascii="Times New Roman" w:hAnsi="Times New Roman" w:eastAsia="宋体" w:cs="Times New Roman"/>
                <w:color w:val="auto"/>
                <w:kern w:val="0"/>
                <w:szCs w:val="21"/>
                <w:u w:val="single" w:color="auto"/>
              </w:rPr>
              <w:t>次</w:t>
            </w:r>
            <w:r>
              <w:rPr>
                <w:rFonts w:hint="eastAsia" w:ascii="Times New Roman" w:hAnsi="Times New Roman" w:eastAsia="宋体" w:cs="Times New Roman"/>
                <w:color w:val="auto"/>
                <w:kern w:val="0"/>
                <w:szCs w:val="21"/>
                <w:u w:val="single" w:color="auto"/>
              </w:rPr>
              <w:t>/半年</w:t>
            </w:r>
          </w:p>
        </w:tc>
      </w:tr>
      <w:tr w14:paraId="54C08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07" w:hRule="atLeast"/>
        </w:trPr>
        <w:tc>
          <w:tcPr>
            <w:tcW w:w="831" w:type="dxa"/>
            <w:vMerge w:val="continue"/>
            <w:tcBorders>
              <w:left w:val="single" w:color="000000" w:sz="4" w:space="0"/>
              <w:bottom w:val="single" w:color="auto" w:sz="4" w:space="0"/>
              <w:right w:val="single" w:color="000000" w:sz="4" w:space="0"/>
            </w:tcBorders>
            <w:vAlign w:val="center"/>
          </w:tcPr>
          <w:p w14:paraId="299DB2C3">
            <w:pPr>
              <w:autoSpaceDE w:val="0"/>
              <w:autoSpaceDN w:val="0"/>
              <w:contextualSpacing/>
              <w:jc w:val="center"/>
              <w:rPr>
                <w:color w:val="auto"/>
                <w:u w:val="single" w:color="auto"/>
              </w:rPr>
            </w:pPr>
          </w:p>
        </w:tc>
        <w:tc>
          <w:tcPr>
            <w:tcW w:w="1637" w:type="dxa"/>
            <w:vMerge w:val="continue"/>
            <w:tcBorders>
              <w:left w:val="nil"/>
              <w:bottom w:val="single" w:color="auto" w:sz="4" w:space="0"/>
              <w:right w:val="single" w:color="auto" w:sz="4" w:space="0"/>
            </w:tcBorders>
            <w:vAlign w:val="center"/>
          </w:tcPr>
          <w:p w14:paraId="7D73A359">
            <w:pPr>
              <w:autoSpaceDE w:val="0"/>
              <w:autoSpaceDN w:val="0"/>
              <w:contextualSpacing/>
              <w:jc w:val="center"/>
              <w:rPr>
                <w:color w:val="auto"/>
                <w:u w:val="single" w:color="auto"/>
              </w:rPr>
            </w:pPr>
          </w:p>
        </w:tc>
        <w:tc>
          <w:tcPr>
            <w:tcW w:w="2006" w:type="dxa"/>
            <w:tcBorders>
              <w:top w:val="single" w:color="000000" w:sz="4" w:space="0"/>
              <w:left w:val="nil"/>
              <w:bottom w:val="single" w:color="000000" w:sz="4" w:space="0"/>
              <w:right w:val="single" w:color="auto" w:sz="4" w:space="0"/>
            </w:tcBorders>
            <w:vAlign w:val="center"/>
          </w:tcPr>
          <w:p w14:paraId="2E04CE86">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lang w:eastAsia="zh-CN"/>
              </w:rPr>
              <w:t>涂装车间</w:t>
            </w:r>
            <w:r>
              <w:rPr>
                <w:rFonts w:hint="eastAsia" w:ascii="Times New Roman" w:hAnsi="Times New Roman" w:eastAsia="宋体" w:cs="Times New Roman"/>
                <w:color w:val="auto"/>
                <w:kern w:val="0"/>
                <w:szCs w:val="21"/>
                <w:u w:val="single" w:color="auto"/>
              </w:rPr>
              <w:t>旁</w:t>
            </w:r>
          </w:p>
        </w:tc>
        <w:tc>
          <w:tcPr>
            <w:tcW w:w="2040" w:type="dxa"/>
            <w:tcBorders>
              <w:top w:val="single" w:color="auto" w:sz="4" w:space="0"/>
              <w:left w:val="single" w:color="auto" w:sz="4" w:space="0"/>
              <w:bottom w:val="single" w:color="auto" w:sz="4" w:space="0"/>
              <w:right w:val="single" w:color="000000" w:sz="4" w:space="0"/>
            </w:tcBorders>
            <w:vAlign w:val="center"/>
          </w:tcPr>
          <w:p w14:paraId="65CFFF3C">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非甲烷总烃</w:t>
            </w:r>
          </w:p>
        </w:tc>
        <w:tc>
          <w:tcPr>
            <w:tcW w:w="1891" w:type="dxa"/>
            <w:tcBorders>
              <w:top w:val="single" w:color="auto" w:sz="4" w:space="0"/>
              <w:left w:val="nil"/>
              <w:bottom w:val="single" w:color="auto" w:sz="4" w:space="0"/>
              <w:right w:val="single" w:color="000000" w:sz="4" w:space="0"/>
            </w:tcBorders>
            <w:vAlign w:val="center"/>
          </w:tcPr>
          <w:p w14:paraId="3795B639">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1</w:t>
            </w:r>
            <w:r>
              <w:rPr>
                <w:rFonts w:ascii="Times New Roman" w:hAnsi="Times New Roman" w:eastAsia="宋体" w:cs="Times New Roman"/>
                <w:color w:val="auto"/>
                <w:kern w:val="0"/>
                <w:szCs w:val="21"/>
                <w:u w:val="single" w:color="auto"/>
              </w:rPr>
              <w:t>次</w:t>
            </w:r>
            <w:r>
              <w:rPr>
                <w:rFonts w:hint="eastAsia" w:ascii="Times New Roman" w:hAnsi="Times New Roman" w:eastAsia="宋体" w:cs="Times New Roman"/>
                <w:color w:val="auto"/>
                <w:kern w:val="0"/>
                <w:szCs w:val="21"/>
                <w:u w:val="single" w:color="auto"/>
              </w:rPr>
              <w:t>/季</w:t>
            </w:r>
          </w:p>
        </w:tc>
      </w:tr>
      <w:tr w14:paraId="2BB449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307" w:hRule="atLeast"/>
        </w:trPr>
        <w:tc>
          <w:tcPr>
            <w:tcW w:w="2468" w:type="dxa"/>
            <w:gridSpan w:val="2"/>
            <w:tcBorders>
              <w:left w:val="single" w:color="000000" w:sz="4" w:space="0"/>
              <w:bottom w:val="single" w:color="auto" w:sz="4" w:space="0"/>
              <w:right w:val="single" w:color="auto" w:sz="4" w:space="0"/>
            </w:tcBorders>
            <w:vAlign w:val="center"/>
          </w:tcPr>
          <w:p w14:paraId="684044FA">
            <w:pPr>
              <w:autoSpaceDE w:val="0"/>
              <w:autoSpaceDN w:val="0"/>
              <w:contextualSpacing/>
              <w:jc w:val="center"/>
              <w:rPr>
                <w:rFonts w:hint="eastAsia" w:ascii="宋体" w:hAnsi="宋体" w:eastAsia="宋体" w:cs="宋体"/>
                <w:color w:val="auto"/>
                <w:u w:val="single" w:color="auto"/>
                <w:lang w:val="en-US" w:eastAsia="zh-CN"/>
              </w:rPr>
            </w:pPr>
            <w:r>
              <w:rPr>
                <w:rFonts w:hint="eastAsia" w:ascii="宋体" w:hAnsi="宋体" w:eastAsia="宋体" w:cs="宋体"/>
                <w:color w:val="auto"/>
                <w:u w:val="single" w:color="auto"/>
                <w:lang w:val="en-US" w:eastAsia="zh-CN"/>
              </w:rPr>
              <w:t>雨水</w:t>
            </w:r>
          </w:p>
        </w:tc>
        <w:tc>
          <w:tcPr>
            <w:tcW w:w="2006" w:type="dxa"/>
            <w:tcBorders>
              <w:top w:val="single" w:color="000000" w:sz="4" w:space="0"/>
              <w:left w:val="nil"/>
              <w:bottom w:val="single" w:color="000000" w:sz="4" w:space="0"/>
              <w:right w:val="single" w:color="auto" w:sz="4" w:space="0"/>
            </w:tcBorders>
            <w:vAlign w:val="center"/>
          </w:tcPr>
          <w:p w14:paraId="54582F33">
            <w:pPr>
              <w:autoSpaceDE w:val="0"/>
              <w:autoSpaceDN w:val="0"/>
              <w:contextualSpacing/>
              <w:jc w:val="center"/>
              <w:rPr>
                <w:rFonts w:hint="eastAsia" w:ascii="宋体" w:hAnsi="宋体" w:eastAsia="宋体" w:cs="宋体"/>
                <w:color w:val="auto"/>
                <w:kern w:val="0"/>
                <w:szCs w:val="21"/>
                <w:u w:val="single" w:color="auto"/>
                <w:lang w:val="en-US" w:eastAsia="zh-CN"/>
              </w:rPr>
            </w:pPr>
            <w:r>
              <w:rPr>
                <w:rFonts w:hint="eastAsia" w:ascii="宋体" w:hAnsi="宋体" w:eastAsia="宋体" w:cs="宋体"/>
                <w:color w:val="auto"/>
                <w:kern w:val="0"/>
                <w:szCs w:val="21"/>
                <w:u w:val="single" w:color="auto"/>
                <w:lang w:val="en-US" w:eastAsia="zh-CN"/>
              </w:rPr>
              <w:t>雨水排放口</w:t>
            </w:r>
          </w:p>
        </w:tc>
        <w:tc>
          <w:tcPr>
            <w:tcW w:w="2040" w:type="dxa"/>
            <w:tcBorders>
              <w:top w:val="single" w:color="auto" w:sz="4" w:space="0"/>
              <w:left w:val="single" w:color="auto" w:sz="4" w:space="0"/>
              <w:bottom w:val="single" w:color="auto" w:sz="4" w:space="0"/>
              <w:right w:val="single" w:color="000000" w:sz="4" w:space="0"/>
            </w:tcBorders>
            <w:vAlign w:val="center"/>
          </w:tcPr>
          <w:p w14:paraId="52618A72">
            <w:pPr>
              <w:autoSpaceDE w:val="0"/>
              <w:autoSpaceDN w:val="0"/>
              <w:contextualSpacing/>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Ph、COD、SS</w:t>
            </w:r>
          </w:p>
        </w:tc>
        <w:tc>
          <w:tcPr>
            <w:tcW w:w="1891" w:type="dxa"/>
            <w:tcBorders>
              <w:top w:val="single" w:color="auto" w:sz="4" w:space="0"/>
              <w:left w:val="nil"/>
              <w:bottom w:val="single" w:color="auto" w:sz="4" w:space="0"/>
              <w:right w:val="single" w:color="000000" w:sz="4" w:space="0"/>
            </w:tcBorders>
            <w:vAlign w:val="center"/>
          </w:tcPr>
          <w:p w14:paraId="5E87835E">
            <w:pPr>
              <w:autoSpaceDE w:val="0"/>
              <w:autoSpaceDN w:val="0"/>
              <w:contextualSpacing/>
              <w:jc w:val="center"/>
              <w:rPr>
                <w:rFonts w:hint="default" w:ascii="Times New Roman" w:hAnsi="Times New Roman" w:eastAsia="宋体" w:cs="Times New Roman"/>
                <w:color w:val="auto"/>
                <w:kern w:val="0"/>
                <w:szCs w:val="21"/>
                <w:u w:val="single" w:color="auto"/>
                <w:lang w:val="en-US" w:eastAsia="zh-CN"/>
              </w:rPr>
            </w:pPr>
            <w:r>
              <w:rPr>
                <w:rFonts w:hint="eastAsia" w:ascii="Times New Roman" w:hAnsi="Times New Roman" w:eastAsia="宋体" w:cs="Times New Roman"/>
                <w:color w:val="auto"/>
                <w:kern w:val="0"/>
                <w:szCs w:val="21"/>
                <w:u w:val="single" w:color="auto"/>
                <w:lang w:val="en-US" w:eastAsia="zh-CN"/>
              </w:rPr>
              <w:t>1次/月</w:t>
            </w:r>
          </w:p>
        </w:tc>
      </w:tr>
      <w:tr w14:paraId="60869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519" w:hRule="atLeast"/>
        </w:trPr>
        <w:tc>
          <w:tcPr>
            <w:tcW w:w="2468" w:type="dxa"/>
            <w:gridSpan w:val="2"/>
            <w:tcBorders>
              <w:top w:val="single" w:color="000000" w:sz="4" w:space="0"/>
              <w:left w:val="single" w:color="000000" w:sz="4" w:space="0"/>
              <w:bottom w:val="single" w:color="000000" w:sz="4" w:space="0"/>
              <w:right w:val="single" w:color="auto" w:sz="4" w:space="0"/>
            </w:tcBorders>
            <w:vAlign w:val="center"/>
          </w:tcPr>
          <w:p w14:paraId="091A1878">
            <w:pPr>
              <w:autoSpaceDE w:val="0"/>
              <w:autoSpaceDN w:val="0"/>
              <w:contextualSpacing/>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噪声</w:t>
            </w:r>
          </w:p>
        </w:tc>
        <w:tc>
          <w:tcPr>
            <w:tcW w:w="2006" w:type="dxa"/>
            <w:tcBorders>
              <w:top w:val="single" w:color="000000" w:sz="4" w:space="0"/>
              <w:left w:val="nil"/>
              <w:bottom w:val="single" w:color="000000" w:sz="4" w:space="0"/>
              <w:right w:val="single" w:color="auto" w:sz="4" w:space="0"/>
            </w:tcBorders>
            <w:vAlign w:val="center"/>
          </w:tcPr>
          <w:p w14:paraId="51CE2BB2">
            <w:pPr>
              <w:autoSpaceDE w:val="0"/>
              <w:autoSpaceDN w:val="0"/>
              <w:jc w:val="center"/>
              <w:rPr>
                <w:color w:val="auto"/>
                <w:u w:val="single" w:color="auto"/>
              </w:rPr>
            </w:pPr>
            <w:r>
              <w:rPr>
                <w:rFonts w:ascii="Times New Roman" w:hAnsi="Times New Roman" w:eastAsia="宋体" w:cs="Times New Roman"/>
                <w:color w:val="auto"/>
                <w:kern w:val="0"/>
                <w:szCs w:val="21"/>
                <w:u w:val="single" w:color="auto"/>
              </w:rPr>
              <w:t>厂界四周</w:t>
            </w:r>
          </w:p>
        </w:tc>
        <w:tc>
          <w:tcPr>
            <w:tcW w:w="2040" w:type="dxa"/>
            <w:tcBorders>
              <w:top w:val="single" w:color="000000" w:sz="4" w:space="0"/>
              <w:left w:val="single" w:color="auto" w:sz="4" w:space="0"/>
              <w:bottom w:val="single" w:color="000000" w:sz="4" w:space="0"/>
              <w:right w:val="single" w:color="000000" w:sz="4" w:space="0"/>
            </w:tcBorders>
            <w:vAlign w:val="center"/>
          </w:tcPr>
          <w:p w14:paraId="12180ED9">
            <w:pPr>
              <w:autoSpaceDE w:val="0"/>
              <w:autoSpaceDN w:val="0"/>
              <w:contextualSpacing/>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等效连续A声级</w:t>
            </w:r>
          </w:p>
        </w:tc>
        <w:tc>
          <w:tcPr>
            <w:tcW w:w="1891" w:type="dxa"/>
            <w:tcBorders>
              <w:top w:val="single" w:color="000000" w:sz="4" w:space="0"/>
              <w:left w:val="nil"/>
              <w:bottom w:val="single" w:color="000000" w:sz="4" w:space="0"/>
              <w:right w:val="single" w:color="000000" w:sz="4" w:space="0"/>
            </w:tcBorders>
            <w:vAlign w:val="center"/>
          </w:tcPr>
          <w:p w14:paraId="08D3422B">
            <w:pPr>
              <w:autoSpaceDE w:val="0"/>
              <w:autoSpaceDN w:val="0"/>
              <w:contextualSpacing/>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1次/季</w:t>
            </w:r>
          </w:p>
        </w:tc>
      </w:tr>
      <w:tr w14:paraId="472F72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567" w:hRule="atLeast"/>
        </w:trPr>
        <w:tc>
          <w:tcPr>
            <w:tcW w:w="2468" w:type="dxa"/>
            <w:gridSpan w:val="2"/>
            <w:tcBorders>
              <w:top w:val="single" w:color="000000" w:sz="4" w:space="0"/>
              <w:left w:val="single" w:color="000000" w:sz="4" w:space="0"/>
              <w:bottom w:val="single" w:color="000000" w:sz="4" w:space="0"/>
              <w:right w:val="single" w:color="auto" w:sz="4" w:space="0"/>
            </w:tcBorders>
            <w:vAlign w:val="center"/>
          </w:tcPr>
          <w:p w14:paraId="6853A5E5">
            <w:pPr>
              <w:autoSpaceDE w:val="0"/>
              <w:autoSpaceDN w:val="0"/>
              <w:jc w:val="center"/>
              <w:rPr>
                <w:rFonts w:hint="default" w:ascii="Times New Roman" w:hAnsi="Times New Roman" w:eastAsia="宋体" w:cs="Times New Roman"/>
                <w:color w:val="auto"/>
                <w:kern w:val="0"/>
                <w:szCs w:val="21"/>
                <w:highlight w:val="red"/>
                <w:u w:val="single" w:color="auto"/>
              </w:rPr>
            </w:pPr>
            <w:r>
              <w:rPr>
                <w:rFonts w:hint="default" w:ascii="Times New Roman" w:hAnsi="Times New Roman" w:eastAsia="宋体" w:cs="Times New Roman"/>
                <w:color w:val="auto"/>
                <w:kern w:val="0"/>
                <w:szCs w:val="21"/>
                <w:u w:val="single" w:color="auto"/>
              </w:rPr>
              <w:t>土壤</w:t>
            </w:r>
          </w:p>
        </w:tc>
        <w:tc>
          <w:tcPr>
            <w:tcW w:w="2006" w:type="dxa"/>
            <w:tcBorders>
              <w:top w:val="single" w:color="000000" w:sz="4" w:space="0"/>
              <w:left w:val="nil"/>
              <w:bottom w:val="single" w:color="000000" w:sz="4" w:space="0"/>
              <w:right w:val="single" w:color="auto" w:sz="4" w:space="0"/>
            </w:tcBorders>
            <w:vAlign w:val="center"/>
          </w:tcPr>
          <w:p w14:paraId="744B5249">
            <w:pPr>
              <w:autoSpaceDE w:val="0"/>
              <w:autoSpaceDN w:val="0"/>
              <w:jc w:val="center"/>
              <w:rPr>
                <w:rFonts w:hint="default" w:ascii="Times New Roman" w:hAnsi="Times New Roman" w:eastAsia="宋体" w:cs="Times New Roman"/>
                <w:color w:val="auto"/>
                <w:u w:val="single" w:color="auto"/>
                <w:lang w:val="en-US" w:eastAsia="zh-CN"/>
              </w:rPr>
            </w:pPr>
            <w:r>
              <w:rPr>
                <w:rFonts w:hint="default" w:ascii="Times New Roman" w:hAnsi="Times New Roman" w:eastAsia="宋体" w:cs="Times New Roman"/>
                <w:color w:val="auto"/>
                <w:kern w:val="0"/>
                <w:szCs w:val="21"/>
                <w:u w:val="single" w:color="auto"/>
              </w:rPr>
              <w:t>厂区外南侧空地</w:t>
            </w:r>
            <w:r>
              <w:rPr>
                <w:rFonts w:hint="default" w:ascii="Times New Roman" w:hAnsi="Times New Roman" w:eastAsia="宋体" w:cs="Times New Roman"/>
                <w:color w:val="auto"/>
                <w:kern w:val="0"/>
                <w:szCs w:val="21"/>
                <w:u w:val="single" w:color="auto"/>
                <w:lang w:val="en-US" w:eastAsia="zh-CN"/>
              </w:rPr>
              <w:t>S6</w:t>
            </w:r>
          </w:p>
        </w:tc>
        <w:tc>
          <w:tcPr>
            <w:tcW w:w="2040" w:type="dxa"/>
            <w:tcBorders>
              <w:top w:val="single" w:color="000000" w:sz="4" w:space="0"/>
              <w:left w:val="single" w:color="auto" w:sz="4" w:space="0"/>
              <w:bottom w:val="single" w:color="000000" w:sz="4" w:space="0"/>
              <w:right w:val="single" w:color="000000" w:sz="4" w:space="0"/>
            </w:tcBorders>
            <w:vAlign w:val="center"/>
          </w:tcPr>
          <w:p w14:paraId="0B37F7F6">
            <w:pPr>
              <w:autoSpaceDE w:val="0"/>
              <w:autoSpaceDN w:val="0"/>
              <w:contextualSpacing/>
              <w:jc w:val="center"/>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kern w:val="0"/>
                <w:szCs w:val="21"/>
                <w:u w:val="single" w:color="auto"/>
              </w:rPr>
              <w:t>甲苯、邻二甲苯、间二甲苯+对二甲苯</w:t>
            </w:r>
          </w:p>
        </w:tc>
        <w:tc>
          <w:tcPr>
            <w:tcW w:w="1891" w:type="dxa"/>
            <w:tcBorders>
              <w:top w:val="single" w:color="000000" w:sz="4" w:space="0"/>
              <w:left w:val="nil"/>
              <w:bottom w:val="single" w:color="000000" w:sz="4" w:space="0"/>
              <w:right w:val="single" w:color="000000" w:sz="4" w:space="0"/>
            </w:tcBorders>
            <w:vAlign w:val="center"/>
          </w:tcPr>
          <w:p w14:paraId="712AC52A">
            <w:pPr>
              <w:autoSpaceDE w:val="0"/>
              <w:autoSpaceDN w:val="0"/>
              <w:contextualSpacing/>
              <w:jc w:val="center"/>
              <w:rPr>
                <w:rFonts w:ascii="Times New Roman" w:hAnsi="Times New Roman" w:eastAsia="宋体" w:cs="Times New Roman"/>
                <w:color w:val="auto"/>
                <w:kern w:val="0"/>
                <w:szCs w:val="21"/>
                <w:u w:val="single" w:color="auto"/>
              </w:rPr>
            </w:pPr>
            <w:r>
              <w:rPr>
                <w:rFonts w:ascii="Times New Roman" w:hAnsi="Times New Roman" w:eastAsia="宋体" w:cs="Times New Roman"/>
                <w:color w:val="auto"/>
                <w:kern w:val="0"/>
                <w:szCs w:val="21"/>
                <w:u w:val="single" w:color="auto"/>
              </w:rPr>
              <w:t>1次/</w:t>
            </w:r>
            <w:r>
              <w:rPr>
                <w:rFonts w:hint="eastAsia" w:ascii="Times New Roman" w:hAnsi="Times New Roman" w:eastAsia="宋体" w:cs="Times New Roman"/>
                <w:color w:val="auto"/>
                <w:kern w:val="0"/>
                <w:szCs w:val="21"/>
                <w:u w:val="single" w:color="auto"/>
              </w:rPr>
              <w:t>5年</w:t>
            </w:r>
          </w:p>
        </w:tc>
      </w:tr>
      <w:tr w14:paraId="02BAFA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1" w:type="dxa"/>
            <w:bottom w:w="0" w:type="dxa"/>
            <w:right w:w="51" w:type="dxa"/>
          </w:tblCellMar>
        </w:tblPrEx>
        <w:trPr>
          <w:trHeight w:val="661" w:hRule="atLeast"/>
        </w:trPr>
        <w:tc>
          <w:tcPr>
            <w:tcW w:w="2468" w:type="dxa"/>
            <w:gridSpan w:val="2"/>
            <w:tcBorders>
              <w:top w:val="single" w:color="000000" w:sz="4" w:space="0"/>
              <w:left w:val="single" w:color="000000" w:sz="4" w:space="0"/>
              <w:bottom w:val="single" w:color="000000" w:sz="4" w:space="0"/>
              <w:right w:val="single" w:color="auto" w:sz="4" w:space="0"/>
            </w:tcBorders>
            <w:vAlign w:val="center"/>
          </w:tcPr>
          <w:p w14:paraId="73302E92">
            <w:pPr>
              <w:autoSpaceDE w:val="0"/>
              <w:autoSpaceDN w:val="0"/>
              <w:jc w:val="center"/>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kern w:val="0"/>
                <w:szCs w:val="21"/>
                <w:u w:val="single" w:color="auto"/>
              </w:rPr>
              <w:t>地下水</w:t>
            </w:r>
          </w:p>
        </w:tc>
        <w:tc>
          <w:tcPr>
            <w:tcW w:w="2006" w:type="dxa"/>
            <w:tcBorders>
              <w:top w:val="single" w:color="000000" w:sz="4" w:space="0"/>
              <w:left w:val="nil"/>
              <w:bottom w:val="single" w:color="000000" w:sz="4" w:space="0"/>
              <w:right w:val="single" w:color="auto" w:sz="4" w:space="0"/>
            </w:tcBorders>
            <w:vAlign w:val="center"/>
          </w:tcPr>
          <w:p w14:paraId="5F994345">
            <w:pPr>
              <w:autoSpaceDE w:val="0"/>
              <w:autoSpaceDN w:val="0"/>
              <w:jc w:val="center"/>
              <w:rPr>
                <w:rFonts w:hint="default" w:ascii="Times New Roman" w:hAnsi="Times New Roman" w:cs="Times New Roman" w:eastAsiaTheme="minorEastAsia"/>
                <w:color w:val="auto"/>
                <w:kern w:val="0"/>
                <w:szCs w:val="21"/>
                <w:u w:val="single" w:color="auto"/>
                <w:lang w:val="en-US" w:eastAsia="zh-CN"/>
              </w:rPr>
            </w:pPr>
            <w:r>
              <w:rPr>
                <w:rFonts w:hint="default" w:ascii="Times New Roman" w:hAnsi="Times New Roman" w:eastAsia="宋体" w:cs="Times New Roman"/>
                <w:color w:val="auto"/>
                <w:kern w:val="0"/>
                <w:szCs w:val="21"/>
                <w:u w:val="single" w:color="auto"/>
              </w:rPr>
              <w:t>厂区下游水井</w:t>
            </w:r>
            <w:r>
              <w:rPr>
                <w:rFonts w:hint="default" w:ascii="Times New Roman" w:hAnsi="Times New Roman" w:cs="Times New Roman"/>
                <w:color w:val="auto"/>
                <w:u w:val="single" w:color="auto"/>
                <w:lang w:val="en-US" w:eastAsia="zh-CN"/>
              </w:rPr>
              <w:t>U3</w:t>
            </w:r>
            <w:r>
              <w:rPr>
                <w:rFonts w:hint="eastAsia" w:ascii="Times New Roman" w:hAnsi="Times New Roman" w:eastAsia="宋体" w:cs="Times New Roman"/>
                <w:color w:val="auto"/>
                <w:spacing w:val="-2"/>
                <w:sz w:val="21"/>
                <w:szCs w:val="21"/>
                <w:highlight w:val="none"/>
                <w:u w:val="single" w:color="auto"/>
                <w:lang w:val="en-US" w:eastAsia="zh-CN"/>
              </w:rPr>
              <w:t>（21.720591°N，108.645798°E）</w:t>
            </w:r>
          </w:p>
        </w:tc>
        <w:tc>
          <w:tcPr>
            <w:tcW w:w="2040" w:type="dxa"/>
            <w:tcBorders>
              <w:top w:val="single" w:color="000000" w:sz="4" w:space="0"/>
              <w:left w:val="single" w:color="auto" w:sz="4" w:space="0"/>
              <w:bottom w:val="single" w:color="000000" w:sz="4" w:space="0"/>
              <w:right w:val="single" w:color="000000" w:sz="4" w:space="0"/>
            </w:tcBorders>
            <w:vAlign w:val="center"/>
          </w:tcPr>
          <w:p w14:paraId="6AEB280A">
            <w:pPr>
              <w:autoSpaceDE w:val="0"/>
              <w:autoSpaceDN w:val="0"/>
              <w:contextualSpacing/>
              <w:jc w:val="center"/>
              <w:rPr>
                <w:rFonts w:hint="default" w:ascii="Times New Roman" w:hAnsi="Times New Roman" w:eastAsia="宋体" w:cs="Times New Roman"/>
                <w:color w:val="auto"/>
                <w:kern w:val="0"/>
                <w:szCs w:val="21"/>
                <w:u w:val="single" w:color="auto"/>
              </w:rPr>
            </w:pPr>
            <w:r>
              <w:rPr>
                <w:rFonts w:hint="default" w:ascii="Times New Roman" w:hAnsi="Times New Roman" w:eastAsia="宋体" w:cs="Times New Roman"/>
                <w:color w:val="auto"/>
                <w:kern w:val="0"/>
                <w:szCs w:val="21"/>
                <w:u w:val="single" w:color="auto"/>
              </w:rPr>
              <w:t>水位、pH、耗氧量、氨氮、甲苯、二甲苯、铁、锰</w:t>
            </w:r>
          </w:p>
        </w:tc>
        <w:tc>
          <w:tcPr>
            <w:tcW w:w="1891" w:type="dxa"/>
            <w:tcBorders>
              <w:top w:val="single" w:color="000000" w:sz="4" w:space="0"/>
              <w:left w:val="nil"/>
              <w:bottom w:val="single" w:color="000000" w:sz="4" w:space="0"/>
              <w:right w:val="single" w:color="000000" w:sz="4" w:space="0"/>
            </w:tcBorders>
            <w:vAlign w:val="center"/>
          </w:tcPr>
          <w:p w14:paraId="42C17D20">
            <w:pPr>
              <w:autoSpaceDE w:val="0"/>
              <w:autoSpaceDN w:val="0"/>
              <w:contextualSpacing/>
              <w:jc w:val="center"/>
              <w:rPr>
                <w:rFonts w:ascii="Times New Roman" w:hAnsi="Times New Roman" w:eastAsia="宋体" w:cs="Times New Roman"/>
                <w:color w:val="auto"/>
                <w:kern w:val="0"/>
                <w:szCs w:val="21"/>
                <w:u w:val="single" w:color="auto"/>
              </w:rPr>
            </w:pPr>
            <w:r>
              <w:rPr>
                <w:rFonts w:hint="eastAsia" w:ascii="Times New Roman" w:hAnsi="Times New Roman" w:eastAsia="宋体" w:cs="Times New Roman"/>
                <w:color w:val="auto"/>
                <w:kern w:val="0"/>
                <w:szCs w:val="21"/>
                <w:u w:val="single" w:color="auto"/>
              </w:rPr>
              <w:t>1</w:t>
            </w:r>
            <w:r>
              <w:rPr>
                <w:rFonts w:ascii="Times New Roman" w:hAnsi="Times New Roman" w:eastAsia="宋体" w:cs="Times New Roman"/>
                <w:color w:val="auto"/>
                <w:kern w:val="0"/>
                <w:szCs w:val="21"/>
                <w:u w:val="single" w:color="auto"/>
              </w:rPr>
              <w:t>次</w:t>
            </w:r>
            <w:r>
              <w:rPr>
                <w:rFonts w:hint="eastAsia" w:ascii="Times New Roman" w:hAnsi="Times New Roman" w:eastAsia="宋体" w:cs="Times New Roman"/>
                <w:color w:val="auto"/>
                <w:kern w:val="0"/>
                <w:szCs w:val="21"/>
                <w:u w:val="single" w:color="auto"/>
              </w:rPr>
              <w:t>/年</w:t>
            </w:r>
          </w:p>
        </w:tc>
      </w:tr>
    </w:tbl>
    <w:p w14:paraId="4F45DF69">
      <w:pPr>
        <w:spacing w:line="360" w:lineRule="auto"/>
        <w:ind w:firstLine="480" w:firstLineChars="200"/>
        <w:rPr>
          <w:rFonts w:hint="default"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lang w:val="en-US" w:eastAsia="zh-CN"/>
        </w:rPr>
        <w:t>备注：①雨水排放口有流动水排放时按月监测。若监测一年无异常情况，可放宽至每季度开展一次监测。②土壤、地下水点位见图3.2-1。</w:t>
      </w:r>
    </w:p>
    <w:p w14:paraId="404577A5">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（2）做好监测质量保证与质量控制 </w:t>
      </w:r>
    </w:p>
    <w:p w14:paraId="4EF3C90A">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建设单位应建立自行监测质量管理制度，按照相关技术规范要求做好监测质量保证与质量控制。 </w:t>
      </w:r>
    </w:p>
    <w:p w14:paraId="7EC66F7B">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（3）监测数据保存及监测信息反馈 </w:t>
      </w:r>
    </w:p>
    <w:p w14:paraId="7A554C73">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 xml:space="preserve">建设单位应做好与监测相关的数据记录，按照规定进行保存，并依据相关法规向社会公开监测结果。同时，对监测结果应及时统计汇总，上报有关领导和主管部门，如发现监测结果有异常，应及时反馈生产管理部门，并迅速查找原因，及时、妥善解决。 </w:t>
      </w:r>
    </w:p>
    <w:p w14:paraId="015C2CF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.3</w:t>
      </w:r>
      <w:bookmarkEnd w:id="305"/>
      <w:r>
        <w:rPr>
          <w:rFonts w:ascii="Times New Roman" w:hAnsi="Times New Roman" w:eastAsia="宋体" w:cs="Times New Roman"/>
          <w:b/>
          <w:color w:val="auto"/>
          <w:kern w:val="0"/>
          <w:sz w:val="28"/>
          <w:szCs w:val="20"/>
          <w:u w:val="none" w:color="auto"/>
        </w:rPr>
        <w:t>监测工作保障措施</w:t>
      </w:r>
    </w:p>
    <w:p w14:paraId="70A41433">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（1）组织领导实施 </w:t>
      </w:r>
    </w:p>
    <w:p w14:paraId="524069E1">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建设单位应委托有资质的环境保护监测单位进行环境监测，但应对监测机构的资质进行确认，并安排相关人员配合并做好相关记录。 </w:t>
      </w:r>
    </w:p>
    <w:p w14:paraId="4F28B008">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（2）技术保证措施 </w:t>
      </w:r>
    </w:p>
    <w:p w14:paraId="04CB4E44">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为了确保监测质量，监测人员必须持有相应的资格证书或上岗证书。</w:t>
      </w:r>
    </w:p>
    <w:p w14:paraId="4391C5FA">
      <w:pPr>
        <w:autoSpaceDE w:val="0"/>
        <w:autoSpaceDN w:val="0"/>
        <w:spacing w:line="360" w:lineRule="auto"/>
        <w:jc w:val="left"/>
        <w:outlineLvl w:val="1"/>
        <w:rPr>
          <w:rFonts w:ascii="Times New Roman" w:hAnsi="Times New Roman" w:eastAsia="宋体" w:cs="Times New Roman"/>
          <w:color w:val="auto"/>
          <w:kern w:val="0"/>
          <w:sz w:val="20"/>
          <w:szCs w:val="20"/>
          <w:u w:val="none" w:color="auto"/>
        </w:rPr>
      </w:pPr>
      <w:bookmarkStart w:id="306" w:name="_Toc3728304"/>
      <w:bookmarkStart w:id="307" w:name="_Toc530130491"/>
      <w:bookmarkStart w:id="308" w:name="_Toc23959"/>
      <w:r>
        <w:rPr>
          <w:rFonts w:hint="eastAsia" w:ascii="Times New Roman" w:hAnsi="Times New Roman" w:eastAsia="宋体" w:cs="Times New Roman"/>
          <w:b/>
          <w:color w:val="auto"/>
          <w:kern w:val="0"/>
          <w:sz w:val="32"/>
          <w:szCs w:val="32"/>
          <w:u w:val="none" w:color="auto"/>
        </w:rPr>
        <w:t>7</w:t>
      </w:r>
      <w:r>
        <w:rPr>
          <w:rFonts w:ascii="Times New Roman" w:hAnsi="Times New Roman" w:eastAsia="宋体" w:cs="Times New Roman"/>
          <w:b/>
          <w:color w:val="auto"/>
          <w:kern w:val="0"/>
          <w:sz w:val="32"/>
          <w:szCs w:val="32"/>
          <w:u w:val="none" w:color="auto"/>
        </w:rPr>
        <w:t>.4“三同时”验收</w:t>
      </w:r>
      <w:bookmarkEnd w:id="306"/>
      <w:bookmarkEnd w:id="307"/>
      <w:r>
        <w:rPr>
          <w:rFonts w:ascii="Times New Roman" w:hAnsi="Times New Roman" w:eastAsia="宋体" w:cs="Times New Roman"/>
          <w:b/>
          <w:color w:val="auto"/>
          <w:kern w:val="0"/>
          <w:sz w:val="32"/>
          <w:szCs w:val="32"/>
          <w:u w:val="none" w:color="auto"/>
        </w:rPr>
        <w:t>监测</w:t>
      </w:r>
      <w:bookmarkEnd w:id="308"/>
    </w:p>
    <w:p w14:paraId="1D0DE46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09" w:name="_Toc3728305"/>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.1管理要求</w:t>
      </w:r>
      <w:bookmarkEnd w:id="309"/>
    </w:p>
    <w:p w14:paraId="46F4847C">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bookmarkStart w:id="310" w:name="_Toc3728306"/>
      <w:r>
        <w:rPr>
          <w:rFonts w:ascii="Times New Roman" w:hAnsi="Times New Roman" w:eastAsia="宋体" w:cs="Times New Roman"/>
          <w:color w:val="auto"/>
          <w:kern w:val="0"/>
          <w:sz w:val="24"/>
          <w:szCs w:val="24"/>
          <w:u w:val="none" w:color="auto"/>
        </w:rPr>
        <w:t>根据《建设项目环境保护管理条例》（国务院令253号，2017年7月16日修订）、《广西壮族自治区</w:t>
      </w:r>
      <w:r>
        <w:rPr>
          <w:rFonts w:hint="eastAsia" w:ascii="Times New Roman" w:hAnsi="Times New Roman" w:eastAsia="宋体" w:cs="Times New Roman"/>
          <w:color w:val="auto"/>
          <w:kern w:val="0"/>
          <w:sz w:val="24"/>
          <w:szCs w:val="24"/>
          <w:u w:val="none" w:color="auto"/>
          <w:lang w:eastAsia="zh-CN"/>
        </w:rPr>
        <w:t>生态环境厅</w:t>
      </w:r>
      <w:r>
        <w:rPr>
          <w:rFonts w:ascii="Times New Roman" w:hAnsi="Times New Roman" w:eastAsia="宋体" w:cs="Times New Roman"/>
          <w:color w:val="auto"/>
          <w:kern w:val="0"/>
          <w:sz w:val="24"/>
          <w:szCs w:val="24"/>
          <w:u w:val="none" w:color="auto"/>
        </w:rPr>
        <w:t>关于建设项目竣工环境保护验收工作的通知》（桂函[2018]317号）等文件，项目竣工后，建设单位应当按照国务院环境保护行政主管部门规定的标准和程序，对配套建设的环境保护设施进行废水、废气、噪声</w:t>
      </w:r>
      <w:r>
        <w:rPr>
          <w:rFonts w:hint="eastAsia" w:ascii="Times New Roman" w:hAnsi="Times New Roman" w:eastAsia="宋体" w:cs="Times New Roman"/>
          <w:color w:val="auto"/>
          <w:kern w:val="0"/>
          <w:sz w:val="24"/>
          <w:szCs w:val="24"/>
          <w:u w:val="none" w:color="auto"/>
        </w:rPr>
        <w:t>和固体废物的</w:t>
      </w:r>
      <w:r>
        <w:rPr>
          <w:rFonts w:ascii="Times New Roman" w:hAnsi="Times New Roman" w:eastAsia="宋体" w:cs="Times New Roman"/>
          <w:color w:val="auto"/>
          <w:kern w:val="0"/>
          <w:sz w:val="24"/>
          <w:szCs w:val="24"/>
          <w:u w:val="none" w:color="auto"/>
        </w:rPr>
        <w:t>自主验收。根据相关法律、法规的要求以及国家、省、市以及地方的环保要求，项目竣工验收监测计划主要从以下几方面入手：</w:t>
      </w:r>
    </w:p>
    <w:p w14:paraId="12BD96C8">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1、各种资料手续是否完整。</w:t>
      </w:r>
    </w:p>
    <w:p w14:paraId="539E730E">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2、各生产装置的实际生产能力是否具备竣工验收条件。</w:t>
      </w:r>
    </w:p>
    <w:p w14:paraId="534B64C6">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3、按照“三同时”要求，各项环保设施是否安装到位，运转是否正常。</w:t>
      </w:r>
    </w:p>
    <w:p w14:paraId="0D13AF6C">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4、现场监测：包括对废气、废水、噪声等处理情况的测试，进而分析各种环保设施的处理效果；通过对污染物的实际排放浓度和排放速率与相应的标准的对比，判断污染物是否达标排放；通过污染物的实际排放浓度和烟气流量测算出各污染物的排放总量，分析判断其是否满足总是控制的要求；对周围环境敏感点环境质量进行验证；厂界无组织最大落地浓度的监测等。各监测布点按相关标准要求执行，监测因子应覆盖项目所有污染因子。</w:t>
      </w:r>
    </w:p>
    <w:p w14:paraId="2AAB9AB9">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5、环境管理的检查：包括对各种环境管理制度、固体废物的处置情况是否有完善的风险应急措施和应急计划、各排污口是否规范化等</w:t>
      </w:r>
      <w:r>
        <w:rPr>
          <w:rFonts w:hint="eastAsia" w:ascii="Times New Roman" w:hAnsi="Times New Roman" w:eastAsia="宋体" w:cs="Times New Roman"/>
          <w:color w:val="auto"/>
          <w:kern w:val="0"/>
          <w:sz w:val="24"/>
          <w:szCs w:val="24"/>
          <w:u w:val="none" w:color="auto"/>
          <w:lang w:eastAsia="zh-CN"/>
        </w:rPr>
        <w:t>其他</w:t>
      </w:r>
      <w:r>
        <w:rPr>
          <w:rFonts w:ascii="Times New Roman" w:hAnsi="Times New Roman" w:eastAsia="宋体" w:cs="Times New Roman"/>
          <w:color w:val="auto"/>
          <w:kern w:val="0"/>
          <w:sz w:val="24"/>
          <w:szCs w:val="24"/>
          <w:u w:val="none" w:color="auto"/>
        </w:rPr>
        <w:t>非测试性管理制度的落实情况。</w:t>
      </w:r>
    </w:p>
    <w:p w14:paraId="5DD3C744">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6、对区域环境质量的验证。</w:t>
      </w:r>
    </w:p>
    <w:p w14:paraId="616130E0">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7、现场检查：检查各种设施是否按“三同时”要求落实到位，各项环保设施的施工质量是否满足要求，各项环保设施是否满足正常运转条等。是否实现“清污分流、雨污分流”。</w:t>
      </w:r>
    </w:p>
    <w:p w14:paraId="4C8760A5">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8、是否有完善的风险应急措施和应急计划。</w:t>
      </w:r>
    </w:p>
    <w:p w14:paraId="4C567A30">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9、竣工验收结论与建议。</w:t>
      </w:r>
    </w:p>
    <w:p w14:paraId="32F8F4A6">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7</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.2环保验收“三同时”验收清单</w:t>
      </w:r>
      <w:bookmarkEnd w:id="310"/>
    </w:p>
    <w:p w14:paraId="369629F9">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sz w:val="24"/>
          <w:szCs w:val="24"/>
          <w:u w:val="none" w:color="auto"/>
        </w:rPr>
        <w:t>本项目“三同时”环保设施验收清单见表</w:t>
      </w:r>
      <w:r>
        <w:rPr>
          <w:rFonts w:hint="eastAsia" w:ascii="Times New Roman" w:hAnsi="Times New Roman" w:eastAsia="宋体" w:cs="Times New Roman"/>
          <w:color w:val="auto"/>
          <w:sz w:val="24"/>
          <w:szCs w:val="24"/>
          <w:u w:val="none" w:color="auto"/>
        </w:rPr>
        <w:t>7</w:t>
      </w:r>
      <w:r>
        <w:rPr>
          <w:rFonts w:ascii="Times New Roman" w:hAnsi="Times New Roman" w:eastAsia="宋体" w:cs="Times New Roman"/>
          <w:color w:val="auto"/>
          <w:sz w:val="24"/>
          <w:szCs w:val="24"/>
          <w:u w:val="none" w:color="auto"/>
        </w:rPr>
        <w:t>.5-1。</w:t>
      </w:r>
    </w:p>
    <w:p w14:paraId="265AAFD8">
      <w:pPr>
        <w:widowControl/>
        <w:autoSpaceDE w:val="0"/>
        <w:autoSpaceDN w:val="0"/>
        <w:jc w:val="center"/>
        <w:rPr>
          <w:rFonts w:ascii="Times New Roman" w:hAnsi="Times New Roman" w:eastAsia="宋体" w:cs="Times New Roman"/>
          <w:b/>
          <w:bCs/>
          <w:color w:val="auto"/>
          <w:szCs w:val="32"/>
          <w:u w:val="none" w:color="auto"/>
        </w:rPr>
      </w:pPr>
      <w:r>
        <w:rPr>
          <w:rFonts w:ascii="Times New Roman" w:hAnsi="Times New Roman" w:eastAsia="宋体" w:cs="Times New Roman"/>
          <w:b/>
          <w:bCs/>
          <w:color w:val="auto"/>
          <w:szCs w:val="32"/>
          <w:u w:val="none" w:color="auto"/>
        </w:rPr>
        <w:t>表</w:t>
      </w:r>
      <w:r>
        <w:rPr>
          <w:rFonts w:hint="eastAsia" w:ascii="Times New Roman" w:hAnsi="Times New Roman" w:eastAsia="宋体" w:cs="Times New Roman"/>
          <w:b/>
          <w:bCs/>
          <w:color w:val="auto"/>
          <w:szCs w:val="32"/>
          <w:u w:val="none" w:color="auto"/>
        </w:rPr>
        <w:t>7</w:t>
      </w:r>
      <w:r>
        <w:rPr>
          <w:rFonts w:ascii="Times New Roman" w:hAnsi="Times New Roman" w:eastAsia="宋体" w:cs="Times New Roman"/>
          <w:b/>
          <w:bCs/>
          <w:color w:val="auto"/>
          <w:szCs w:val="32"/>
          <w:u w:val="none" w:color="auto"/>
        </w:rPr>
        <w:t>.5-1 环境保护“三同时”验收一览表</w:t>
      </w:r>
    </w:p>
    <w:tbl>
      <w:tblPr>
        <w:tblStyle w:val="3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95"/>
        <w:gridCol w:w="1505"/>
        <w:gridCol w:w="2634"/>
        <w:gridCol w:w="1480"/>
        <w:gridCol w:w="2182"/>
      </w:tblGrid>
      <w:tr w14:paraId="334B0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Align w:val="center"/>
          </w:tcPr>
          <w:p w14:paraId="6CEE2D75">
            <w:pPr>
              <w:autoSpaceDE w:val="0"/>
              <w:autoSpaceDN w:val="0"/>
              <w:jc w:val="center"/>
              <w:rPr>
                <w:rFonts w:ascii="Times New Roman" w:hAnsi="Times New Roman" w:eastAsia="宋体" w:cs="Times New Roman"/>
                <w:b/>
                <w:color w:val="auto"/>
                <w:szCs w:val="24"/>
                <w:u w:val="none" w:color="auto"/>
              </w:rPr>
            </w:pPr>
            <w:bookmarkStart w:id="311" w:name="_Toc530130492"/>
            <w:bookmarkStart w:id="312" w:name="_Toc3728307"/>
            <w:r>
              <w:rPr>
                <w:rFonts w:ascii="Times New Roman" w:hAnsi="Times New Roman" w:eastAsia="宋体" w:cs="Times New Roman"/>
                <w:b/>
                <w:color w:val="auto"/>
                <w:szCs w:val="24"/>
                <w:u w:val="none" w:color="auto"/>
              </w:rPr>
              <w:t>类别</w:t>
            </w:r>
          </w:p>
        </w:tc>
        <w:tc>
          <w:tcPr>
            <w:tcW w:w="1505" w:type="dxa"/>
            <w:vAlign w:val="center"/>
          </w:tcPr>
          <w:p w14:paraId="1468BC54">
            <w:pPr>
              <w:autoSpaceDE w:val="0"/>
              <w:autoSpaceDN w:val="0"/>
              <w:jc w:val="center"/>
              <w:rPr>
                <w:rFonts w:ascii="Times New Roman" w:hAnsi="Times New Roman" w:eastAsia="宋体" w:cs="Times New Roman"/>
                <w:b/>
                <w:color w:val="auto"/>
                <w:szCs w:val="24"/>
                <w:u w:val="none" w:color="auto"/>
              </w:rPr>
            </w:pPr>
            <w:r>
              <w:rPr>
                <w:rFonts w:ascii="Times New Roman" w:hAnsi="Times New Roman" w:eastAsia="宋体" w:cs="Times New Roman"/>
                <w:b/>
                <w:color w:val="auto"/>
                <w:szCs w:val="24"/>
                <w:u w:val="none" w:color="auto"/>
              </w:rPr>
              <w:t>防治对象</w:t>
            </w:r>
          </w:p>
        </w:tc>
        <w:tc>
          <w:tcPr>
            <w:tcW w:w="2634" w:type="dxa"/>
            <w:vAlign w:val="center"/>
          </w:tcPr>
          <w:p w14:paraId="580A022D">
            <w:pPr>
              <w:autoSpaceDE w:val="0"/>
              <w:autoSpaceDN w:val="0"/>
              <w:jc w:val="center"/>
              <w:rPr>
                <w:rFonts w:ascii="Times New Roman" w:hAnsi="Times New Roman" w:eastAsia="宋体" w:cs="Times New Roman"/>
                <w:b/>
                <w:color w:val="auto"/>
                <w:szCs w:val="24"/>
                <w:u w:val="none" w:color="auto"/>
              </w:rPr>
            </w:pPr>
            <w:r>
              <w:rPr>
                <w:rFonts w:ascii="Times New Roman" w:hAnsi="Times New Roman" w:eastAsia="宋体" w:cs="Times New Roman"/>
                <w:b/>
                <w:color w:val="auto"/>
                <w:szCs w:val="24"/>
                <w:u w:val="none" w:color="auto"/>
              </w:rPr>
              <w:t>防治设施</w:t>
            </w:r>
          </w:p>
        </w:tc>
        <w:tc>
          <w:tcPr>
            <w:tcW w:w="1480" w:type="dxa"/>
            <w:vAlign w:val="center"/>
          </w:tcPr>
          <w:p w14:paraId="744C4B4E">
            <w:pPr>
              <w:autoSpaceDE w:val="0"/>
              <w:autoSpaceDN w:val="0"/>
              <w:jc w:val="center"/>
              <w:rPr>
                <w:rFonts w:ascii="Times New Roman" w:hAnsi="Times New Roman" w:eastAsia="宋体" w:cs="Times New Roman"/>
                <w:b/>
                <w:color w:val="auto"/>
                <w:szCs w:val="24"/>
                <w:u w:val="none" w:color="auto"/>
              </w:rPr>
            </w:pPr>
            <w:r>
              <w:rPr>
                <w:rFonts w:hint="eastAsia" w:ascii="Times New Roman" w:hAnsi="Times New Roman" w:eastAsia="宋体" w:cs="Times New Roman"/>
                <w:b/>
                <w:color w:val="auto"/>
                <w:szCs w:val="24"/>
                <w:u w:val="none" w:color="auto"/>
              </w:rPr>
              <w:t>监测因子</w:t>
            </w:r>
          </w:p>
        </w:tc>
        <w:tc>
          <w:tcPr>
            <w:tcW w:w="2182" w:type="dxa"/>
            <w:vAlign w:val="center"/>
          </w:tcPr>
          <w:p w14:paraId="7245C20F">
            <w:pPr>
              <w:autoSpaceDE w:val="0"/>
              <w:autoSpaceDN w:val="0"/>
              <w:jc w:val="center"/>
              <w:rPr>
                <w:rFonts w:ascii="Times New Roman" w:hAnsi="Times New Roman" w:eastAsia="宋体" w:cs="Times New Roman"/>
                <w:b/>
                <w:color w:val="auto"/>
                <w:szCs w:val="24"/>
                <w:u w:val="none" w:color="auto"/>
              </w:rPr>
            </w:pPr>
            <w:r>
              <w:rPr>
                <w:rFonts w:ascii="Times New Roman" w:hAnsi="Times New Roman" w:eastAsia="宋体" w:cs="Times New Roman"/>
                <w:b/>
                <w:color w:val="auto"/>
                <w:szCs w:val="24"/>
                <w:u w:val="none" w:color="auto"/>
              </w:rPr>
              <w:t>验收标准</w:t>
            </w:r>
          </w:p>
        </w:tc>
      </w:tr>
      <w:tr w14:paraId="5BE96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3" w:hRule="atLeast"/>
          <w:jc w:val="center"/>
        </w:trPr>
        <w:tc>
          <w:tcPr>
            <w:tcW w:w="495" w:type="dxa"/>
            <w:vMerge w:val="restart"/>
            <w:vAlign w:val="center"/>
          </w:tcPr>
          <w:p w14:paraId="60BFB131">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废</w:t>
            </w:r>
          </w:p>
          <w:p w14:paraId="1C61B6E6">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气</w:t>
            </w:r>
          </w:p>
        </w:tc>
        <w:tc>
          <w:tcPr>
            <w:tcW w:w="1505" w:type="dxa"/>
            <w:vAlign w:val="center"/>
          </w:tcPr>
          <w:p w14:paraId="3682F435">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喷砂房</w:t>
            </w:r>
            <w:r>
              <w:rPr>
                <w:rFonts w:ascii="Times New Roman" w:hAnsi="Times New Roman" w:eastAsia="宋体" w:cs="Times New Roman"/>
                <w:color w:val="auto"/>
                <w:szCs w:val="24"/>
                <w:u w:val="none" w:color="auto"/>
              </w:rPr>
              <w:t>有组织废气</w:t>
            </w:r>
          </w:p>
        </w:tc>
        <w:tc>
          <w:tcPr>
            <w:tcW w:w="2634" w:type="dxa"/>
            <w:vAlign w:val="center"/>
          </w:tcPr>
          <w:p w14:paraId="220495C0">
            <w:pPr>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1"/>
                <w:u w:val="single" w:color="auto"/>
                <w:lang w:val="en-US" w:eastAsia="zh-CN"/>
              </w:rPr>
              <w:t>旋风除尘器+</w:t>
            </w:r>
            <w:r>
              <w:rPr>
                <w:rFonts w:ascii="Times New Roman" w:hAnsi="Times New Roman" w:eastAsia="宋体" w:cs="Times New Roman"/>
                <w:color w:val="auto"/>
                <w:szCs w:val="21"/>
                <w:u w:val="single" w:color="auto"/>
              </w:rPr>
              <w:t>滤筒除尘器+</w:t>
            </w:r>
            <w:r>
              <w:rPr>
                <w:rFonts w:hint="eastAsia" w:ascii="Times New Roman" w:hAnsi="Times New Roman" w:eastAsia="宋体" w:cs="Times New Roman"/>
                <w:color w:val="auto"/>
                <w:szCs w:val="21"/>
                <w:u w:val="single" w:color="auto"/>
                <w:lang w:eastAsia="zh-CN"/>
              </w:rPr>
              <w:t>30m</w:t>
            </w:r>
            <w:r>
              <w:rPr>
                <w:rFonts w:hint="eastAsia" w:ascii="Times New Roman" w:hAnsi="Times New Roman" w:eastAsia="宋体" w:cs="Times New Roman"/>
                <w:color w:val="auto"/>
                <w:szCs w:val="21"/>
                <w:u w:val="single" w:color="auto"/>
                <w:lang w:val="en-US" w:eastAsia="zh-CN"/>
              </w:rPr>
              <w:t>DA001</w:t>
            </w:r>
            <w:r>
              <w:rPr>
                <w:rFonts w:ascii="Times New Roman" w:hAnsi="Times New Roman" w:eastAsia="宋体" w:cs="Times New Roman"/>
                <w:color w:val="auto"/>
                <w:szCs w:val="21"/>
                <w:u w:val="single" w:color="auto"/>
              </w:rPr>
              <w:t>排气筒</w:t>
            </w:r>
          </w:p>
        </w:tc>
        <w:tc>
          <w:tcPr>
            <w:tcW w:w="1480" w:type="dxa"/>
            <w:vAlign w:val="center"/>
          </w:tcPr>
          <w:p w14:paraId="6FB7EC27">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颗粒物</w:t>
            </w:r>
          </w:p>
        </w:tc>
        <w:tc>
          <w:tcPr>
            <w:tcW w:w="2182" w:type="dxa"/>
            <w:vMerge w:val="restart"/>
            <w:vAlign w:val="center"/>
          </w:tcPr>
          <w:p w14:paraId="5A4AF521">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《大气污染物综合排放标准》（GB 16297-1996）</w:t>
            </w:r>
          </w:p>
        </w:tc>
      </w:tr>
      <w:tr w14:paraId="28581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3" w:hRule="atLeast"/>
          <w:jc w:val="center"/>
        </w:trPr>
        <w:tc>
          <w:tcPr>
            <w:tcW w:w="495" w:type="dxa"/>
            <w:vMerge w:val="continue"/>
            <w:vAlign w:val="center"/>
          </w:tcPr>
          <w:p w14:paraId="4314E164">
            <w:pPr>
              <w:autoSpaceDE w:val="0"/>
              <w:autoSpaceDN w:val="0"/>
              <w:jc w:val="center"/>
              <w:rPr>
                <w:color w:val="auto"/>
                <w:u w:val="none" w:color="auto"/>
              </w:rPr>
            </w:pPr>
          </w:p>
        </w:tc>
        <w:tc>
          <w:tcPr>
            <w:tcW w:w="1505" w:type="dxa"/>
            <w:vAlign w:val="center"/>
          </w:tcPr>
          <w:p w14:paraId="2F2ACD34">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lang w:eastAsia="zh-CN"/>
              </w:rPr>
              <w:t>涂装车间</w:t>
            </w:r>
            <w:r>
              <w:rPr>
                <w:rFonts w:ascii="Times New Roman" w:hAnsi="Times New Roman" w:eastAsia="宋体" w:cs="Times New Roman"/>
                <w:color w:val="auto"/>
                <w:szCs w:val="24"/>
                <w:u w:val="none" w:color="auto"/>
              </w:rPr>
              <w:t>有组织废气</w:t>
            </w:r>
          </w:p>
        </w:tc>
        <w:tc>
          <w:tcPr>
            <w:tcW w:w="2634" w:type="dxa"/>
            <w:vAlign w:val="center"/>
          </w:tcPr>
          <w:p w14:paraId="7C0A060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干式漆雾过滤器+活性炭吸附+</w:t>
            </w:r>
            <w:r>
              <w:rPr>
                <w:rFonts w:ascii="Times New Roman" w:hAnsi="Times New Roman" w:eastAsia="宋体" w:cs="Times New Roman"/>
                <w:color w:val="auto"/>
                <w:u w:val="none" w:color="auto"/>
              </w:rPr>
              <w:t>解吸脱附+</w:t>
            </w:r>
          </w:p>
          <w:p w14:paraId="0074DF73">
            <w:pPr>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1"/>
                <w:u w:val="none" w:color="auto"/>
              </w:rPr>
              <w:t>催化燃烧+</w:t>
            </w:r>
            <w:r>
              <w:rPr>
                <w:rFonts w:hint="eastAsia" w:ascii="Times New Roman" w:hAnsi="Times New Roman" w:eastAsia="宋体" w:cs="Times New Roman"/>
                <w:color w:val="auto"/>
                <w:szCs w:val="21"/>
                <w:u w:val="none" w:color="auto"/>
                <w:lang w:eastAsia="zh-CN"/>
              </w:rPr>
              <w:t>30m</w:t>
            </w:r>
            <w:r>
              <w:rPr>
                <w:rFonts w:hint="eastAsia" w:ascii="Times New Roman" w:hAnsi="Times New Roman" w:eastAsia="宋体" w:cs="Times New Roman"/>
                <w:color w:val="auto"/>
                <w:szCs w:val="21"/>
                <w:u w:val="none" w:color="auto"/>
                <w:lang w:val="en-US" w:eastAsia="zh-CN"/>
              </w:rPr>
              <w:t>DA002</w:t>
            </w:r>
            <w:r>
              <w:rPr>
                <w:rFonts w:ascii="Times New Roman" w:hAnsi="Times New Roman" w:eastAsia="宋体" w:cs="Times New Roman"/>
                <w:color w:val="auto"/>
                <w:szCs w:val="21"/>
                <w:u w:val="none" w:color="auto"/>
              </w:rPr>
              <w:t>排气筒</w:t>
            </w:r>
          </w:p>
        </w:tc>
        <w:tc>
          <w:tcPr>
            <w:tcW w:w="1480" w:type="dxa"/>
            <w:vAlign w:val="center"/>
          </w:tcPr>
          <w:p w14:paraId="64E8E6FC">
            <w:pPr>
              <w:autoSpaceDE w:val="0"/>
              <w:autoSpaceDN w:val="0"/>
              <w:jc w:val="center"/>
              <w:rPr>
                <w:rFonts w:hint="default" w:ascii="Times New Roman" w:hAnsi="Times New Roman" w:eastAsia="宋体" w:cs="Times New Roman"/>
                <w:color w:val="auto"/>
                <w:szCs w:val="24"/>
                <w:u w:val="none" w:color="auto"/>
                <w:lang w:val="en-US" w:eastAsia="zh-CN"/>
              </w:rPr>
            </w:pPr>
            <w:r>
              <w:rPr>
                <w:rFonts w:hint="eastAsia" w:ascii="Times New Roman" w:hAnsi="Times New Roman" w:eastAsia="宋体" w:cs="Times New Roman"/>
                <w:color w:val="auto"/>
                <w:szCs w:val="24"/>
                <w:u w:val="none" w:color="auto"/>
              </w:rPr>
              <w:t>颗粒物、甲苯、二甲苯、非甲烷总烃</w:t>
            </w:r>
            <w:r>
              <w:rPr>
                <w:rFonts w:hint="eastAsia" w:ascii="Times New Roman" w:hAnsi="Times New Roman" w:eastAsia="宋体" w:cs="Times New Roman"/>
                <w:color w:val="auto"/>
                <w:szCs w:val="24"/>
                <w:u w:val="none" w:color="auto"/>
                <w:lang w:eastAsia="zh-CN"/>
              </w:rPr>
              <w:t>、</w:t>
            </w:r>
            <w:r>
              <w:rPr>
                <w:rFonts w:hint="eastAsia" w:ascii="Times New Roman" w:hAnsi="Times New Roman" w:eastAsia="宋体" w:cs="Times New Roman"/>
                <w:color w:val="auto"/>
                <w:szCs w:val="24"/>
                <w:u w:val="none" w:color="auto"/>
                <w:lang w:val="en-US" w:eastAsia="zh-CN"/>
              </w:rPr>
              <w:t>臭气浓度</w:t>
            </w:r>
          </w:p>
        </w:tc>
        <w:tc>
          <w:tcPr>
            <w:tcW w:w="2182" w:type="dxa"/>
            <w:vMerge w:val="continue"/>
            <w:vAlign w:val="center"/>
          </w:tcPr>
          <w:p w14:paraId="56DE2289">
            <w:pPr>
              <w:autoSpaceDE w:val="0"/>
              <w:autoSpaceDN w:val="0"/>
              <w:jc w:val="center"/>
              <w:rPr>
                <w:rFonts w:ascii="Times New Roman" w:hAnsi="Times New Roman" w:eastAsia="宋体" w:cs="Times New Roman"/>
                <w:color w:val="auto"/>
                <w:szCs w:val="24"/>
                <w:u w:val="none" w:color="auto"/>
              </w:rPr>
            </w:pPr>
          </w:p>
        </w:tc>
      </w:tr>
      <w:tr w14:paraId="7663D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3" w:hRule="atLeast"/>
          <w:jc w:val="center"/>
        </w:trPr>
        <w:tc>
          <w:tcPr>
            <w:tcW w:w="495" w:type="dxa"/>
            <w:vMerge w:val="continue"/>
            <w:vAlign w:val="center"/>
          </w:tcPr>
          <w:p w14:paraId="782E8A83">
            <w:pPr>
              <w:autoSpaceDE w:val="0"/>
              <w:autoSpaceDN w:val="0"/>
              <w:jc w:val="center"/>
              <w:rPr>
                <w:color w:val="auto"/>
                <w:u w:val="none" w:color="auto"/>
              </w:rPr>
            </w:pPr>
          </w:p>
        </w:tc>
        <w:tc>
          <w:tcPr>
            <w:tcW w:w="1505" w:type="dxa"/>
            <w:vAlign w:val="center"/>
          </w:tcPr>
          <w:p w14:paraId="08C6666D">
            <w:pPr>
              <w:autoSpaceDE w:val="0"/>
              <w:autoSpaceDN w:val="0"/>
              <w:jc w:val="center"/>
              <w:rPr>
                <w:rFonts w:hint="default" w:ascii="Times New Roman" w:hAnsi="Times New Roman" w:eastAsia="宋体" w:cs="Times New Roman"/>
                <w:color w:val="auto"/>
                <w:szCs w:val="24"/>
                <w:u w:val="none" w:color="auto"/>
                <w:lang w:val="en-US" w:eastAsia="zh-CN"/>
              </w:rPr>
            </w:pPr>
            <w:r>
              <w:rPr>
                <w:rFonts w:hint="eastAsia" w:ascii="Times New Roman" w:hAnsi="Times New Roman" w:eastAsia="宋体" w:cs="Times New Roman"/>
                <w:color w:val="auto"/>
                <w:szCs w:val="24"/>
                <w:u w:val="none" w:color="auto"/>
                <w:lang w:val="en-US" w:eastAsia="zh-CN"/>
              </w:rPr>
              <w:t>危废暂存间废气</w:t>
            </w:r>
          </w:p>
        </w:tc>
        <w:tc>
          <w:tcPr>
            <w:tcW w:w="2634" w:type="dxa"/>
            <w:vAlign w:val="center"/>
          </w:tcPr>
          <w:p w14:paraId="5428F196">
            <w:pPr>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eastAsia="zh-CN"/>
              </w:rPr>
              <w:t>两级活性炭</w:t>
            </w:r>
            <w:r>
              <w:rPr>
                <w:rFonts w:ascii="Times New Roman" w:hAnsi="Times New Roman" w:eastAsia="宋体" w:cs="Times New Roman"/>
                <w:color w:val="auto"/>
                <w:szCs w:val="21"/>
                <w:u w:val="none" w:color="auto"/>
              </w:rPr>
              <w:t>+</w:t>
            </w:r>
            <w:r>
              <w:rPr>
                <w:rFonts w:hint="eastAsia" w:ascii="Times New Roman" w:hAnsi="Times New Roman" w:eastAsia="宋体" w:cs="Times New Roman"/>
                <w:color w:val="auto"/>
                <w:szCs w:val="21"/>
                <w:u w:val="none" w:color="auto"/>
                <w:lang w:eastAsia="zh-CN"/>
              </w:rPr>
              <w:t>30m</w:t>
            </w:r>
            <w:r>
              <w:rPr>
                <w:rFonts w:hint="eastAsia" w:ascii="Times New Roman" w:hAnsi="Times New Roman" w:eastAsia="宋体" w:cs="Times New Roman"/>
                <w:color w:val="auto"/>
                <w:szCs w:val="21"/>
                <w:u w:val="none" w:color="auto"/>
                <w:lang w:val="en-US" w:eastAsia="zh-CN"/>
              </w:rPr>
              <w:t>DA002</w:t>
            </w:r>
            <w:r>
              <w:rPr>
                <w:rFonts w:ascii="Times New Roman" w:hAnsi="Times New Roman" w:eastAsia="宋体" w:cs="Times New Roman"/>
                <w:color w:val="auto"/>
                <w:szCs w:val="21"/>
                <w:u w:val="none" w:color="auto"/>
              </w:rPr>
              <w:t>排气筒</w:t>
            </w:r>
          </w:p>
        </w:tc>
        <w:tc>
          <w:tcPr>
            <w:tcW w:w="1480" w:type="dxa"/>
            <w:vAlign w:val="center"/>
          </w:tcPr>
          <w:p w14:paraId="41DEB952">
            <w:pPr>
              <w:autoSpaceDE w:val="0"/>
              <w:autoSpaceDN w:val="0"/>
              <w:jc w:val="center"/>
              <w:rPr>
                <w:rFonts w:hint="eastAsia"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非甲烷总烃</w:t>
            </w:r>
          </w:p>
        </w:tc>
        <w:tc>
          <w:tcPr>
            <w:tcW w:w="2182" w:type="dxa"/>
            <w:vMerge w:val="continue"/>
            <w:vAlign w:val="center"/>
          </w:tcPr>
          <w:p w14:paraId="524E44F6">
            <w:pPr>
              <w:autoSpaceDE w:val="0"/>
              <w:autoSpaceDN w:val="0"/>
              <w:jc w:val="center"/>
              <w:rPr>
                <w:rFonts w:ascii="Times New Roman" w:hAnsi="Times New Roman" w:eastAsia="宋体" w:cs="Times New Roman"/>
                <w:color w:val="auto"/>
                <w:szCs w:val="24"/>
                <w:u w:val="none" w:color="auto"/>
              </w:rPr>
            </w:pPr>
          </w:p>
        </w:tc>
      </w:tr>
      <w:tr w14:paraId="11B08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Merge w:val="continue"/>
            <w:vAlign w:val="center"/>
          </w:tcPr>
          <w:p w14:paraId="29C2CCEF">
            <w:pPr>
              <w:autoSpaceDE w:val="0"/>
              <w:autoSpaceDN w:val="0"/>
              <w:jc w:val="center"/>
              <w:rPr>
                <w:rFonts w:ascii="Times New Roman" w:hAnsi="Times New Roman" w:eastAsia="宋体" w:cs="Times New Roman"/>
                <w:color w:val="auto"/>
                <w:szCs w:val="24"/>
                <w:u w:val="none" w:color="auto"/>
              </w:rPr>
            </w:pPr>
          </w:p>
        </w:tc>
        <w:tc>
          <w:tcPr>
            <w:tcW w:w="1505" w:type="dxa"/>
            <w:vAlign w:val="center"/>
          </w:tcPr>
          <w:p w14:paraId="3D84F45B">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无组织废气</w:t>
            </w:r>
          </w:p>
        </w:tc>
        <w:tc>
          <w:tcPr>
            <w:tcW w:w="2634" w:type="dxa"/>
            <w:vAlign w:val="center"/>
          </w:tcPr>
          <w:p w14:paraId="30FE07DA">
            <w:pPr>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1"/>
                <w:u w:val="none" w:color="auto"/>
              </w:rPr>
              <w:t>移动式</w:t>
            </w:r>
            <w:r>
              <w:rPr>
                <w:rFonts w:hint="eastAsia" w:ascii="Times New Roman" w:hAnsi="Times New Roman" w:eastAsia="宋体" w:cs="Times New Roman"/>
                <w:color w:val="auto"/>
                <w:szCs w:val="21"/>
                <w:u w:val="none" w:color="auto"/>
              </w:rPr>
              <w:t>除尘</w:t>
            </w:r>
            <w:r>
              <w:rPr>
                <w:rFonts w:ascii="Times New Roman" w:hAnsi="Times New Roman" w:eastAsia="宋体" w:cs="Times New Roman"/>
                <w:color w:val="auto"/>
                <w:szCs w:val="21"/>
                <w:u w:val="none" w:color="auto"/>
              </w:rPr>
              <w:t>净化器、移动式</w:t>
            </w:r>
            <w:r>
              <w:rPr>
                <w:rFonts w:hint="eastAsia" w:ascii="Times New Roman" w:hAnsi="Times New Roman" w:eastAsia="宋体" w:cs="Times New Roman"/>
                <w:color w:val="auto"/>
                <w:szCs w:val="21"/>
                <w:u w:val="none" w:color="auto"/>
              </w:rPr>
              <w:t>烟尘</w:t>
            </w:r>
            <w:r>
              <w:rPr>
                <w:rFonts w:ascii="Times New Roman" w:hAnsi="Times New Roman" w:eastAsia="宋体" w:cs="Times New Roman"/>
                <w:color w:val="auto"/>
                <w:szCs w:val="21"/>
                <w:u w:val="none" w:color="auto"/>
              </w:rPr>
              <w:t>净化器、</w:t>
            </w:r>
            <w:r>
              <w:rPr>
                <w:rFonts w:hint="eastAsia" w:ascii="Times New Roman" w:hAnsi="Times New Roman" w:eastAsia="宋体" w:cs="Times New Roman"/>
                <w:color w:val="auto"/>
                <w:szCs w:val="21"/>
                <w:u w:val="none" w:color="auto"/>
              </w:rPr>
              <w:t>车间沉降</w:t>
            </w:r>
          </w:p>
        </w:tc>
        <w:tc>
          <w:tcPr>
            <w:tcW w:w="1480" w:type="dxa"/>
            <w:vAlign w:val="center"/>
          </w:tcPr>
          <w:p w14:paraId="2A2EB589">
            <w:pPr>
              <w:autoSpaceDE w:val="0"/>
              <w:autoSpaceDN w:val="0"/>
              <w:jc w:val="center"/>
              <w:rPr>
                <w:rFonts w:hint="default" w:ascii="Times New Roman" w:hAnsi="Times New Roman" w:eastAsia="宋体" w:cs="Times New Roman"/>
                <w:color w:val="auto"/>
                <w:szCs w:val="24"/>
                <w:u w:val="none" w:color="auto"/>
                <w:lang w:val="en-US" w:eastAsia="zh-CN"/>
              </w:rPr>
            </w:pPr>
            <w:r>
              <w:rPr>
                <w:rFonts w:hint="eastAsia" w:ascii="Times New Roman" w:hAnsi="Times New Roman" w:eastAsia="宋体" w:cs="Times New Roman"/>
                <w:color w:val="auto"/>
                <w:szCs w:val="24"/>
                <w:u w:val="none" w:color="auto"/>
              </w:rPr>
              <w:t>颗粒物、甲苯、二甲苯、非甲烷总烃</w:t>
            </w:r>
            <w:r>
              <w:rPr>
                <w:rFonts w:hint="eastAsia" w:ascii="Times New Roman" w:hAnsi="Times New Roman" w:eastAsia="宋体" w:cs="Times New Roman"/>
                <w:color w:val="auto"/>
                <w:szCs w:val="24"/>
                <w:u w:val="none" w:color="auto"/>
                <w:lang w:eastAsia="zh-CN"/>
              </w:rPr>
              <w:t>、</w:t>
            </w:r>
            <w:r>
              <w:rPr>
                <w:rFonts w:hint="eastAsia" w:ascii="Times New Roman" w:hAnsi="Times New Roman" w:eastAsia="宋体" w:cs="Times New Roman"/>
                <w:color w:val="auto"/>
                <w:szCs w:val="24"/>
                <w:u w:val="none" w:color="auto"/>
                <w:lang w:val="en-US" w:eastAsia="zh-CN"/>
              </w:rPr>
              <w:t>臭气浓度</w:t>
            </w:r>
          </w:p>
        </w:tc>
        <w:tc>
          <w:tcPr>
            <w:tcW w:w="2182" w:type="dxa"/>
            <w:vMerge w:val="continue"/>
            <w:vAlign w:val="center"/>
          </w:tcPr>
          <w:p w14:paraId="7F5E92AE">
            <w:pPr>
              <w:autoSpaceDE w:val="0"/>
              <w:autoSpaceDN w:val="0"/>
              <w:jc w:val="center"/>
              <w:rPr>
                <w:rFonts w:ascii="Times New Roman" w:hAnsi="Times New Roman" w:eastAsia="宋体" w:cs="Times New Roman"/>
                <w:color w:val="auto"/>
                <w:szCs w:val="24"/>
                <w:u w:val="none" w:color="auto"/>
              </w:rPr>
            </w:pPr>
          </w:p>
        </w:tc>
      </w:tr>
      <w:tr w14:paraId="1536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Align w:val="center"/>
          </w:tcPr>
          <w:p w14:paraId="3A6A50B2">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废水</w:t>
            </w:r>
          </w:p>
        </w:tc>
        <w:tc>
          <w:tcPr>
            <w:tcW w:w="1505" w:type="dxa"/>
            <w:vAlign w:val="center"/>
          </w:tcPr>
          <w:p w14:paraId="6CE45C7F">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生活污水</w:t>
            </w:r>
          </w:p>
        </w:tc>
        <w:tc>
          <w:tcPr>
            <w:tcW w:w="2634" w:type="dxa"/>
            <w:vAlign w:val="center"/>
          </w:tcPr>
          <w:p w14:paraId="5ADFF9D5">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化粪池</w:t>
            </w:r>
          </w:p>
        </w:tc>
        <w:tc>
          <w:tcPr>
            <w:tcW w:w="1480" w:type="dxa"/>
            <w:vAlign w:val="center"/>
          </w:tcPr>
          <w:p w14:paraId="36DD0B9E">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COD、BOD、 SS、NH</w:t>
            </w:r>
            <w:r>
              <w:rPr>
                <w:rFonts w:hint="eastAsia" w:ascii="Times New Roman" w:hAnsi="Times New Roman" w:eastAsia="宋体" w:cs="Times New Roman"/>
                <w:color w:val="auto"/>
                <w:szCs w:val="24"/>
                <w:u w:val="none" w:color="auto"/>
                <w:vertAlign w:val="subscript"/>
              </w:rPr>
              <w:t>3</w:t>
            </w:r>
            <w:r>
              <w:rPr>
                <w:rFonts w:hint="eastAsia" w:ascii="Times New Roman" w:hAnsi="Times New Roman" w:eastAsia="宋体" w:cs="Times New Roman"/>
                <w:color w:val="auto"/>
                <w:szCs w:val="24"/>
                <w:u w:val="none" w:color="auto"/>
              </w:rPr>
              <w:t>-N</w:t>
            </w:r>
          </w:p>
        </w:tc>
        <w:tc>
          <w:tcPr>
            <w:tcW w:w="2182" w:type="dxa"/>
            <w:vAlign w:val="center"/>
          </w:tcPr>
          <w:p w14:paraId="1AFE834D">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lang w:eastAsia="zh-CN"/>
              </w:rPr>
              <w:t>大榄坪污水处理厂接管标准</w:t>
            </w:r>
            <w:r>
              <w:rPr>
                <w:rFonts w:hint="eastAsia" w:ascii="Times New Roman" w:hAnsi="Times New Roman" w:eastAsia="宋体" w:cs="Times New Roman"/>
                <w:color w:val="auto"/>
                <w:szCs w:val="24"/>
                <w:u w:val="none" w:color="auto"/>
              </w:rPr>
              <w:t>要求</w:t>
            </w:r>
          </w:p>
        </w:tc>
      </w:tr>
      <w:tr w14:paraId="1ADE9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Align w:val="center"/>
          </w:tcPr>
          <w:p w14:paraId="3953A3DF">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噪声</w:t>
            </w:r>
          </w:p>
        </w:tc>
        <w:tc>
          <w:tcPr>
            <w:tcW w:w="1505" w:type="dxa"/>
            <w:vAlign w:val="center"/>
          </w:tcPr>
          <w:p w14:paraId="61A5A63A">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生产设备</w:t>
            </w:r>
          </w:p>
        </w:tc>
        <w:tc>
          <w:tcPr>
            <w:tcW w:w="4114" w:type="dxa"/>
            <w:gridSpan w:val="2"/>
            <w:vAlign w:val="center"/>
          </w:tcPr>
          <w:p w14:paraId="666E5D7C">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减振、厂房隔声</w:t>
            </w:r>
          </w:p>
        </w:tc>
        <w:tc>
          <w:tcPr>
            <w:tcW w:w="2182" w:type="dxa"/>
            <w:vAlign w:val="center"/>
          </w:tcPr>
          <w:p w14:paraId="31BA1372">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《工业企业厂界环境噪声排放标准》GB12348-2008中的3类标准</w:t>
            </w:r>
          </w:p>
        </w:tc>
      </w:tr>
      <w:tr w14:paraId="27CDE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9" w:hRule="atLeast"/>
          <w:jc w:val="center"/>
        </w:trPr>
        <w:tc>
          <w:tcPr>
            <w:tcW w:w="495" w:type="dxa"/>
            <w:vAlign w:val="center"/>
          </w:tcPr>
          <w:p w14:paraId="19D398A1">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一般工业固废</w:t>
            </w:r>
          </w:p>
        </w:tc>
        <w:tc>
          <w:tcPr>
            <w:tcW w:w="1505" w:type="dxa"/>
            <w:vAlign w:val="center"/>
          </w:tcPr>
          <w:p w14:paraId="4D087C9B">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切割下脚料、</w:t>
            </w:r>
          </w:p>
          <w:p w14:paraId="6F4808CA">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净化器除尘灰、沉降粉尘、</w:t>
            </w:r>
          </w:p>
          <w:p w14:paraId="153FFB89">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滤筒除尘灰、</w:t>
            </w:r>
          </w:p>
          <w:p w14:paraId="3340DBAA">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废焊条焊渣、</w:t>
            </w:r>
          </w:p>
          <w:p w14:paraId="0A9F784D">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废钢丸</w:t>
            </w:r>
          </w:p>
        </w:tc>
        <w:tc>
          <w:tcPr>
            <w:tcW w:w="4114" w:type="dxa"/>
            <w:gridSpan w:val="2"/>
            <w:vAlign w:val="center"/>
          </w:tcPr>
          <w:p w14:paraId="22D42C0E">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收集</w:t>
            </w:r>
            <w:r>
              <w:rPr>
                <w:rFonts w:hint="eastAsia" w:ascii="Times New Roman" w:hAnsi="Times New Roman" w:eastAsia="宋体" w:cs="Times New Roman"/>
                <w:color w:val="auto"/>
                <w:szCs w:val="24"/>
                <w:u w:val="none" w:color="auto"/>
              </w:rPr>
              <w:t>在一般固体废物暂存间，定期</w:t>
            </w:r>
            <w:r>
              <w:rPr>
                <w:rFonts w:ascii="Times New Roman" w:hAnsi="Times New Roman" w:eastAsia="宋体" w:cs="Times New Roman"/>
                <w:color w:val="auto"/>
                <w:szCs w:val="24"/>
                <w:u w:val="none" w:color="auto"/>
              </w:rPr>
              <w:t>外售</w:t>
            </w:r>
          </w:p>
        </w:tc>
        <w:tc>
          <w:tcPr>
            <w:tcW w:w="2182" w:type="dxa"/>
            <w:vAlign w:val="center"/>
          </w:tcPr>
          <w:p w14:paraId="2E6E2147">
            <w:pPr>
              <w:autoSpaceDE w:val="0"/>
              <w:autoSpaceDN w:val="0"/>
              <w:jc w:val="center"/>
              <w:rPr>
                <w:rFonts w:hint="eastAsia" w:ascii="Times New Roman" w:hAnsi="Times New Roman" w:eastAsia="宋体" w:cs="Times New Roman"/>
                <w:color w:val="auto"/>
                <w:szCs w:val="24"/>
                <w:u w:val="none" w:color="auto"/>
                <w:lang w:eastAsia="zh-CN"/>
              </w:rPr>
            </w:pPr>
            <w:r>
              <w:rPr>
                <w:rFonts w:hint="eastAsia" w:ascii="Times New Roman" w:hAnsi="Times New Roman" w:eastAsia="宋体" w:cs="Times New Roman"/>
                <w:color w:val="auto"/>
                <w:szCs w:val="24"/>
                <w:u w:val="none" w:color="auto"/>
                <w:lang w:val="en-US" w:eastAsia="zh-CN"/>
              </w:rPr>
              <w:t>/</w:t>
            </w:r>
          </w:p>
        </w:tc>
      </w:tr>
      <w:tr w14:paraId="4B6D5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Align w:val="center"/>
          </w:tcPr>
          <w:p w14:paraId="2D490985">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危险废物</w:t>
            </w:r>
          </w:p>
        </w:tc>
        <w:tc>
          <w:tcPr>
            <w:tcW w:w="1505" w:type="dxa"/>
            <w:vAlign w:val="center"/>
          </w:tcPr>
          <w:p w14:paraId="04D286B7">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废过滤棉、废活性炭、废催化剂、废油漆桶、废稀释剂桶、废固化剂桶、废润滑油桶、废润滑油、漆渣、废含油抹布</w:t>
            </w:r>
          </w:p>
        </w:tc>
        <w:tc>
          <w:tcPr>
            <w:tcW w:w="4114" w:type="dxa"/>
            <w:gridSpan w:val="2"/>
            <w:vAlign w:val="center"/>
          </w:tcPr>
          <w:p w14:paraId="5D8B7D81">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暂存于危险废物暂存间，定期</w:t>
            </w:r>
            <w:r>
              <w:rPr>
                <w:rFonts w:ascii="Times New Roman" w:hAnsi="Times New Roman" w:eastAsia="宋体" w:cs="Times New Roman"/>
                <w:color w:val="auto"/>
                <w:szCs w:val="24"/>
                <w:u w:val="none" w:color="auto"/>
              </w:rPr>
              <w:t>交有资质单位处理</w:t>
            </w:r>
          </w:p>
        </w:tc>
        <w:tc>
          <w:tcPr>
            <w:tcW w:w="2182" w:type="dxa"/>
            <w:vAlign w:val="center"/>
          </w:tcPr>
          <w:p w14:paraId="07A70574">
            <w:pPr>
              <w:autoSpaceDE w:val="0"/>
              <w:autoSpaceDN w:val="0"/>
              <w:jc w:val="center"/>
              <w:rPr>
                <w:rFonts w:hint="eastAsia" w:ascii="Times New Roman" w:hAnsi="Times New Roman" w:eastAsia="宋体" w:cs="Times New Roman"/>
                <w:color w:val="auto"/>
                <w:szCs w:val="24"/>
                <w:u w:val="none" w:color="auto"/>
                <w:lang w:eastAsia="zh-CN"/>
              </w:rPr>
            </w:pPr>
            <w:r>
              <w:rPr>
                <w:rFonts w:hint="eastAsia" w:ascii="Times New Roman" w:hAnsi="Times New Roman" w:eastAsia="宋体" w:cs="Times New Roman"/>
                <w:color w:val="auto"/>
                <w:szCs w:val="24"/>
                <w:u w:val="none" w:color="auto"/>
                <w:lang w:eastAsia="zh-CN"/>
              </w:rPr>
              <w:t>《危险废物贮存污染控制标准》（GB18597-2023）</w:t>
            </w:r>
          </w:p>
        </w:tc>
      </w:tr>
      <w:tr w14:paraId="21FD4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000" w:type="dxa"/>
            <w:gridSpan w:val="2"/>
            <w:vAlign w:val="center"/>
          </w:tcPr>
          <w:p w14:paraId="6A69BFC5">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生活垃圾</w:t>
            </w:r>
          </w:p>
        </w:tc>
        <w:tc>
          <w:tcPr>
            <w:tcW w:w="4114" w:type="dxa"/>
            <w:gridSpan w:val="2"/>
            <w:vAlign w:val="center"/>
          </w:tcPr>
          <w:p w14:paraId="5D6F9669">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环卫部门</w:t>
            </w:r>
            <w:r>
              <w:rPr>
                <w:rFonts w:hint="eastAsia" w:ascii="Times New Roman" w:hAnsi="Times New Roman" w:eastAsia="宋体" w:cs="Times New Roman"/>
                <w:color w:val="auto"/>
                <w:szCs w:val="24"/>
                <w:u w:val="none" w:color="auto"/>
              </w:rPr>
              <w:t>清运处理</w:t>
            </w:r>
          </w:p>
        </w:tc>
        <w:tc>
          <w:tcPr>
            <w:tcW w:w="2182" w:type="dxa"/>
            <w:vAlign w:val="center"/>
          </w:tcPr>
          <w:p w14:paraId="1B491A3E">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w:t>
            </w:r>
          </w:p>
        </w:tc>
      </w:tr>
      <w:tr w14:paraId="5A3EE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95" w:type="dxa"/>
            <w:vAlign w:val="center"/>
          </w:tcPr>
          <w:p w14:paraId="038FB458">
            <w:pPr>
              <w:autoSpaceDE w:val="0"/>
              <w:autoSpaceDN w:val="0"/>
              <w:jc w:val="center"/>
              <w:rPr>
                <w:rFonts w:ascii="Times New Roman" w:hAnsi="Times New Roman" w:eastAsia="宋体" w:cs="Times New Roman"/>
                <w:color w:val="auto"/>
                <w:szCs w:val="24"/>
                <w:u w:val="none" w:color="auto"/>
              </w:rPr>
            </w:pPr>
            <w:r>
              <w:rPr>
                <w:rFonts w:ascii="Times New Roman" w:hAnsi="Times New Roman" w:eastAsia="宋体" w:cs="Times New Roman"/>
                <w:color w:val="auto"/>
                <w:szCs w:val="24"/>
                <w:u w:val="none" w:color="auto"/>
              </w:rPr>
              <w:t>风险</w:t>
            </w:r>
          </w:p>
        </w:tc>
        <w:tc>
          <w:tcPr>
            <w:tcW w:w="7801" w:type="dxa"/>
            <w:gridSpan w:val="4"/>
            <w:vAlign w:val="center"/>
          </w:tcPr>
          <w:p w14:paraId="0147784A">
            <w:pPr>
              <w:autoSpaceDE w:val="0"/>
              <w:autoSpaceDN w:val="0"/>
              <w:jc w:val="center"/>
              <w:rPr>
                <w:rFonts w:ascii="Times New Roman" w:hAnsi="Times New Roman" w:eastAsia="宋体" w:cs="Times New Roman"/>
                <w:color w:val="auto"/>
                <w:szCs w:val="24"/>
                <w:u w:val="none" w:color="auto"/>
              </w:rPr>
            </w:pPr>
            <w:r>
              <w:rPr>
                <w:rFonts w:hint="eastAsia" w:ascii="Times New Roman" w:hAnsi="Times New Roman" w:eastAsia="宋体" w:cs="Times New Roman"/>
                <w:color w:val="auto"/>
                <w:szCs w:val="24"/>
                <w:u w:val="none" w:color="auto"/>
              </w:rPr>
              <w:t>厂区设置应急池</w:t>
            </w:r>
          </w:p>
        </w:tc>
      </w:tr>
    </w:tbl>
    <w:p w14:paraId="30375416">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13" w:name="_Toc11235"/>
      <w:r>
        <w:rPr>
          <w:rFonts w:hint="eastAsia" w:ascii="Times New Roman" w:hAnsi="Times New Roman" w:eastAsia="宋体" w:cs="Times New Roman"/>
          <w:b/>
          <w:color w:val="auto"/>
          <w:kern w:val="0"/>
          <w:sz w:val="32"/>
          <w:szCs w:val="32"/>
          <w:u w:val="none" w:color="auto"/>
        </w:rPr>
        <w:t>7</w:t>
      </w:r>
      <w:r>
        <w:rPr>
          <w:rFonts w:ascii="Times New Roman" w:hAnsi="Times New Roman" w:eastAsia="宋体" w:cs="Times New Roman"/>
          <w:b/>
          <w:color w:val="auto"/>
          <w:kern w:val="0"/>
          <w:sz w:val="32"/>
          <w:szCs w:val="32"/>
          <w:u w:val="none" w:color="auto"/>
        </w:rPr>
        <w:t>.5排污口规范化</w:t>
      </w:r>
      <w:bookmarkEnd w:id="311"/>
      <w:bookmarkEnd w:id="312"/>
      <w:bookmarkEnd w:id="313"/>
    </w:p>
    <w:p w14:paraId="20ECBB15">
      <w:pPr>
        <w:spacing w:line="360" w:lineRule="auto"/>
        <w:ind w:firstLine="480" w:firstLineChars="200"/>
        <w:rPr>
          <w:rFonts w:hint="default" w:ascii="Times New Roman" w:hAnsi="Times New Roman" w:eastAsia="宋体" w:cs="Times New Roman"/>
          <w:color w:val="auto"/>
          <w:sz w:val="24"/>
          <w:szCs w:val="24"/>
          <w:u w:val="none" w:color="auto"/>
        </w:rPr>
      </w:pPr>
      <w:bookmarkStart w:id="314" w:name="_Toc3728313"/>
      <w:bookmarkStart w:id="315" w:name="_Toc530130493"/>
      <w:r>
        <w:rPr>
          <w:rFonts w:hint="default" w:ascii="Times New Roman" w:hAnsi="Times New Roman" w:eastAsia="宋体" w:cs="Times New Roman"/>
          <w:color w:val="auto"/>
          <w:sz w:val="24"/>
          <w:szCs w:val="24"/>
          <w:u w:val="none" w:color="auto"/>
        </w:rPr>
        <w:t>根据国家标准《环境保护图形标志—排放口（源）》和国家环保总局《排污口规范化整治要求（试行）》的技术要求，企业所有排放口必须按照“便于采样、便于计量监测、便于日常现场监督检查”的原则和规范化要求，设置排污口标志牌，绘制企业排污口公布图，同时对污水排放口安装流量计，对治理设施安装运行监控装置。</w:t>
      </w:r>
    </w:p>
    <w:p w14:paraId="097C975A">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（1）污水排放口</w:t>
      </w:r>
    </w:p>
    <w:p w14:paraId="7273DA05">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本项目废水总排放口需按照《环境保护图形标志——排放口（源）》（GB15562.1-1995）的要求，应在排污口附近醒目处设立环境保护图形标志牌，标明排放污染物种类等。</w:t>
      </w:r>
    </w:p>
    <w:p w14:paraId="546A36A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（2）废气排放口</w:t>
      </w:r>
    </w:p>
    <w:p w14:paraId="50502280">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本项目共设</w:t>
      </w:r>
      <w:r>
        <w:rPr>
          <w:rFonts w:hint="eastAsia"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个废气排放口，应按照《环境保护图形保护标志——排放口（源）》（GB15562.1-1995）的要求，设立环保图形标识牌标明排气筒高度、出口内径、排放污染物种类等。</w:t>
      </w:r>
    </w:p>
    <w:p w14:paraId="5DAB1F9A">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废气排放口必须符合规定的高度和《污染源监测技术规范》中便于采样、监测的要求，设置直径不小于75mm的采样口，如无法满足要求的，由当地环保部门确定。</w:t>
      </w:r>
    </w:p>
    <w:p w14:paraId="5849B54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（3）固定噪声排放源</w:t>
      </w:r>
    </w:p>
    <w:p w14:paraId="6D147744">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按规定对固定噪声源进行治理，并在企业边界噪声敏感点且对外影响最大处设置标志牌。</w:t>
      </w:r>
    </w:p>
    <w:p w14:paraId="541FAE0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（4）固体废物贮存（处置）场</w:t>
      </w:r>
    </w:p>
    <w:p w14:paraId="7B0D2E94">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一般固体废渣（如</w:t>
      </w:r>
      <w:r>
        <w:rPr>
          <w:rFonts w:hint="eastAsia" w:ascii="Times New Roman" w:hAnsi="Times New Roman" w:eastAsia="宋体" w:cs="Times New Roman"/>
          <w:color w:val="auto"/>
          <w:sz w:val="24"/>
          <w:szCs w:val="24"/>
          <w:u w:val="none" w:color="auto"/>
        </w:rPr>
        <w:t>过滤渣</w:t>
      </w:r>
      <w:r>
        <w:rPr>
          <w:rFonts w:hint="default" w:ascii="Times New Roman" w:hAnsi="Times New Roman" w:eastAsia="宋体" w:cs="Times New Roman"/>
          <w:color w:val="auto"/>
          <w:sz w:val="24"/>
          <w:szCs w:val="24"/>
          <w:u w:val="none" w:color="auto"/>
        </w:rPr>
        <w:t>）应设置专用堆放场地，并采取二次扬尘措施，有毒有害固体废物必须设置专用堆放场地，有防扬散、防流失、防渗漏等措施。有毒有害固体废物等危险废物，应设置专用堆放场地，并必须有防扬散，防流失，防渗漏等防治措施。</w:t>
      </w:r>
    </w:p>
    <w:p w14:paraId="48B4408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（4）排污口立标和建档</w:t>
      </w:r>
    </w:p>
    <w:p w14:paraId="499ABC9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①排污口立标管理</w:t>
      </w:r>
    </w:p>
    <w:p w14:paraId="619B80D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根据国家标准《环境保护图形标志—排放口（源）》、国家环保总局《排污口规范化整治要求（试行）》和《环境保护图形标志一固体废物贮存</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处置</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场》(GB 15562.2-1995</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修改单危险废物识别标志设置技术规范</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HJ1276一2022</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的技术要求，设置统一制作的环境保护图形标志牌，污染物排放口设置提示性</w:t>
      </w:r>
      <w:r>
        <w:rPr>
          <w:rFonts w:hint="eastAsia" w:ascii="Times New Roman" w:hAnsi="Times New Roman" w:eastAsia="宋体" w:cs="Times New Roman"/>
          <w:color w:val="auto"/>
          <w:sz w:val="24"/>
          <w:szCs w:val="24"/>
          <w:u w:val="none" w:color="auto"/>
          <w:lang w:eastAsia="zh-CN"/>
        </w:rPr>
        <w:t>环境</w:t>
      </w:r>
      <w:r>
        <w:rPr>
          <w:rFonts w:hint="default" w:ascii="Times New Roman" w:hAnsi="Times New Roman" w:eastAsia="宋体" w:cs="Times New Roman"/>
          <w:color w:val="auto"/>
          <w:sz w:val="24"/>
          <w:szCs w:val="24"/>
          <w:u w:val="none" w:color="auto"/>
        </w:rPr>
        <w:t>保护图形标志牌。污染物排放口的环保图形标志牌应设置在靠近采样点的醒目处，标志牌设置高度为其上缘距地面2m。示例见下图。</w:t>
      </w:r>
    </w:p>
    <w:p w14:paraId="40928F50">
      <w:pPr>
        <w:pageBreakBefore w:val="0"/>
        <w:kinsoku/>
        <w:wordWrap/>
        <w:overflowPunct/>
        <w:topLinePunct w:val="0"/>
        <w:autoSpaceDE/>
        <w:autoSpaceDN/>
        <w:bidi w:val="0"/>
        <w:spacing w:line="360" w:lineRule="auto"/>
        <w:ind w:firstLine="420" w:firstLineChars="200"/>
        <w:jc w:val="center"/>
        <w:textAlignment w:val="auto"/>
        <w:rPr>
          <w:rFonts w:hint="default" w:ascii="Times New Roman" w:hAnsi="Times New Roman" w:eastAsia="宋体" w:cs="Times New Roman"/>
          <w:color w:val="auto"/>
          <w:highlight w:val="none"/>
          <w:u w:val="none" w:color="auto"/>
        </w:rPr>
      </w:pPr>
      <w:r>
        <w:rPr>
          <w:b/>
          <w:color w:val="auto"/>
          <w:kern w:val="0"/>
          <w:sz w:val="21"/>
          <w:u w:val="none" w:color="auto"/>
        </w:rPr>
        <w:drawing>
          <wp:inline distT="0" distB="0" distL="114300" distR="114300">
            <wp:extent cx="4181475" cy="2057400"/>
            <wp:effectExtent l="0" t="0" r="9525" b="0"/>
            <wp:docPr id="296" name="图片 151" descr="C:/Users/Administrator/Desktop/1环保图标.jpg1环保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51" descr="C:/Users/Administrator/Desktop/1环保图标.jpg1环保图标"/>
                    <pic:cNvPicPr>
                      <a:picLocks noChangeAspect="1"/>
                    </pic:cNvPicPr>
                  </pic:nvPicPr>
                  <pic:blipFill>
                    <a:blip r:embed="rId92"/>
                    <a:srcRect t="23" b="23"/>
                    <a:stretch>
                      <a:fillRect/>
                    </a:stretch>
                  </pic:blipFill>
                  <pic:spPr>
                    <a:xfrm>
                      <a:off x="0" y="0"/>
                      <a:ext cx="4181475" cy="2057400"/>
                    </a:xfrm>
                    <a:prstGeom prst="rect">
                      <a:avLst/>
                    </a:prstGeom>
                    <a:noFill/>
                    <a:ln>
                      <a:noFill/>
                    </a:ln>
                  </pic:spPr>
                </pic:pic>
              </a:graphicData>
            </a:graphic>
          </wp:inline>
        </w:drawing>
      </w:r>
    </w:p>
    <w:p w14:paraId="63D927D1">
      <w:pPr>
        <w:pStyle w:val="7"/>
        <w:pageBreakBefore w:val="0"/>
        <w:numPr>
          <w:ilvl w:val="5"/>
          <w:numId w:val="18"/>
        </w:numPr>
        <w:kinsoku/>
        <w:wordWrap/>
        <w:overflowPunct/>
        <w:topLinePunct w:val="0"/>
        <w:autoSpaceDE/>
        <w:autoSpaceDN/>
        <w:bidi w:val="0"/>
        <w:spacing w:before="0" w:after="0" w:line="360" w:lineRule="auto"/>
        <w:ind w:firstLine="482" w:firstLineChars="200"/>
        <w:jc w:val="center"/>
        <w:textAlignment w:val="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排污口图形标志示例图</w:t>
      </w:r>
    </w:p>
    <w:p w14:paraId="74E66D0A">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②排污口建档管理</w:t>
      </w:r>
    </w:p>
    <w:p w14:paraId="51B4CE54">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项目应使用</w:t>
      </w:r>
      <w:r>
        <w:rPr>
          <w:rFonts w:hint="eastAsia" w:ascii="Times New Roman" w:hAnsi="Times New Roman" w:eastAsia="宋体" w:cs="Times New Roman"/>
          <w:color w:val="auto"/>
          <w:sz w:val="24"/>
          <w:szCs w:val="24"/>
          <w:u w:val="none" w:color="auto"/>
          <w:lang w:eastAsia="zh-CN"/>
        </w:rPr>
        <w:t>生态环境部</w:t>
      </w:r>
      <w:r>
        <w:rPr>
          <w:rFonts w:hint="default" w:ascii="Times New Roman" w:hAnsi="Times New Roman" w:eastAsia="宋体" w:cs="Times New Roman"/>
          <w:color w:val="auto"/>
          <w:sz w:val="24"/>
          <w:szCs w:val="24"/>
          <w:u w:val="none" w:color="auto"/>
        </w:rPr>
        <w:t>统一印制的《中华人民共和国规范化排污口标志登记证》，并按要求填写有关内容，项目建成后，应将主要污染物种类、数量、浓度、排放去向、达标情况及设施运行情况记录于档案。</w:t>
      </w:r>
    </w:p>
    <w:p w14:paraId="7FA59C0A">
      <w:pPr>
        <w:pStyle w:val="3"/>
        <w:tabs>
          <w:tab w:val="left" w:pos="576"/>
          <w:tab w:val="left" w:pos="921"/>
          <w:tab w:val="left" w:pos="1401"/>
        </w:tabs>
        <w:bidi w:val="0"/>
        <w:rPr>
          <w:rFonts w:hint="default"/>
          <w:color w:val="auto"/>
          <w:u w:val="none" w:color="auto"/>
        </w:rPr>
      </w:pPr>
      <w:bookmarkStart w:id="316" w:name="_Toc19206"/>
      <w:bookmarkStart w:id="317" w:name="_Toc9652"/>
      <w:r>
        <w:rPr>
          <w:rFonts w:hint="default"/>
          <w:color w:val="auto"/>
          <w:u w:val="none" w:color="auto"/>
        </w:rPr>
        <w:t>排污许可要求</w:t>
      </w:r>
      <w:bookmarkEnd w:id="316"/>
      <w:bookmarkEnd w:id="317"/>
    </w:p>
    <w:p w14:paraId="19C69C5D">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国务院办公厅2016年11月10日颁发《国务院办公厅关于印发控制污染物排放许可制度实施方案的通知》（国办发〔2016〕81号），完成覆盖所有固定污染源的排污许可证核发工作，并建立健全企事业单位污染物排放总量控制制度，逐步实现由行政区域污染物排放总量控制向企事业单位污染物</w:t>
      </w:r>
      <w:r>
        <w:rPr>
          <w:rFonts w:hint="eastAsia" w:cs="Times New Roman"/>
          <w:color w:val="auto"/>
          <w:sz w:val="24"/>
          <w:szCs w:val="24"/>
          <w:u w:val="none" w:color="auto"/>
          <w:lang w:eastAsia="zh-CN"/>
        </w:rPr>
        <w:t>排放</w:t>
      </w:r>
      <w:r>
        <w:rPr>
          <w:rFonts w:hint="default" w:ascii="Times New Roman" w:hAnsi="Times New Roman" w:eastAsia="宋体" w:cs="Times New Roman"/>
          <w:color w:val="auto"/>
          <w:sz w:val="24"/>
          <w:szCs w:val="24"/>
          <w:u w:val="none" w:color="auto"/>
        </w:rPr>
        <w:t>总量控制转变，控制的范围逐渐统一到固定污染源。</w:t>
      </w:r>
    </w:p>
    <w:p w14:paraId="050259AF">
      <w:pPr>
        <w:autoSpaceDE w:val="0"/>
        <w:autoSpaceDN w:val="0"/>
        <w:snapToGrid w:val="0"/>
        <w:spacing w:line="360" w:lineRule="auto"/>
        <w:ind w:firstLine="480"/>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根据《排污许可管理条例》（2021年），排污单位应当向其生产经营场所所在地设区的市级以上地方人民政府生态环境主管部门（以下称审批部门）申请取得排污许可证；未取得排污许可证的，不得排放污染物。</w:t>
      </w:r>
    </w:p>
    <w:p w14:paraId="2523B078">
      <w:pPr>
        <w:autoSpaceDE w:val="0"/>
        <w:autoSpaceDN w:val="0"/>
        <w:snapToGrid w:val="0"/>
        <w:spacing w:line="360" w:lineRule="auto"/>
        <w:ind w:firstLine="480"/>
        <w:rPr>
          <w:rFonts w:hint="default" w:ascii="Times New Roman" w:hAnsi="Times New Roman" w:eastAsia="宋体" w:cs="Times New Roman"/>
          <w:color w:val="auto"/>
          <w:kern w:val="0"/>
          <w:sz w:val="24"/>
          <w:szCs w:val="24"/>
          <w:u w:val="none" w:color="auto"/>
          <w:lang w:val="en-US" w:eastAsia="zh-CN"/>
        </w:rPr>
      </w:pPr>
      <w:r>
        <w:rPr>
          <w:rFonts w:hint="default" w:ascii="Times New Roman" w:hAnsi="Times New Roman" w:eastAsia="宋体" w:cs="Times New Roman"/>
          <w:color w:val="auto"/>
          <w:kern w:val="0"/>
          <w:sz w:val="24"/>
          <w:szCs w:val="24"/>
          <w:u w:val="none" w:color="auto"/>
        </w:rPr>
        <w:t>综上，项目必须及时申领排污许可证，环境影响评价文件及批复中与污染物排放相关的主要内容应纳入排污许可证，其排污许可证执行情况应作为环境影响后评价的重要依据。</w:t>
      </w:r>
    </w:p>
    <w:p w14:paraId="5BF75A31">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18" w:name="_Toc17202"/>
      <w:r>
        <w:rPr>
          <w:rFonts w:hint="eastAsia" w:ascii="Times New Roman" w:hAnsi="Times New Roman" w:eastAsia="宋体" w:cs="Times New Roman"/>
          <w:b/>
          <w:color w:val="auto"/>
          <w:kern w:val="0"/>
          <w:sz w:val="32"/>
          <w:szCs w:val="32"/>
          <w:u w:val="none" w:color="auto"/>
        </w:rPr>
        <w:t>7</w:t>
      </w:r>
      <w:r>
        <w:rPr>
          <w:rFonts w:ascii="Times New Roman" w:hAnsi="Times New Roman" w:eastAsia="宋体" w:cs="Times New Roman"/>
          <w:b/>
          <w:color w:val="auto"/>
          <w:kern w:val="0"/>
          <w:sz w:val="32"/>
          <w:szCs w:val="32"/>
          <w:u w:val="none" w:color="auto"/>
        </w:rPr>
        <w:t>.6小结</w:t>
      </w:r>
      <w:bookmarkEnd w:id="314"/>
      <w:bookmarkEnd w:id="315"/>
      <w:bookmarkEnd w:id="318"/>
    </w:p>
    <w:p w14:paraId="3514199D">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环境管理是企业管理的一项重要内容，加强环境监管力度，是实现环境、生产、经济协调发展和走可持续发展道路的重要措施。</w:t>
      </w:r>
    </w:p>
    <w:p w14:paraId="45E4FD5F">
      <w:pPr>
        <w:autoSpaceDE w:val="0"/>
        <w:autoSpaceDN w:val="0"/>
        <w:snapToGrid w:val="0"/>
        <w:spacing w:line="360" w:lineRule="auto"/>
        <w:ind w:firstLine="48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环境监理工作由建设单位选择有资质的环境监理机构承担。环境监理机构依法对施工单位、承包商、供应商执行国家环保法律、法规、制度、标准、规范的情况进行监督检查。施工期环境监理内容主要包括环保达标监理和环保工程监理。环保达标监理是使主体工程的施工符合环境保护的要求，施工场地周围环境满足环境质量标准的要求。</w:t>
      </w:r>
    </w:p>
    <w:p w14:paraId="4F31D061">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本项目营运期环境监测工作由有资质的环境监测部门实施监测，负责对企业总排口、废气和企业噪声等进行必要的监测，完成常规环境监测任务，在突发性污染事故中负责对大气、水体环境进行及时监测。</w:t>
      </w:r>
    </w:p>
    <w:p w14:paraId="64575548">
      <w:pPr>
        <w:widowControl/>
        <w:autoSpaceDE w:val="0"/>
        <w:autoSpaceDN w:val="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br w:type="page"/>
      </w:r>
    </w:p>
    <w:p w14:paraId="3D5C99BB">
      <w:pPr>
        <w:autoSpaceDE w:val="0"/>
        <w:autoSpaceDN w:val="0"/>
        <w:spacing w:before="312" w:beforeLines="100" w:after="624" w:afterLines="200" w:line="360" w:lineRule="auto"/>
        <w:jc w:val="center"/>
        <w:outlineLvl w:val="0"/>
        <w:rPr>
          <w:rFonts w:ascii="Times New Roman" w:hAnsi="Times New Roman" w:eastAsia="宋体" w:cs="Times New Roman"/>
          <w:b/>
          <w:color w:val="auto"/>
          <w:kern w:val="0"/>
          <w:sz w:val="44"/>
          <w:szCs w:val="44"/>
          <w:u w:val="none" w:color="auto"/>
        </w:rPr>
      </w:pPr>
      <w:bookmarkStart w:id="319" w:name="_Toc16098"/>
      <w:bookmarkStart w:id="320" w:name="_Toc3728314"/>
      <w:r>
        <w:rPr>
          <w:rFonts w:hint="eastAsia" w:ascii="Times New Roman" w:hAnsi="Times New Roman" w:eastAsia="宋体" w:cs="Times New Roman"/>
          <w:b/>
          <w:color w:val="auto"/>
          <w:kern w:val="0"/>
          <w:sz w:val="44"/>
          <w:szCs w:val="44"/>
          <w:u w:val="none" w:color="auto"/>
        </w:rPr>
        <w:t>8</w:t>
      </w:r>
      <w:r>
        <w:rPr>
          <w:rFonts w:ascii="Times New Roman" w:hAnsi="Times New Roman" w:eastAsia="宋体" w:cs="Times New Roman"/>
          <w:b/>
          <w:color w:val="auto"/>
          <w:kern w:val="0"/>
          <w:sz w:val="44"/>
          <w:szCs w:val="44"/>
          <w:u w:val="none" w:color="auto"/>
        </w:rPr>
        <w:t>结论</w:t>
      </w:r>
      <w:bookmarkEnd w:id="319"/>
      <w:bookmarkEnd w:id="320"/>
    </w:p>
    <w:p w14:paraId="033E74C1">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21" w:name="_Toc12394"/>
      <w:bookmarkStart w:id="322" w:name="_Toc3728315"/>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.1项目概况</w:t>
      </w:r>
      <w:bookmarkEnd w:id="321"/>
      <w:bookmarkEnd w:id="322"/>
    </w:p>
    <w:p w14:paraId="58351E0B">
      <w:pPr>
        <w:autoSpaceDE w:val="0"/>
        <w:autoSpaceDN w:val="0"/>
        <w:snapToGrid w:val="0"/>
        <w:spacing w:line="360" w:lineRule="auto"/>
        <w:ind w:firstLine="480" w:firstLineChars="200"/>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钦州锦峰海洋重装二期项目</w:t>
      </w:r>
      <w:r>
        <w:rPr>
          <w:rFonts w:ascii="Times New Roman" w:hAnsi="Times New Roman" w:eastAsia="宋体" w:cs="Times New Roman"/>
          <w:color w:val="auto"/>
          <w:sz w:val="24"/>
          <w:szCs w:val="24"/>
          <w:u w:val="none" w:color="auto"/>
        </w:rPr>
        <w:t>建设地点位于钦州港大榄坪港区大榄坪作业区</w:t>
      </w:r>
      <w:r>
        <w:rPr>
          <w:rFonts w:hint="eastAsia" w:ascii="Times New Roman" w:hAnsi="Times New Roman" w:eastAsia="宋体" w:cs="Times New Roman"/>
          <w:color w:val="auto"/>
          <w:sz w:val="24"/>
          <w:szCs w:val="24"/>
          <w:u w:val="none" w:color="auto"/>
        </w:rPr>
        <w:t>，</w:t>
      </w:r>
      <w:r>
        <w:rPr>
          <w:rFonts w:ascii="Times New Roman" w:hAnsi="Times New Roman" w:eastAsia="宋体" w:cs="Times New Roman"/>
          <w:color w:val="auto"/>
          <w:sz w:val="24"/>
          <w:szCs w:val="24"/>
          <w:u w:val="none" w:color="auto"/>
        </w:rPr>
        <w:t>项目总投资</w:t>
      </w:r>
      <w:r>
        <w:rPr>
          <w:rFonts w:hint="eastAsia" w:ascii="Times New Roman" w:hAnsi="Times New Roman" w:eastAsia="宋体" w:cs="Times New Roman"/>
          <w:color w:val="auto"/>
          <w:sz w:val="24"/>
          <w:szCs w:val="24"/>
          <w:u w:val="none" w:color="auto"/>
          <w:lang w:eastAsia="zh-CN"/>
        </w:rPr>
        <w:t>51250</w:t>
      </w:r>
      <w:r>
        <w:rPr>
          <w:rFonts w:ascii="Times New Roman" w:hAnsi="Times New Roman" w:eastAsia="宋体" w:cs="Times New Roman"/>
          <w:color w:val="auto"/>
          <w:sz w:val="24"/>
          <w:szCs w:val="24"/>
          <w:u w:val="none" w:color="auto"/>
        </w:rPr>
        <w:t>万元，</w:t>
      </w:r>
      <w:r>
        <w:rPr>
          <w:rFonts w:hint="eastAsia" w:ascii="Times New Roman" w:hAnsi="Times New Roman" w:eastAsia="宋体" w:cs="Times New Roman"/>
          <w:color w:val="auto"/>
          <w:sz w:val="24"/>
          <w:szCs w:val="24"/>
          <w:u w:val="none" w:color="auto"/>
        </w:rPr>
        <w:t>其中</w:t>
      </w:r>
      <w:r>
        <w:rPr>
          <w:rFonts w:ascii="Times New Roman" w:hAnsi="Times New Roman" w:eastAsia="宋体" w:cs="Times New Roman"/>
          <w:color w:val="auto"/>
          <w:kern w:val="0"/>
          <w:sz w:val="24"/>
          <w:szCs w:val="24"/>
          <w:u w:val="none" w:color="auto"/>
        </w:rPr>
        <w:t>环保投资</w:t>
      </w:r>
      <w:r>
        <w:rPr>
          <w:rFonts w:hint="eastAsia" w:ascii="Times New Roman" w:hAnsi="Times New Roman" w:eastAsia="宋体" w:cs="Times New Roman"/>
          <w:color w:val="auto"/>
          <w:kern w:val="0"/>
          <w:sz w:val="24"/>
          <w:szCs w:val="24"/>
          <w:u w:val="none" w:color="auto"/>
          <w:lang w:val="en-US" w:eastAsia="zh-CN"/>
        </w:rPr>
        <w:t>520</w:t>
      </w:r>
      <w:r>
        <w:rPr>
          <w:rFonts w:ascii="Times New Roman" w:hAnsi="Times New Roman" w:eastAsia="宋体" w:cs="Times New Roman"/>
          <w:color w:val="auto"/>
          <w:kern w:val="0"/>
          <w:sz w:val="24"/>
          <w:szCs w:val="24"/>
          <w:u w:val="none" w:color="auto"/>
        </w:rPr>
        <w:t>万元，环保投资占总投资约</w:t>
      </w:r>
      <w:r>
        <w:rPr>
          <w:rFonts w:hint="eastAsia" w:ascii="Times New Roman" w:hAnsi="Times New Roman" w:eastAsia="宋体" w:cs="Times New Roman"/>
          <w:color w:val="auto"/>
          <w:kern w:val="0"/>
          <w:sz w:val="24"/>
          <w:szCs w:val="24"/>
          <w:u w:val="none" w:color="auto"/>
          <w:lang w:val="en-US" w:eastAsia="zh-CN"/>
        </w:rPr>
        <w:t>1.01</w:t>
      </w:r>
      <w:r>
        <w:rPr>
          <w:rFonts w:hint="eastAsia" w:ascii="Times New Roman" w:hAnsi="Times New Roman" w:eastAsia="宋体" w:cs="Times New Roman"/>
          <w:color w:val="auto"/>
          <w:kern w:val="0"/>
          <w:sz w:val="24"/>
          <w:szCs w:val="24"/>
          <w:u w:val="none" w:color="auto"/>
          <w:lang w:eastAsia="zh-CN"/>
        </w:rPr>
        <w:t>%</w:t>
      </w:r>
      <w:r>
        <w:rPr>
          <w:rFonts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single" w:color="auto"/>
        </w:rPr>
        <w:t>职工</w:t>
      </w:r>
      <w:r>
        <w:rPr>
          <w:rFonts w:hint="eastAsia" w:ascii="Times New Roman" w:hAnsi="Times New Roman" w:eastAsia="宋体" w:cs="Times New Roman"/>
          <w:color w:val="auto"/>
          <w:kern w:val="0"/>
          <w:sz w:val="24"/>
          <w:szCs w:val="24"/>
          <w:u w:val="single" w:color="auto"/>
        </w:rPr>
        <w:t>150</w:t>
      </w:r>
      <w:r>
        <w:rPr>
          <w:rFonts w:ascii="Times New Roman" w:hAnsi="Times New Roman" w:eastAsia="宋体" w:cs="Times New Roman"/>
          <w:color w:val="auto"/>
          <w:kern w:val="0"/>
          <w:sz w:val="24"/>
          <w:szCs w:val="24"/>
          <w:u w:val="single" w:color="auto"/>
        </w:rPr>
        <w:t>人，年工作3</w:t>
      </w:r>
      <w:r>
        <w:rPr>
          <w:rFonts w:hint="eastAsia" w:ascii="Times New Roman" w:hAnsi="Times New Roman" w:eastAsia="宋体" w:cs="Times New Roman"/>
          <w:color w:val="auto"/>
          <w:kern w:val="0"/>
          <w:sz w:val="24"/>
          <w:szCs w:val="24"/>
          <w:u w:val="single" w:color="auto"/>
        </w:rPr>
        <w:t>3</w:t>
      </w:r>
      <w:r>
        <w:rPr>
          <w:rFonts w:ascii="Times New Roman" w:hAnsi="Times New Roman" w:eastAsia="宋体" w:cs="Times New Roman"/>
          <w:color w:val="auto"/>
          <w:kern w:val="0"/>
          <w:sz w:val="24"/>
          <w:szCs w:val="24"/>
          <w:u w:val="single" w:color="auto"/>
        </w:rPr>
        <w:t>0天，</w:t>
      </w:r>
      <w:r>
        <w:rPr>
          <w:rFonts w:hint="eastAsia" w:ascii="Times New Roman" w:hAnsi="Times New Roman" w:eastAsia="宋体" w:cs="Times New Roman"/>
          <w:color w:val="auto"/>
          <w:kern w:val="0"/>
          <w:sz w:val="24"/>
          <w:szCs w:val="24"/>
          <w:u w:val="single" w:color="auto"/>
        </w:rPr>
        <w:t>三班制，</w:t>
      </w:r>
      <w:r>
        <w:rPr>
          <w:rFonts w:ascii="Times New Roman" w:hAnsi="Times New Roman" w:eastAsia="宋体" w:cs="Times New Roman"/>
          <w:color w:val="auto"/>
          <w:kern w:val="0"/>
          <w:sz w:val="24"/>
          <w:szCs w:val="24"/>
          <w:u w:val="single" w:color="auto"/>
        </w:rPr>
        <w:t>每天生产</w:t>
      </w:r>
      <w:r>
        <w:rPr>
          <w:rFonts w:hint="eastAsia" w:ascii="Times New Roman" w:hAnsi="Times New Roman" w:eastAsia="宋体" w:cs="Times New Roman"/>
          <w:color w:val="auto"/>
          <w:kern w:val="0"/>
          <w:sz w:val="24"/>
          <w:szCs w:val="24"/>
          <w:u w:val="single" w:color="auto"/>
        </w:rPr>
        <w:t>24</w:t>
      </w:r>
      <w:r>
        <w:rPr>
          <w:rFonts w:ascii="Times New Roman" w:hAnsi="Times New Roman" w:eastAsia="宋体" w:cs="Times New Roman"/>
          <w:color w:val="auto"/>
          <w:kern w:val="0"/>
          <w:sz w:val="24"/>
          <w:szCs w:val="24"/>
          <w:u w:val="single" w:color="auto"/>
        </w:rPr>
        <w:t>小时</w:t>
      </w:r>
      <w:r>
        <w:rPr>
          <w:rFonts w:hint="eastAsia" w:ascii="Times New Roman" w:hAnsi="Times New Roman" w:eastAsia="宋体" w:cs="Times New Roman"/>
          <w:color w:val="auto"/>
          <w:kern w:val="0"/>
          <w:sz w:val="24"/>
          <w:szCs w:val="24"/>
          <w:u w:val="single" w:color="auto"/>
        </w:rPr>
        <w:t>，均在厂内食宿</w:t>
      </w:r>
      <w:r>
        <w:rPr>
          <w:rFonts w:ascii="Times New Roman" w:hAnsi="Times New Roman" w:eastAsia="宋体" w:cs="Times New Roman"/>
          <w:color w:val="auto"/>
          <w:kern w:val="0"/>
          <w:sz w:val="24"/>
          <w:szCs w:val="24"/>
          <w:u w:val="single" w:color="auto"/>
        </w:rPr>
        <w:t>。</w:t>
      </w:r>
      <w:r>
        <w:rPr>
          <w:rFonts w:hint="eastAsia" w:ascii="Times New Roman" w:hAnsi="Times New Roman" w:eastAsia="宋体" w:cs="Times New Roman"/>
          <w:color w:val="auto"/>
          <w:sz w:val="24"/>
          <w:szCs w:val="24"/>
          <w:u w:val="none" w:color="auto"/>
        </w:rPr>
        <w:t>项目占地面积</w:t>
      </w:r>
      <w:r>
        <w:rPr>
          <w:rFonts w:hint="eastAsia" w:ascii="Times New Roman" w:hAnsi="Times New Roman" w:eastAsia="宋体" w:cs="Times New Roman"/>
          <w:color w:val="auto"/>
          <w:sz w:val="24"/>
          <w:szCs w:val="24"/>
          <w:u w:val="none" w:color="auto"/>
          <w:lang w:eastAsia="zh-CN"/>
        </w:rPr>
        <w:t>167636.32</w:t>
      </w:r>
      <w:r>
        <w:rPr>
          <w:rFonts w:hint="eastAsia" w:ascii="Times New Roman" w:hAnsi="Times New Roman" w:eastAsia="宋体" w:cs="Times New Roman"/>
          <w:color w:val="auto"/>
          <w:sz w:val="24"/>
          <w:szCs w:val="24"/>
          <w:u w:val="none" w:color="auto"/>
        </w:rPr>
        <w:t>m</w:t>
      </w:r>
      <w:r>
        <w:rPr>
          <w:rFonts w:hint="eastAsia" w:ascii="Times New Roman" w:hAnsi="Times New Roman" w:eastAsia="宋体" w:cs="Times New Roman"/>
          <w:color w:val="auto"/>
          <w:sz w:val="24"/>
          <w:szCs w:val="24"/>
          <w:u w:val="none" w:color="auto"/>
          <w:vertAlign w:val="superscript"/>
        </w:rPr>
        <w:t>2</w:t>
      </w:r>
      <w:r>
        <w:rPr>
          <w:rFonts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主要建设</w:t>
      </w:r>
      <w:r>
        <w:rPr>
          <w:rFonts w:hint="eastAsia" w:ascii="Times New Roman" w:hAnsi="Times New Roman" w:eastAsia="宋体" w:cs="Times New Roman"/>
          <w:color w:val="auto"/>
          <w:sz w:val="24"/>
          <w:szCs w:val="24"/>
          <w:u w:val="none" w:color="auto"/>
          <w:lang w:val="en-US" w:eastAsia="zh-CN"/>
        </w:rPr>
        <w:t>装焊</w:t>
      </w:r>
      <w:r>
        <w:rPr>
          <w:rFonts w:hint="eastAsia" w:ascii="Times New Roman" w:hAnsi="Times New Roman" w:eastAsia="宋体" w:cs="Times New Roman"/>
          <w:color w:val="auto"/>
          <w:sz w:val="24"/>
          <w:szCs w:val="24"/>
          <w:u w:val="none" w:color="auto"/>
          <w:lang w:eastAsia="zh-CN"/>
        </w:rPr>
        <w:t>车间、</w:t>
      </w:r>
      <w:r>
        <w:rPr>
          <w:rFonts w:hint="eastAsia" w:ascii="Times New Roman" w:hAnsi="Times New Roman" w:eastAsia="宋体" w:cs="Times New Roman"/>
          <w:color w:val="auto"/>
          <w:sz w:val="24"/>
          <w:szCs w:val="24"/>
          <w:u w:val="none" w:color="auto"/>
          <w:lang w:val="en-US" w:eastAsia="zh-CN"/>
        </w:rPr>
        <w:t>涂装车间、</w:t>
      </w:r>
      <w:r>
        <w:rPr>
          <w:rFonts w:hint="eastAsia" w:ascii="Times New Roman" w:hAnsi="Times New Roman" w:eastAsia="宋体" w:cs="Times New Roman"/>
          <w:color w:val="auto"/>
          <w:sz w:val="24"/>
          <w:szCs w:val="24"/>
          <w:u w:val="none" w:color="auto"/>
        </w:rPr>
        <w:t>成品</w:t>
      </w:r>
      <w:r>
        <w:rPr>
          <w:rFonts w:hint="eastAsia" w:ascii="Times New Roman" w:hAnsi="Times New Roman" w:eastAsia="宋体" w:cs="Times New Roman"/>
          <w:color w:val="auto"/>
          <w:sz w:val="24"/>
          <w:szCs w:val="24"/>
          <w:u w:val="none" w:color="auto"/>
          <w:lang w:eastAsia="zh-CN"/>
        </w:rPr>
        <w:t>堆场</w:t>
      </w:r>
      <w:r>
        <w:rPr>
          <w:rFonts w:ascii="Times New Roman" w:hAnsi="Times New Roman" w:eastAsia="宋体" w:cs="Times New Roman"/>
          <w:color w:val="auto"/>
          <w:sz w:val="24"/>
          <w:szCs w:val="24"/>
          <w:u w:val="none" w:color="auto"/>
        </w:rPr>
        <w:t>及</w:t>
      </w:r>
      <w:r>
        <w:rPr>
          <w:rFonts w:hint="eastAsia" w:ascii="Times New Roman" w:hAnsi="Times New Roman" w:eastAsia="宋体" w:cs="Times New Roman"/>
          <w:color w:val="auto"/>
          <w:sz w:val="24"/>
          <w:szCs w:val="24"/>
          <w:u w:val="none" w:color="auto"/>
        </w:rPr>
        <w:t>配套相应的公共辅助措施。项目建成后可年产项目年产70000t/a海桩、40000t/a导管架、50000t/a桥梁。</w:t>
      </w:r>
    </w:p>
    <w:p w14:paraId="12130D81">
      <w:pPr>
        <w:autoSpaceDE w:val="0"/>
        <w:autoSpaceDN w:val="0"/>
        <w:spacing w:line="360" w:lineRule="auto"/>
        <w:jc w:val="left"/>
        <w:outlineLvl w:val="1"/>
        <w:rPr>
          <w:rFonts w:hint="eastAsia" w:ascii="Times New Roman" w:hAnsi="Times New Roman" w:eastAsia="宋体" w:cs="Times New Roman"/>
          <w:color w:val="auto"/>
          <w:sz w:val="24"/>
          <w:szCs w:val="24"/>
          <w:u w:val="single" w:color="auto"/>
        </w:rPr>
      </w:pPr>
      <w:bookmarkStart w:id="323" w:name="_Toc14969"/>
      <w:r>
        <w:rPr>
          <w:rFonts w:hint="eastAsia" w:ascii="Times New Roman" w:hAnsi="Times New Roman" w:eastAsia="宋体" w:cs="Times New Roman"/>
          <w:b/>
          <w:color w:val="auto"/>
          <w:kern w:val="0"/>
          <w:sz w:val="32"/>
          <w:szCs w:val="32"/>
          <w:u w:val="single" w:color="auto"/>
        </w:rPr>
        <w:t>8</w:t>
      </w:r>
      <w:r>
        <w:rPr>
          <w:rFonts w:ascii="Times New Roman" w:hAnsi="Times New Roman" w:eastAsia="宋体" w:cs="Times New Roman"/>
          <w:b/>
          <w:color w:val="auto"/>
          <w:kern w:val="0"/>
          <w:sz w:val="32"/>
          <w:szCs w:val="32"/>
          <w:u w:val="single" w:color="auto"/>
        </w:rPr>
        <w:t>.</w:t>
      </w:r>
      <w:r>
        <w:rPr>
          <w:rFonts w:hint="eastAsia" w:ascii="Times New Roman" w:hAnsi="Times New Roman" w:eastAsia="宋体" w:cs="Times New Roman"/>
          <w:b/>
          <w:color w:val="auto"/>
          <w:kern w:val="0"/>
          <w:sz w:val="32"/>
          <w:szCs w:val="32"/>
          <w:u w:val="single" w:color="auto"/>
          <w:lang w:val="en-US" w:eastAsia="zh-CN"/>
        </w:rPr>
        <w:t>2</w:t>
      </w:r>
      <w:r>
        <w:rPr>
          <w:rFonts w:ascii="Times New Roman" w:hAnsi="Times New Roman" w:eastAsia="宋体" w:cs="Times New Roman"/>
          <w:b/>
          <w:color w:val="auto"/>
          <w:kern w:val="0"/>
          <w:sz w:val="32"/>
          <w:szCs w:val="32"/>
          <w:u w:val="single" w:color="auto"/>
        </w:rPr>
        <w:t>项目</w:t>
      </w:r>
      <w:r>
        <w:rPr>
          <w:rFonts w:hint="eastAsia" w:ascii="Times New Roman" w:hAnsi="Times New Roman" w:eastAsia="宋体" w:cs="Times New Roman"/>
          <w:b/>
          <w:color w:val="auto"/>
          <w:kern w:val="0"/>
          <w:sz w:val="32"/>
          <w:szCs w:val="32"/>
          <w:u w:val="single" w:color="auto"/>
          <w:lang w:val="en-US" w:eastAsia="zh-CN"/>
        </w:rPr>
        <w:t>主要污染物排放情况</w:t>
      </w:r>
      <w:bookmarkEnd w:id="323"/>
    </w:p>
    <w:p w14:paraId="19E876A8">
      <w:pPr>
        <w:keepNext w:val="0"/>
        <w:keepLines w:val="0"/>
        <w:pageBreakBefore w:val="0"/>
        <w:widowControl w:val="0"/>
        <w:numPr>
          <w:ilvl w:val="0"/>
          <w:numId w:val="19"/>
        </w:numPr>
        <w:kinsoku/>
        <w:wordWrap/>
        <w:overflowPunct/>
        <w:topLinePunct w:val="0"/>
        <w:autoSpaceDE w:val="0"/>
        <w:autoSpaceDN w:val="0"/>
        <w:bidi w:val="0"/>
        <w:adjustRightInd/>
        <w:snapToGrid w:val="0"/>
        <w:spacing w:line="360" w:lineRule="auto"/>
        <w:ind w:leftChars="0" w:firstLine="482" w:firstLineChars="200"/>
        <w:textAlignment w:val="auto"/>
        <w:rPr>
          <w:rFonts w:hint="eastAsia" w:ascii="Times New Roman" w:hAnsi="Times New Roman" w:eastAsia="宋体" w:cs="Times New Roman"/>
          <w:b/>
          <w:bCs/>
          <w:color w:val="auto"/>
          <w:sz w:val="24"/>
          <w:szCs w:val="24"/>
          <w:u w:val="single" w:color="auto"/>
          <w:lang w:val="en-US" w:eastAsia="zh-CN"/>
        </w:rPr>
      </w:pPr>
      <w:r>
        <w:rPr>
          <w:rFonts w:hint="eastAsia" w:ascii="Times New Roman" w:hAnsi="Times New Roman" w:eastAsia="宋体" w:cs="Times New Roman"/>
          <w:b/>
          <w:bCs/>
          <w:color w:val="auto"/>
          <w:sz w:val="24"/>
          <w:szCs w:val="24"/>
          <w:u w:val="single" w:color="auto"/>
          <w:lang w:val="en-US" w:eastAsia="zh-CN"/>
        </w:rPr>
        <w:t>废气</w:t>
      </w:r>
    </w:p>
    <w:p w14:paraId="0C266276">
      <w:pPr>
        <w:keepNext w:val="0"/>
        <w:keepLines w:val="0"/>
        <w:pageBreakBefore w:val="0"/>
        <w:widowControl w:val="0"/>
        <w:numPr>
          <w:ilvl w:val="0"/>
          <w:numId w:val="0"/>
        </w:numPr>
        <w:kinsoku/>
        <w:wordWrap/>
        <w:overflowPunct/>
        <w:topLinePunct w:val="0"/>
        <w:autoSpaceDE w:val="0"/>
        <w:autoSpaceDN w:val="0"/>
        <w:bidi w:val="0"/>
        <w:adjustRightInd/>
        <w:snapToGrid w:val="0"/>
        <w:spacing w:line="360" w:lineRule="auto"/>
        <w:ind w:leftChars="0" w:firstLine="480" w:firstLineChars="200"/>
        <w:jc w:val="both"/>
        <w:textAlignment w:val="auto"/>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项目运营期废气</w:t>
      </w:r>
      <w:r>
        <w:rPr>
          <w:rFonts w:ascii="Times New Roman" w:hAnsi="Times New Roman" w:eastAsia="宋体" w:cs="Times New Roman"/>
          <w:color w:val="auto"/>
          <w:sz w:val="24"/>
          <w:szCs w:val="24"/>
          <w:u w:val="single" w:color="auto"/>
        </w:rPr>
        <w:t>主要包括切割废气、焊接废气、抛丸废气、喷砂废气、喷漆废气</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危废仓库废气</w:t>
      </w:r>
      <w:r>
        <w:rPr>
          <w:rFonts w:ascii="Times New Roman" w:hAnsi="Times New Roman" w:eastAsia="宋体" w:cs="Times New Roman"/>
          <w:color w:val="auto"/>
          <w:sz w:val="24"/>
          <w:szCs w:val="24"/>
          <w:u w:val="single" w:color="auto"/>
        </w:rPr>
        <w:t>等。</w:t>
      </w:r>
    </w:p>
    <w:p w14:paraId="312F3979">
      <w:pPr>
        <w:keepNext w:val="0"/>
        <w:keepLines w:val="0"/>
        <w:pageBreakBefore w:val="0"/>
        <w:widowControl w:val="0"/>
        <w:numPr>
          <w:ilvl w:val="0"/>
          <w:numId w:val="0"/>
        </w:numPr>
        <w:kinsoku/>
        <w:wordWrap/>
        <w:overflowPunct/>
        <w:topLinePunct w:val="0"/>
        <w:autoSpaceDE w:val="0"/>
        <w:autoSpaceDN w:val="0"/>
        <w:bidi w:val="0"/>
        <w:adjustRightInd/>
        <w:snapToGrid w:val="0"/>
        <w:spacing w:line="360" w:lineRule="auto"/>
        <w:ind w:leftChars="0" w:firstLine="480" w:firstLineChars="200"/>
        <w:jc w:val="both"/>
        <w:textAlignment w:val="auto"/>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切割废气主要污染物为颗粒物，</w:t>
      </w:r>
      <w:r>
        <w:rPr>
          <w:rFonts w:hint="default" w:ascii="Times New Roman" w:hAnsi="Times New Roman" w:eastAsia="宋体" w:cs="Times New Roman"/>
          <w:color w:val="auto"/>
          <w:sz w:val="24"/>
          <w:szCs w:val="24"/>
          <w:u w:val="single" w:color="auto"/>
        </w:rPr>
        <w:t>在切割工段作业部位（移动工位）设侧吸风罩，切割工段作业部位（移动工位）产尘点较小，收集的粉尘经移动式除尘净化器处理，净化后废气在车间内无组织排放</w:t>
      </w:r>
      <w:r>
        <w:rPr>
          <w:rFonts w:hint="default"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切割粉尘无组织排放量为</w:t>
      </w:r>
      <w:r>
        <w:rPr>
          <w:rFonts w:hint="eastAsia" w:ascii="Times New Roman" w:hAnsi="Times New Roman" w:eastAsia="宋体" w:cs="Times New Roman"/>
          <w:color w:val="auto"/>
          <w:sz w:val="24"/>
          <w:szCs w:val="24"/>
          <w:u w:val="single" w:color="auto"/>
          <w:lang w:val="en-US" w:eastAsia="zh-CN"/>
        </w:rPr>
        <w:t>20.719</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2.616</w:t>
      </w:r>
      <w:r>
        <w:rPr>
          <w:rFonts w:ascii="Times New Roman" w:hAnsi="Times New Roman" w:eastAsia="宋体" w:cs="Times New Roman"/>
          <w:color w:val="auto"/>
          <w:sz w:val="24"/>
          <w:szCs w:val="24"/>
          <w:u w:val="single" w:color="auto"/>
        </w:rPr>
        <w:t>kg/h）。</w:t>
      </w:r>
    </w:p>
    <w:p w14:paraId="57757786">
      <w:pPr>
        <w:keepNext w:val="0"/>
        <w:keepLines w:val="0"/>
        <w:pageBreakBefore w:val="0"/>
        <w:widowControl w:val="0"/>
        <w:numPr>
          <w:ilvl w:val="0"/>
          <w:numId w:val="0"/>
        </w:numPr>
        <w:kinsoku/>
        <w:wordWrap/>
        <w:overflowPunct/>
        <w:topLinePunct w:val="0"/>
        <w:autoSpaceDE w:val="0"/>
        <w:autoSpaceDN w:val="0"/>
        <w:bidi w:val="0"/>
        <w:adjustRightInd/>
        <w:snapToGrid w:val="0"/>
        <w:spacing w:line="360" w:lineRule="auto"/>
        <w:ind w:leftChars="0" w:firstLine="480" w:firstLineChars="200"/>
        <w:jc w:val="both"/>
        <w:textAlignment w:val="auto"/>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焊接废气主要污染物为颗粒物，</w:t>
      </w:r>
      <w:r>
        <w:rPr>
          <w:rFonts w:hint="eastAsia" w:ascii="Times New Roman" w:hAnsi="Times New Roman" w:eastAsia="宋体" w:cs="Times New Roman"/>
          <w:color w:val="auto"/>
          <w:sz w:val="24"/>
          <w:szCs w:val="28"/>
          <w:u w:val="single" w:color="auto"/>
        </w:rPr>
        <w:t>设置“移动式烟尘净化器”进行收集和处理。“移动式烟尘净化器”自带集气罩和袋式除尘器，除尘后的气体直接在车间内以无组织排放。</w:t>
      </w:r>
      <w:r>
        <w:rPr>
          <w:rFonts w:hint="eastAsia" w:ascii="Times New Roman" w:hAnsi="Times New Roman" w:eastAsia="宋体" w:cs="Times New Roman"/>
          <w:color w:val="auto"/>
          <w:sz w:val="24"/>
          <w:szCs w:val="24"/>
          <w:u w:val="single" w:color="auto"/>
          <w:lang w:val="en-US" w:eastAsia="zh-CN"/>
        </w:rPr>
        <w:t>焊接废气</w:t>
      </w:r>
      <w:r>
        <w:rPr>
          <w:rFonts w:ascii="Times New Roman" w:hAnsi="Times New Roman" w:eastAsia="宋体" w:cs="Times New Roman"/>
          <w:color w:val="auto"/>
          <w:sz w:val="24"/>
          <w:szCs w:val="24"/>
          <w:u w:val="single" w:color="auto"/>
        </w:rPr>
        <w:t>无组织排放量为</w:t>
      </w:r>
      <w:r>
        <w:rPr>
          <w:rFonts w:hint="eastAsia" w:ascii="Times New Roman" w:hAnsi="Times New Roman" w:eastAsia="宋体" w:cs="Times New Roman"/>
          <w:color w:val="auto"/>
          <w:sz w:val="24"/>
          <w:szCs w:val="24"/>
          <w:u w:val="single" w:color="auto"/>
          <w:lang w:val="en-US" w:eastAsia="zh-CN"/>
        </w:rPr>
        <w:t>2.34</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0.295</w:t>
      </w:r>
      <w:r>
        <w:rPr>
          <w:rFonts w:ascii="Times New Roman" w:hAnsi="Times New Roman" w:eastAsia="宋体" w:cs="Times New Roman"/>
          <w:color w:val="auto"/>
          <w:sz w:val="24"/>
          <w:szCs w:val="24"/>
          <w:u w:val="single" w:color="auto"/>
        </w:rPr>
        <w:t>kg/h）。</w:t>
      </w:r>
    </w:p>
    <w:p w14:paraId="3F3CF07C">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抛丸废气</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喷砂废气</w:t>
      </w:r>
      <w:r>
        <w:rPr>
          <w:rFonts w:hint="eastAsia" w:ascii="Times New Roman" w:hAnsi="Times New Roman" w:eastAsia="宋体" w:cs="Times New Roman"/>
          <w:color w:val="auto"/>
          <w:sz w:val="24"/>
          <w:szCs w:val="24"/>
          <w:u w:val="single" w:color="auto"/>
          <w:lang w:val="en-US" w:eastAsia="zh-CN"/>
        </w:rPr>
        <w:t>主要污染物均为颗粒物，收集后</w:t>
      </w:r>
      <w:r>
        <w:rPr>
          <w:rFonts w:ascii="Times New Roman" w:hAnsi="Times New Roman" w:eastAsia="宋体" w:cs="Times New Roman"/>
          <w:color w:val="auto"/>
          <w:sz w:val="24"/>
          <w:szCs w:val="24"/>
          <w:u w:val="single" w:color="auto"/>
        </w:rPr>
        <w:t>由风机引至</w:t>
      </w:r>
      <w:r>
        <w:rPr>
          <w:rFonts w:hint="eastAsia" w:ascii="Times New Roman" w:hAnsi="Times New Roman" w:eastAsia="宋体" w:cs="Times New Roman"/>
          <w:color w:val="auto"/>
          <w:sz w:val="24"/>
          <w:szCs w:val="24"/>
          <w:u w:val="single" w:color="auto"/>
          <w:lang w:val="en-US" w:eastAsia="zh-CN"/>
        </w:rPr>
        <w:t>旋风除尘器+</w:t>
      </w:r>
      <w:r>
        <w:rPr>
          <w:rFonts w:ascii="Times New Roman" w:hAnsi="Times New Roman" w:eastAsia="宋体" w:cs="Times New Roman"/>
          <w:color w:val="auto"/>
          <w:sz w:val="24"/>
          <w:szCs w:val="24"/>
          <w:u w:val="single" w:color="auto"/>
        </w:rPr>
        <w:t>滤筒除尘器处理，经</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排气筒（DA001）排放</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DA001排气筒</w:t>
      </w:r>
      <w:r>
        <w:rPr>
          <w:rFonts w:hint="eastAsia" w:ascii="Times New Roman" w:hAnsi="Times New Roman" w:eastAsia="宋体" w:cs="Times New Roman"/>
          <w:color w:val="auto"/>
          <w:sz w:val="24"/>
          <w:szCs w:val="24"/>
          <w:u w:val="single" w:color="auto"/>
          <w:lang w:val="en-US" w:eastAsia="zh-CN"/>
        </w:rPr>
        <w:t>颗粒物</w:t>
      </w:r>
      <w:r>
        <w:rPr>
          <w:rFonts w:ascii="Times New Roman" w:hAnsi="Times New Roman" w:eastAsia="宋体" w:cs="Times New Roman"/>
          <w:color w:val="auto"/>
          <w:sz w:val="24"/>
          <w:szCs w:val="24"/>
          <w:u w:val="single" w:color="auto"/>
        </w:rPr>
        <w:t>排放浓度为</w:t>
      </w:r>
      <w:r>
        <w:rPr>
          <w:rFonts w:hint="eastAsia" w:ascii="Times New Roman" w:hAnsi="Times New Roman" w:eastAsia="宋体" w:cs="Times New Roman"/>
          <w:color w:val="auto"/>
          <w:sz w:val="24"/>
          <w:szCs w:val="24"/>
          <w:u w:val="single" w:color="auto"/>
          <w:lang w:val="en-US" w:eastAsia="zh-CN"/>
        </w:rPr>
        <w:t>9.617</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4.572</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0.577</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eastAsia="zh-CN"/>
        </w:rPr>
        <w:t>打磨车间</w:t>
      </w:r>
      <w:r>
        <w:rPr>
          <w:rFonts w:hint="eastAsia" w:ascii="Times New Roman" w:hAnsi="Times New Roman" w:eastAsia="宋体" w:cs="Times New Roman"/>
          <w:color w:val="auto"/>
          <w:sz w:val="24"/>
          <w:szCs w:val="24"/>
          <w:u w:val="single" w:color="auto"/>
        </w:rPr>
        <w:t>抛丸和喷砂粉尘无组织排放量为</w:t>
      </w:r>
      <w:r>
        <w:rPr>
          <w:rFonts w:hint="eastAsia" w:ascii="Times New Roman" w:hAnsi="Times New Roman" w:eastAsia="宋体" w:cs="Times New Roman"/>
          <w:color w:val="auto"/>
          <w:sz w:val="24"/>
          <w:szCs w:val="24"/>
          <w:u w:val="single" w:color="auto"/>
          <w:lang w:val="en-US" w:eastAsia="zh-CN"/>
        </w:rPr>
        <w:t>2.54</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321</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p>
    <w:p w14:paraId="769A94BB">
      <w:pPr>
        <w:snapToGrid w:val="0"/>
        <w:spacing w:line="360" w:lineRule="auto"/>
        <w:ind w:firstLine="480" w:firstLineChars="200"/>
        <w:rPr>
          <w:rFonts w:hint="eastAsia" w:ascii="Times New Roman" w:hAnsi="Times New Roman" w:eastAsia="宋体" w:cs="Times New Roman"/>
          <w:b w:val="0"/>
          <w:bCs w:val="0"/>
          <w:color w:val="auto"/>
          <w:sz w:val="24"/>
          <w:szCs w:val="24"/>
          <w:u w:val="single" w:color="auto"/>
          <w:lang w:eastAsia="zh-CN"/>
        </w:rPr>
      </w:pPr>
      <w:r>
        <w:rPr>
          <w:rFonts w:ascii="Times New Roman" w:hAnsi="Times New Roman" w:eastAsia="宋体" w:cs="Times New Roman"/>
          <w:color w:val="auto"/>
          <w:sz w:val="24"/>
          <w:szCs w:val="24"/>
          <w:u w:val="single" w:color="auto"/>
        </w:rPr>
        <w:t>喷漆废气</w:t>
      </w:r>
      <w:r>
        <w:rPr>
          <w:rFonts w:hint="eastAsia" w:ascii="Times New Roman" w:hAnsi="Times New Roman" w:eastAsia="宋体" w:cs="Times New Roman"/>
          <w:color w:val="auto"/>
          <w:sz w:val="24"/>
          <w:szCs w:val="24"/>
          <w:u w:val="single" w:color="auto"/>
          <w:lang w:val="en-US" w:eastAsia="zh-CN"/>
        </w:rPr>
        <w:t>主要污染物为颗粒物、非甲烷总烃、二甲苯、甲苯、异味（以臭气浓度表征），收集后由</w:t>
      </w:r>
      <w:r>
        <w:rPr>
          <w:rFonts w:ascii="Times New Roman" w:hAnsi="Times New Roman" w:eastAsia="宋体" w:cs="Times New Roman"/>
          <w:color w:val="auto"/>
          <w:sz w:val="24"/>
          <w:szCs w:val="24"/>
          <w:u w:val="single" w:color="auto"/>
        </w:rPr>
        <w:t>风机引至</w:t>
      </w:r>
      <w:r>
        <w:rPr>
          <w:rFonts w:hint="default" w:ascii="Times New Roman" w:hAnsi="Times New Roman" w:eastAsia="宋体" w:cs="Times New Roman"/>
          <w:b w:val="0"/>
          <w:bCs w:val="0"/>
          <w:color w:val="auto"/>
          <w:sz w:val="24"/>
          <w:szCs w:val="24"/>
          <w:u w:val="single" w:color="auto"/>
        </w:rPr>
        <w:t>干式过滤</w:t>
      </w:r>
      <w:r>
        <w:rPr>
          <w:rFonts w:hint="eastAsia" w:ascii="Times New Roman" w:hAnsi="Times New Roman" w:eastAsia="宋体" w:cs="Times New Roman"/>
          <w:b w:val="0"/>
          <w:bCs w:val="0"/>
          <w:color w:val="auto"/>
          <w:sz w:val="24"/>
          <w:szCs w:val="24"/>
          <w:u w:val="single" w:color="auto"/>
          <w:lang w:val="en-US" w:eastAsia="zh-CN"/>
        </w:rPr>
        <w:t>器+</w:t>
      </w:r>
      <w:r>
        <w:rPr>
          <w:rFonts w:hint="default" w:ascii="Times New Roman" w:hAnsi="Times New Roman" w:eastAsia="宋体" w:cs="Times New Roman"/>
          <w:b w:val="0"/>
          <w:bCs w:val="0"/>
          <w:color w:val="auto"/>
          <w:sz w:val="24"/>
          <w:szCs w:val="24"/>
          <w:u w:val="single" w:color="auto"/>
        </w:rPr>
        <w:t>性炭吸附</w:t>
      </w:r>
      <w:r>
        <w:rPr>
          <w:rFonts w:hint="eastAsia" w:ascii="Times New Roman" w:hAnsi="Times New Roman" w:eastAsia="宋体" w:cs="Times New Roman"/>
          <w:b w:val="0"/>
          <w:bCs w:val="0"/>
          <w:color w:val="auto"/>
          <w:sz w:val="24"/>
          <w:szCs w:val="24"/>
          <w:u w:val="single" w:color="auto"/>
          <w:lang w:val="en-US" w:eastAsia="zh-CN"/>
        </w:rPr>
        <w:t>/</w:t>
      </w:r>
      <w:r>
        <w:rPr>
          <w:rFonts w:hint="default" w:ascii="Times New Roman" w:hAnsi="Times New Roman" w:eastAsia="宋体" w:cs="Times New Roman"/>
          <w:b w:val="0"/>
          <w:bCs w:val="0"/>
          <w:color w:val="auto"/>
          <w:sz w:val="24"/>
          <w:szCs w:val="24"/>
          <w:u w:val="single" w:color="auto"/>
        </w:rPr>
        <w:t>解吸脱附</w:t>
      </w:r>
      <w:r>
        <w:rPr>
          <w:rFonts w:hint="eastAsia" w:ascii="Times New Roman" w:hAnsi="Times New Roman" w:eastAsia="宋体" w:cs="Times New Roman"/>
          <w:b w:val="0"/>
          <w:bCs w:val="0"/>
          <w:color w:val="auto"/>
          <w:sz w:val="24"/>
          <w:szCs w:val="24"/>
          <w:u w:val="single" w:color="auto"/>
          <w:lang w:val="en-US" w:eastAsia="zh-CN"/>
        </w:rPr>
        <w:t>+</w:t>
      </w:r>
      <w:r>
        <w:rPr>
          <w:rFonts w:hint="default" w:ascii="Times New Roman" w:hAnsi="Times New Roman" w:eastAsia="宋体" w:cs="Times New Roman"/>
          <w:b w:val="0"/>
          <w:bCs w:val="0"/>
          <w:color w:val="auto"/>
          <w:sz w:val="24"/>
          <w:szCs w:val="24"/>
          <w:u w:val="single" w:color="auto"/>
        </w:rPr>
        <w:t>催化燃烧</w:t>
      </w:r>
      <w:r>
        <w:rPr>
          <w:rFonts w:hint="eastAsia" w:ascii="Times New Roman" w:hAnsi="Times New Roman" w:eastAsia="宋体" w:cs="Times New Roman"/>
          <w:b w:val="0"/>
          <w:bCs w:val="0"/>
          <w:color w:val="auto"/>
          <w:sz w:val="24"/>
          <w:szCs w:val="24"/>
          <w:u w:val="single" w:color="auto"/>
          <w:lang w:val="en-US" w:eastAsia="zh-CN"/>
        </w:rPr>
        <w:t>设施处理，</w:t>
      </w:r>
      <w:r>
        <w:rPr>
          <w:rFonts w:ascii="Times New Roman" w:hAnsi="Times New Roman" w:eastAsia="宋体" w:cs="Times New Roman"/>
          <w:color w:val="auto"/>
          <w:sz w:val="24"/>
          <w:szCs w:val="24"/>
          <w:u w:val="single" w:color="auto"/>
        </w:rPr>
        <w:t>经</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w:t>
      </w:r>
      <w:r>
        <w:rPr>
          <w:rFonts w:hint="default" w:ascii="Times New Roman" w:hAnsi="Times New Roman" w:eastAsia="宋体" w:cs="Times New Roman"/>
          <w:b w:val="0"/>
          <w:bCs w:val="0"/>
          <w:color w:val="auto"/>
          <w:sz w:val="24"/>
          <w:szCs w:val="24"/>
          <w:u w:val="single" w:color="auto"/>
        </w:rPr>
        <w:t>（DA002）排放</w:t>
      </w:r>
      <w:r>
        <w:rPr>
          <w:rFonts w:hint="eastAsia" w:ascii="Times New Roman" w:hAnsi="Times New Roman" w:eastAsia="宋体" w:cs="Times New Roman"/>
          <w:b w:val="0"/>
          <w:bCs w:val="0"/>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危废仓库废气收集后由</w:t>
      </w:r>
      <w:r>
        <w:rPr>
          <w:rFonts w:ascii="Times New Roman" w:hAnsi="Times New Roman" w:eastAsia="宋体" w:cs="Times New Roman"/>
          <w:color w:val="auto"/>
          <w:sz w:val="24"/>
          <w:szCs w:val="24"/>
          <w:u w:val="single" w:color="auto"/>
        </w:rPr>
        <w:t>风机引至</w:t>
      </w:r>
      <w:r>
        <w:rPr>
          <w:rFonts w:hint="eastAsia" w:ascii="Times New Roman" w:hAnsi="Times New Roman" w:eastAsia="宋体" w:cs="Times New Roman"/>
          <w:b w:val="0"/>
          <w:bCs w:val="0"/>
          <w:color w:val="auto"/>
          <w:sz w:val="24"/>
          <w:szCs w:val="24"/>
          <w:u w:val="single" w:color="auto"/>
          <w:lang w:val="en-US" w:eastAsia="zh-CN"/>
        </w:rPr>
        <w:t>二级活性炭吸附装置处理，</w:t>
      </w:r>
      <w:r>
        <w:rPr>
          <w:rFonts w:ascii="Times New Roman" w:hAnsi="Times New Roman" w:eastAsia="宋体" w:cs="Times New Roman"/>
          <w:color w:val="auto"/>
          <w:sz w:val="24"/>
          <w:szCs w:val="24"/>
          <w:u w:val="single" w:color="auto"/>
        </w:rPr>
        <w:t>经</w:t>
      </w:r>
      <w:r>
        <w:rPr>
          <w:rFonts w:hint="eastAsia" w:ascii="Times New Roman" w:hAnsi="Times New Roman" w:eastAsia="宋体" w:cs="Times New Roman"/>
          <w:color w:val="auto"/>
          <w:sz w:val="24"/>
          <w:szCs w:val="24"/>
          <w:u w:val="single" w:color="auto"/>
          <w:lang w:eastAsia="zh-CN"/>
        </w:rPr>
        <w:t>30m</w:t>
      </w:r>
      <w:r>
        <w:rPr>
          <w:rFonts w:ascii="Times New Roman" w:hAnsi="Times New Roman" w:eastAsia="宋体" w:cs="Times New Roman"/>
          <w:color w:val="auto"/>
          <w:sz w:val="24"/>
          <w:szCs w:val="24"/>
          <w:u w:val="single" w:color="auto"/>
        </w:rPr>
        <w:t>排气筒</w:t>
      </w:r>
      <w:r>
        <w:rPr>
          <w:rFonts w:hint="default" w:ascii="Times New Roman" w:hAnsi="Times New Roman" w:eastAsia="宋体" w:cs="Times New Roman"/>
          <w:b w:val="0"/>
          <w:bCs w:val="0"/>
          <w:color w:val="auto"/>
          <w:sz w:val="24"/>
          <w:szCs w:val="24"/>
          <w:u w:val="single" w:color="auto"/>
        </w:rPr>
        <w:t>（DA002）排放</w:t>
      </w:r>
      <w:r>
        <w:rPr>
          <w:rFonts w:hint="eastAsia" w:ascii="Times New Roman" w:hAnsi="Times New Roman" w:eastAsia="宋体" w:cs="Times New Roman"/>
          <w:b w:val="0"/>
          <w:bCs w:val="0"/>
          <w:color w:val="auto"/>
          <w:sz w:val="24"/>
          <w:szCs w:val="24"/>
          <w:u w:val="single" w:color="auto"/>
          <w:lang w:eastAsia="zh-CN"/>
        </w:rPr>
        <w:t>。</w:t>
      </w:r>
    </w:p>
    <w:p w14:paraId="06F39CB0">
      <w:pPr>
        <w:snapToGrid w:val="0"/>
        <w:spacing w:line="360" w:lineRule="auto"/>
        <w:ind w:firstLine="480" w:firstLineChars="200"/>
        <w:rPr>
          <w:rFonts w:hint="default" w:ascii="Times New Roman" w:hAnsi="Times New Roman" w:eastAsia="宋体" w:cs="Times New Roman"/>
          <w:color w:val="auto"/>
          <w:sz w:val="24"/>
          <w:szCs w:val="24"/>
          <w:u w:val="single" w:color="auto"/>
          <w:lang w:val="en-US" w:eastAsia="zh-CN"/>
        </w:rPr>
      </w:pPr>
      <w:r>
        <w:rPr>
          <w:rFonts w:ascii="Times New Roman" w:hAnsi="Times New Roman" w:eastAsia="宋体" w:cs="Times New Roman"/>
          <w:color w:val="auto"/>
          <w:sz w:val="24"/>
          <w:szCs w:val="24"/>
          <w:u w:val="single" w:color="auto"/>
        </w:rPr>
        <w:t>DA00</w:t>
      </w:r>
      <w:r>
        <w:rPr>
          <w:rFonts w:hint="eastAsia" w:ascii="Times New Roman" w:hAnsi="Times New Roman" w:eastAsia="宋体" w:cs="Times New Roman"/>
          <w:color w:val="auto"/>
          <w:sz w:val="24"/>
          <w:szCs w:val="24"/>
          <w:u w:val="single" w:color="auto"/>
          <w:lang w:val="en-US" w:eastAsia="zh-CN"/>
        </w:rPr>
        <w:t>2</w:t>
      </w:r>
      <w:r>
        <w:rPr>
          <w:rFonts w:ascii="Times New Roman" w:hAnsi="Times New Roman" w:eastAsia="宋体" w:cs="Times New Roman"/>
          <w:color w:val="auto"/>
          <w:sz w:val="24"/>
          <w:szCs w:val="24"/>
          <w:u w:val="single" w:color="auto"/>
        </w:rPr>
        <w:t>排气筒</w:t>
      </w:r>
      <w:r>
        <w:rPr>
          <w:rFonts w:hint="eastAsia" w:ascii="Times New Roman" w:hAnsi="Times New Roman" w:eastAsia="宋体" w:cs="Times New Roman"/>
          <w:color w:val="auto"/>
          <w:sz w:val="24"/>
          <w:szCs w:val="24"/>
          <w:u w:val="single" w:color="auto"/>
          <w:lang w:val="en-US" w:eastAsia="zh-CN"/>
        </w:rPr>
        <w:t>中颗粒物</w:t>
      </w:r>
      <w:r>
        <w:rPr>
          <w:rFonts w:ascii="Times New Roman" w:hAnsi="Times New Roman" w:eastAsia="宋体" w:cs="Times New Roman"/>
          <w:color w:val="auto"/>
          <w:sz w:val="24"/>
          <w:szCs w:val="24"/>
          <w:u w:val="single" w:color="auto"/>
        </w:rPr>
        <w:t>排放浓度为</w:t>
      </w:r>
      <w:r>
        <w:rPr>
          <w:rFonts w:hint="eastAsia" w:ascii="Times New Roman" w:hAnsi="Times New Roman" w:eastAsia="宋体" w:cs="Times New Roman"/>
          <w:color w:val="auto"/>
          <w:sz w:val="24"/>
          <w:szCs w:val="24"/>
          <w:u w:val="single" w:color="auto"/>
          <w:lang w:val="en-US" w:eastAsia="zh-CN"/>
        </w:rPr>
        <w:t>34.625</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13.161</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2.493</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非甲烷总烃</w:t>
      </w:r>
      <w:r>
        <w:rPr>
          <w:rFonts w:ascii="Times New Roman" w:hAnsi="Times New Roman" w:eastAsia="宋体" w:cs="Times New Roman"/>
          <w:color w:val="auto"/>
          <w:sz w:val="24"/>
          <w:szCs w:val="24"/>
          <w:u w:val="single" w:color="auto"/>
        </w:rPr>
        <w:t>排放浓度为</w:t>
      </w:r>
      <w:r>
        <w:rPr>
          <w:rFonts w:hint="eastAsia" w:ascii="Times New Roman" w:hAnsi="Times New Roman" w:eastAsia="宋体" w:cs="Times New Roman"/>
          <w:color w:val="auto"/>
          <w:sz w:val="24"/>
          <w:szCs w:val="24"/>
          <w:u w:val="single" w:color="auto"/>
          <w:lang w:val="en-US" w:eastAsia="zh-CN"/>
        </w:rPr>
        <w:t>11.865</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5.0093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0.8543</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二甲苯</w:t>
      </w:r>
      <w:r>
        <w:rPr>
          <w:rFonts w:ascii="Times New Roman" w:hAnsi="Times New Roman" w:eastAsia="宋体" w:cs="Times New Roman"/>
          <w:color w:val="auto"/>
          <w:sz w:val="24"/>
          <w:szCs w:val="24"/>
          <w:u w:val="single" w:color="auto"/>
        </w:rPr>
        <w:t>排放浓度为</w:t>
      </w:r>
      <w:r>
        <w:rPr>
          <w:rFonts w:hint="eastAsia" w:ascii="Times New Roman" w:hAnsi="Times New Roman" w:eastAsia="宋体" w:cs="Times New Roman"/>
          <w:color w:val="auto"/>
          <w:sz w:val="24"/>
          <w:szCs w:val="24"/>
          <w:u w:val="single" w:color="auto"/>
          <w:lang w:val="en-US" w:eastAsia="zh-CN"/>
        </w:rPr>
        <w:t>6.583</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2.773</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0.474</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甲苯</w:t>
      </w:r>
      <w:r>
        <w:rPr>
          <w:rFonts w:ascii="Times New Roman" w:hAnsi="Times New Roman" w:eastAsia="宋体" w:cs="Times New Roman"/>
          <w:color w:val="auto"/>
          <w:sz w:val="24"/>
          <w:szCs w:val="24"/>
          <w:u w:val="single" w:color="auto"/>
        </w:rPr>
        <w:t>排放浓度为</w:t>
      </w:r>
      <w:r>
        <w:rPr>
          <w:rFonts w:hint="eastAsia" w:ascii="Times New Roman" w:hAnsi="Times New Roman" w:eastAsia="宋体" w:cs="Times New Roman"/>
          <w:color w:val="auto"/>
          <w:sz w:val="24"/>
          <w:szCs w:val="24"/>
          <w:u w:val="single" w:color="auto"/>
          <w:lang w:val="en-US" w:eastAsia="zh-CN"/>
        </w:rPr>
        <w:t>0.014</w:t>
      </w:r>
      <w:r>
        <w:rPr>
          <w:rFonts w:ascii="Times New Roman" w:hAnsi="Times New Roman" w:eastAsia="宋体" w:cs="Times New Roman"/>
          <w:color w:val="auto"/>
          <w:sz w:val="24"/>
          <w:szCs w:val="24"/>
          <w:u w:val="single" w:color="auto"/>
        </w:rPr>
        <w:t>mg/m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，排放量为</w:t>
      </w:r>
      <w:r>
        <w:rPr>
          <w:rFonts w:hint="eastAsia" w:ascii="Times New Roman" w:hAnsi="Times New Roman" w:eastAsia="宋体" w:cs="Times New Roman"/>
          <w:color w:val="auto"/>
          <w:sz w:val="24"/>
          <w:szCs w:val="24"/>
          <w:u w:val="single" w:color="auto"/>
          <w:lang w:val="en-US" w:eastAsia="zh-CN"/>
        </w:rPr>
        <w:t>0.007</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0.001</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少量臭气浓度</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涂装</w:t>
      </w:r>
      <w:r>
        <w:rPr>
          <w:rFonts w:hint="eastAsia" w:ascii="Times New Roman" w:hAnsi="Times New Roman" w:eastAsia="宋体" w:cs="Times New Roman"/>
          <w:color w:val="auto"/>
          <w:sz w:val="24"/>
          <w:szCs w:val="24"/>
          <w:u w:val="single" w:color="auto"/>
          <w:lang w:eastAsia="zh-CN"/>
        </w:rPr>
        <w:t>车间</w:t>
      </w:r>
      <w:r>
        <w:rPr>
          <w:rFonts w:hint="eastAsia" w:ascii="Times New Roman" w:hAnsi="Times New Roman" w:eastAsia="宋体" w:cs="Times New Roman"/>
          <w:color w:val="auto"/>
          <w:sz w:val="24"/>
          <w:szCs w:val="24"/>
          <w:u w:val="single" w:color="auto"/>
          <w:lang w:val="en-US" w:eastAsia="zh-CN"/>
        </w:rPr>
        <w:t>颗粒物</w:t>
      </w:r>
      <w:r>
        <w:rPr>
          <w:rFonts w:hint="eastAsia" w:ascii="Times New Roman" w:hAnsi="Times New Roman" w:eastAsia="宋体" w:cs="Times New Roman"/>
          <w:color w:val="auto"/>
          <w:sz w:val="24"/>
          <w:szCs w:val="24"/>
          <w:u w:val="single" w:color="auto"/>
        </w:rPr>
        <w:t>无组织排放量为</w:t>
      </w:r>
      <w:r>
        <w:rPr>
          <w:rFonts w:hint="eastAsia" w:ascii="Times New Roman" w:hAnsi="Times New Roman" w:eastAsia="宋体" w:cs="Times New Roman"/>
          <w:color w:val="auto"/>
          <w:sz w:val="24"/>
          <w:szCs w:val="24"/>
          <w:u w:val="single" w:color="auto"/>
          <w:lang w:val="en-US" w:eastAsia="zh-CN"/>
        </w:rPr>
        <w:t>1.828</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346</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非甲烷总烃</w:t>
      </w:r>
      <w:r>
        <w:rPr>
          <w:rFonts w:hint="eastAsia" w:ascii="Times New Roman" w:hAnsi="Times New Roman" w:eastAsia="宋体" w:cs="Times New Roman"/>
          <w:color w:val="auto"/>
          <w:sz w:val="24"/>
          <w:szCs w:val="24"/>
          <w:u w:val="single" w:color="auto"/>
        </w:rPr>
        <w:t>无组织排放量为</w:t>
      </w:r>
      <w:r>
        <w:rPr>
          <w:rFonts w:hint="eastAsia" w:ascii="Times New Roman" w:hAnsi="Times New Roman" w:eastAsia="宋体" w:cs="Times New Roman"/>
          <w:color w:val="auto"/>
          <w:sz w:val="24"/>
          <w:szCs w:val="24"/>
          <w:u w:val="single" w:color="auto"/>
          <w:lang w:val="en-US" w:eastAsia="zh-CN"/>
        </w:rPr>
        <w:t>5636</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9490802</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二甲苯</w:t>
      </w:r>
      <w:r>
        <w:rPr>
          <w:rFonts w:hint="eastAsia" w:ascii="Times New Roman" w:hAnsi="Times New Roman" w:eastAsia="宋体" w:cs="Times New Roman"/>
          <w:color w:val="auto"/>
          <w:sz w:val="24"/>
          <w:szCs w:val="24"/>
          <w:u w:val="single" w:color="auto"/>
        </w:rPr>
        <w:t>无组织排放量为</w:t>
      </w:r>
      <w:r>
        <w:rPr>
          <w:rFonts w:hint="eastAsia" w:ascii="Times New Roman" w:hAnsi="Times New Roman" w:eastAsia="宋体" w:cs="Times New Roman"/>
          <w:color w:val="auto"/>
          <w:sz w:val="24"/>
          <w:szCs w:val="24"/>
          <w:u w:val="single" w:color="auto"/>
          <w:lang w:val="en-US" w:eastAsia="zh-CN"/>
        </w:rPr>
        <w:t>3.081</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526</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甲苯</w:t>
      </w:r>
      <w:r>
        <w:rPr>
          <w:rFonts w:hint="eastAsia" w:ascii="Times New Roman" w:hAnsi="Times New Roman" w:eastAsia="宋体" w:cs="Times New Roman"/>
          <w:color w:val="auto"/>
          <w:sz w:val="24"/>
          <w:szCs w:val="24"/>
          <w:u w:val="single" w:color="auto"/>
        </w:rPr>
        <w:t>无组织排放量为</w:t>
      </w:r>
      <w:r>
        <w:rPr>
          <w:rFonts w:hint="eastAsia" w:ascii="Times New Roman" w:hAnsi="Times New Roman" w:eastAsia="宋体" w:cs="Times New Roman"/>
          <w:color w:val="auto"/>
          <w:sz w:val="24"/>
          <w:szCs w:val="24"/>
          <w:u w:val="single" w:color="auto"/>
          <w:lang w:val="en-US" w:eastAsia="zh-CN"/>
        </w:rPr>
        <w:t>0.008</w:t>
      </w:r>
      <w:r>
        <w:rPr>
          <w:rFonts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rPr>
        <w:t>0.</w:t>
      </w:r>
      <w:r>
        <w:rPr>
          <w:rFonts w:hint="eastAsia" w:ascii="Times New Roman" w:hAnsi="Times New Roman" w:eastAsia="宋体" w:cs="Times New Roman"/>
          <w:color w:val="auto"/>
          <w:sz w:val="24"/>
          <w:szCs w:val="24"/>
          <w:u w:val="single" w:color="auto"/>
          <w:lang w:val="en-US" w:eastAsia="zh-CN"/>
        </w:rPr>
        <w:t>001</w:t>
      </w:r>
      <w:r>
        <w:rPr>
          <w:rFonts w:ascii="Times New Roman" w:hAnsi="Times New Roman" w:eastAsia="宋体" w:cs="Times New Roman"/>
          <w:color w:val="auto"/>
          <w:sz w:val="24"/>
          <w:szCs w:val="24"/>
          <w:u w:val="single" w:color="auto"/>
        </w:rPr>
        <w:t>kg/h)</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少量臭气浓度。</w:t>
      </w:r>
    </w:p>
    <w:p w14:paraId="1F60E8BB">
      <w:pPr>
        <w:keepNext w:val="0"/>
        <w:keepLines w:val="0"/>
        <w:pageBreakBefore w:val="0"/>
        <w:widowControl w:val="0"/>
        <w:numPr>
          <w:ilvl w:val="0"/>
          <w:numId w:val="19"/>
        </w:numPr>
        <w:kinsoku/>
        <w:wordWrap/>
        <w:overflowPunct/>
        <w:topLinePunct w:val="0"/>
        <w:autoSpaceDE w:val="0"/>
        <w:autoSpaceDN w:val="0"/>
        <w:bidi w:val="0"/>
        <w:adjustRightInd/>
        <w:snapToGrid w:val="0"/>
        <w:spacing w:line="360" w:lineRule="auto"/>
        <w:ind w:left="0" w:leftChars="0" w:firstLine="482" w:firstLineChars="200"/>
        <w:jc w:val="both"/>
        <w:textAlignment w:val="auto"/>
        <w:rPr>
          <w:rFonts w:hint="eastAsia" w:ascii="Times New Roman" w:hAnsi="Times New Roman" w:eastAsia="宋体" w:cs="Times New Roman"/>
          <w:b/>
          <w:bCs/>
          <w:color w:val="auto"/>
          <w:sz w:val="24"/>
          <w:szCs w:val="24"/>
          <w:u w:val="single" w:color="auto"/>
          <w:lang w:val="en-US" w:eastAsia="zh-CN"/>
        </w:rPr>
      </w:pPr>
      <w:r>
        <w:rPr>
          <w:rFonts w:hint="eastAsia" w:ascii="Times New Roman" w:hAnsi="Times New Roman" w:eastAsia="宋体" w:cs="Times New Roman"/>
          <w:b/>
          <w:bCs/>
          <w:color w:val="auto"/>
          <w:sz w:val="24"/>
          <w:szCs w:val="24"/>
          <w:u w:val="single" w:color="auto"/>
          <w:lang w:val="en-US" w:eastAsia="zh-CN"/>
        </w:rPr>
        <w:t>废水</w:t>
      </w:r>
    </w:p>
    <w:p w14:paraId="7A7672F5">
      <w:pPr>
        <w:snapToGrid w:val="0"/>
        <w:spacing w:line="360" w:lineRule="auto"/>
        <w:ind w:firstLine="480" w:firstLineChars="200"/>
        <w:rPr>
          <w:rFonts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lang w:val="en-US" w:eastAsia="zh-CN"/>
        </w:rPr>
        <w:t>生活</w:t>
      </w:r>
      <w:r>
        <w:rPr>
          <w:rFonts w:ascii="Times New Roman" w:hAnsi="Times New Roman" w:eastAsia="宋体" w:cs="Times New Roman"/>
          <w:color w:val="auto"/>
          <w:sz w:val="24"/>
          <w:szCs w:val="24"/>
          <w:u w:val="single" w:color="auto"/>
        </w:rPr>
        <w:t>污水总排放量约为</w:t>
      </w:r>
      <w:r>
        <w:rPr>
          <w:rFonts w:hint="eastAsia" w:ascii="Times New Roman" w:hAnsi="Times New Roman" w:eastAsia="宋体" w:cs="Times New Roman"/>
          <w:color w:val="auto"/>
          <w:sz w:val="24"/>
          <w:szCs w:val="24"/>
          <w:u w:val="single" w:color="auto"/>
        </w:rPr>
        <w:t>26.4</w:t>
      </w:r>
      <w:r>
        <w:rPr>
          <w:rFonts w:ascii="Times New Roman" w:hAnsi="Times New Roman" w:eastAsia="宋体" w:cs="Times New Roman"/>
          <w:color w:val="auto"/>
          <w:sz w:val="24"/>
          <w:szCs w:val="24"/>
          <w:u w:val="single" w:color="auto"/>
        </w:rPr>
        <w:t>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/d，</w:t>
      </w:r>
      <w:r>
        <w:rPr>
          <w:rFonts w:hint="eastAsia" w:ascii="Times New Roman" w:hAnsi="Times New Roman" w:eastAsia="宋体" w:cs="Times New Roman"/>
          <w:color w:val="auto"/>
          <w:sz w:val="24"/>
          <w:szCs w:val="24"/>
          <w:u w:val="single" w:color="auto"/>
        </w:rPr>
        <w:t>8712</w:t>
      </w:r>
      <w:r>
        <w:rPr>
          <w:rFonts w:ascii="Times New Roman" w:hAnsi="Times New Roman" w:eastAsia="宋体" w:cs="Times New Roman"/>
          <w:color w:val="auto"/>
          <w:sz w:val="24"/>
          <w:szCs w:val="24"/>
          <w:u w:val="single" w:color="auto"/>
        </w:rPr>
        <w:t>m</w:t>
      </w:r>
      <w:r>
        <w:rPr>
          <w:rFonts w:ascii="Times New Roman" w:hAnsi="Times New Roman" w:eastAsia="宋体" w:cs="Times New Roman"/>
          <w:color w:val="auto"/>
          <w:sz w:val="24"/>
          <w:szCs w:val="24"/>
          <w:u w:val="single" w:color="auto"/>
          <w:vertAlign w:val="superscript"/>
        </w:rPr>
        <w:t>3</w:t>
      </w:r>
      <w:r>
        <w:rPr>
          <w:rFonts w:ascii="Times New Roman" w:hAnsi="Times New Roman" w:eastAsia="宋体" w:cs="Times New Roman"/>
          <w:color w:val="auto"/>
          <w:sz w:val="24"/>
          <w:szCs w:val="24"/>
          <w:u w:val="single" w:color="auto"/>
        </w:rPr>
        <w:t>/a</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经厂内三级化粪池预处理达到大榄坪污水处理厂</w:t>
      </w:r>
      <w:r>
        <w:rPr>
          <w:rFonts w:hint="eastAsia" w:ascii="Times New Roman" w:hAnsi="Times New Roman" w:eastAsia="宋体" w:cs="Times New Roman"/>
          <w:color w:val="auto"/>
          <w:sz w:val="24"/>
          <w:szCs w:val="24"/>
          <w:u w:val="single" w:color="auto"/>
          <w:lang w:val="en-US" w:eastAsia="zh-CN"/>
        </w:rPr>
        <w:t>纳管</w:t>
      </w:r>
      <w:r>
        <w:rPr>
          <w:rFonts w:hint="eastAsia" w:ascii="Times New Roman" w:hAnsi="Times New Roman" w:eastAsia="宋体" w:cs="Times New Roman"/>
          <w:color w:val="auto"/>
          <w:sz w:val="24"/>
          <w:szCs w:val="24"/>
          <w:u w:val="single" w:color="auto"/>
        </w:rPr>
        <w:t>标准</w:t>
      </w:r>
      <w:r>
        <w:rPr>
          <w:rFonts w:ascii="Times New Roman" w:hAnsi="Times New Roman" w:eastAsia="宋体" w:cs="Times New Roman"/>
          <w:color w:val="auto"/>
          <w:sz w:val="24"/>
          <w:szCs w:val="24"/>
          <w:u w:val="single" w:color="auto"/>
        </w:rPr>
        <w:t>要求后，经市政管网排入大榄坪污水处理厂。</w:t>
      </w:r>
    </w:p>
    <w:p w14:paraId="579EA6D5">
      <w:pPr>
        <w:snapToGrid w:val="0"/>
        <w:spacing w:line="360" w:lineRule="auto"/>
        <w:ind w:firstLine="480" w:firstLineChars="200"/>
        <w:rPr>
          <w:rFonts w:hint="eastAsia"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u w:val="single" w:color="auto"/>
          <w:lang w:val="en-US" w:eastAsia="zh-CN"/>
        </w:rPr>
        <w:t>项目不产生生产废水，喷漆采用稀释剂清洗。</w:t>
      </w:r>
    </w:p>
    <w:p w14:paraId="5C5AB236">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u w:val="single" w:color="auto"/>
          <w:lang w:val="en-US" w:eastAsia="zh-CN"/>
        </w:rPr>
      </w:pPr>
      <w:r>
        <w:rPr>
          <w:rFonts w:hint="eastAsia" w:ascii="Times New Roman" w:hAnsi="Times New Roman" w:eastAsia="宋体" w:cs="Times New Roman"/>
          <w:color w:val="auto"/>
          <w:sz w:val="24"/>
          <w:szCs w:val="24"/>
          <w:highlight w:val="none"/>
          <w:u w:val="single" w:color="auto"/>
          <w:lang w:val="en-US" w:eastAsia="zh-CN"/>
        </w:rPr>
        <w:t>生产区</w:t>
      </w:r>
      <w:r>
        <w:rPr>
          <w:rFonts w:hint="default" w:ascii="Times New Roman" w:hAnsi="Times New Roman" w:eastAsia="宋体" w:cs="Times New Roman"/>
          <w:color w:val="auto"/>
          <w:sz w:val="24"/>
          <w:szCs w:val="24"/>
          <w:highlight w:val="none"/>
          <w:u w:val="single" w:color="auto"/>
        </w:rPr>
        <w:t>的初期雨水水量</w:t>
      </w:r>
      <w:r>
        <w:rPr>
          <w:rFonts w:hint="eastAsia" w:ascii="Times New Roman" w:hAnsi="Times New Roman" w:eastAsia="宋体" w:cs="Times New Roman"/>
          <w:color w:val="auto"/>
          <w:sz w:val="24"/>
          <w:szCs w:val="24"/>
          <w:highlight w:val="none"/>
          <w:u w:val="single" w:color="auto"/>
          <w:lang w:val="en-US" w:eastAsia="zh-CN"/>
        </w:rPr>
        <w:t>约</w:t>
      </w:r>
      <w:r>
        <w:rPr>
          <w:rFonts w:hint="default" w:ascii="Times New Roman" w:hAnsi="Times New Roman" w:eastAsia="宋体" w:cs="Times New Roman"/>
          <w:color w:val="auto"/>
          <w:sz w:val="24"/>
          <w:szCs w:val="24"/>
          <w:highlight w:val="none"/>
          <w:u w:val="single" w:color="auto"/>
        </w:rPr>
        <w:t>为</w:t>
      </w:r>
      <w:r>
        <w:rPr>
          <w:rFonts w:hint="eastAsia" w:ascii="Times New Roman" w:hAnsi="Times New Roman" w:eastAsia="宋体" w:cs="Times New Roman"/>
          <w:color w:val="auto"/>
          <w:sz w:val="24"/>
          <w:szCs w:val="24"/>
          <w:highlight w:val="none"/>
          <w:u w:val="single" w:color="auto"/>
          <w:lang w:val="en-US" w:eastAsia="zh-CN"/>
        </w:rPr>
        <w:t>893</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eastAsia" w:ascii="Times New Roman" w:hAnsi="Times New Roman" w:eastAsia="宋体" w:cs="Times New Roman"/>
          <w:color w:val="auto"/>
          <w:sz w:val="24"/>
          <w:szCs w:val="24"/>
          <w:highlight w:val="none"/>
          <w:u w:val="single" w:color="auto"/>
          <w:vertAlign w:val="baseline"/>
          <w:lang w:eastAsia="zh-CN"/>
        </w:rPr>
        <w:t>，</w:t>
      </w:r>
      <w:r>
        <w:rPr>
          <w:rFonts w:hint="eastAsia" w:ascii="Times New Roman" w:hAnsi="Times New Roman" w:eastAsia="宋体" w:cs="Times New Roman"/>
          <w:color w:val="auto"/>
          <w:sz w:val="24"/>
          <w:szCs w:val="24"/>
          <w:highlight w:val="none"/>
          <w:u w:val="single" w:color="auto"/>
          <w:vertAlign w:val="baseline"/>
          <w:lang w:val="en-US" w:eastAsia="zh-CN"/>
        </w:rPr>
        <w:t>产品堆场的</w:t>
      </w:r>
      <w:r>
        <w:rPr>
          <w:rFonts w:hint="default" w:ascii="Times New Roman" w:hAnsi="Times New Roman" w:eastAsia="宋体" w:cs="Times New Roman"/>
          <w:color w:val="auto"/>
          <w:sz w:val="24"/>
          <w:szCs w:val="24"/>
          <w:highlight w:val="none"/>
          <w:u w:val="single" w:color="auto"/>
        </w:rPr>
        <w:t>初期雨水水量</w:t>
      </w:r>
      <w:r>
        <w:rPr>
          <w:rFonts w:hint="eastAsia" w:ascii="Times New Roman" w:hAnsi="Times New Roman" w:eastAsia="宋体" w:cs="Times New Roman"/>
          <w:color w:val="auto"/>
          <w:sz w:val="24"/>
          <w:szCs w:val="24"/>
          <w:highlight w:val="none"/>
          <w:u w:val="single" w:color="auto"/>
          <w:lang w:val="en-US" w:eastAsia="zh-CN"/>
        </w:rPr>
        <w:t>约</w:t>
      </w:r>
      <w:r>
        <w:rPr>
          <w:rFonts w:hint="default" w:ascii="Times New Roman" w:hAnsi="Times New Roman" w:eastAsia="宋体" w:cs="Times New Roman"/>
          <w:color w:val="auto"/>
          <w:sz w:val="24"/>
          <w:szCs w:val="24"/>
          <w:highlight w:val="none"/>
          <w:u w:val="single" w:color="auto"/>
        </w:rPr>
        <w:t>为</w:t>
      </w:r>
      <w:r>
        <w:rPr>
          <w:rFonts w:hint="eastAsia" w:ascii="Times New Roman" w:hAnsi="Times New Roman" w:eastAsia="宋体" w:cs="Times New Roman"/>
          <w:color w:val="auto"/>
          <w:sz w:val="24"/>
          <w:szCs w:val="24"/>
          <w:highlight w:val="none"/>
          <w:u w:val="single" w:color="auto"/>
          <w:lang w:val="en-US" w:eastAsia="zh-CN"/>
        </w:rPr>
        <w:t>539</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default" w:ascii="Times New Roman" w:hAnsi="Times New Roman" w:eastAsia="宋体" w:cs="Times New Roman"/>
          <w:color w:val="auto"/>
          <w:sz w:val="24"/>
          <w:szCs w:val="24"/>
          <w:highlight w:val="none"/>
          <w:u w:val="single" w:color="auto"/>
        </w:rPr>
        <w:t>。</w:t>
      </w:r>
      <w:r>
        <w:rPr>
          <w:rFonts w:hint="default" w:ascii="Times New Roman" w:hAnsi="Times New Roman" w:eastAsia="宋体" w:cs="Times New Roman"/>
          <w:color w:val="auto"/>
          <w:spacing w:val="10"/>
          <w:sz w:val="24"/>
          <w:szCs w:val="24"/>
          <w:highlight w:val="none"/>
          <w:u w:val="single" w:color="auto"/>
        </w:rPr>
        <w:t>初期雨水</w:t>
      </w:r>
      <w:r>
        <w:rPr>
          <w:rFonts w:hint="eastAsia" w:ascii="Times New Roman" w:hAnsi="Times New Roman" w:eastAsia="宋体" w:cs="Times New Roman"/>
          <w:color w:val="auto"/>
          <w:spacing w:val="10"/>
          <w:sz w:val="24"/>
          <w:szCs w:val="24"/>
          <w:highlight w:val="none"/>
          <w:u w:val="single" w:color="auto"/>
          <w:lang w:val="en-US" w:eastAsia="zh-CN"/>
        </w:rPr>
        <w:t>经雨水沟收集</w:t>
      </w:r>
      <w:r>
        <w:rPr>
          <w:rFonts w:hint="default" w:ascii="Times New Roman" w:hAnsi="Times New Roman" w:eastAsia="宋体" w:cs="Times New Roman"/>
          <w:color w:val="auto"/>
          <w:spacing w:val="10"/>
          <w:sz w:val="24"/>
          <w:szCs w:val="24"/>
          <w:highlight w:val="none"/>
          <w:u w:val="single" w:color="auto"/>
        </w:rPr>
        <w:t>，</w:t>
      </w:r>
      <w:r>
        <w:rPr>
          <w:rFonts w:hint="eastAsia" w:ascii="Times New Roman" w:hAnsi="Times New Roman" w:eastAsia="宋体" w:cs="Times New Roman"/>
          <w:color w:val="auto"/>
          <w:spacing w:val="10"/>
          <w:sz w:val="24"/>
          <w:szCs w:val="24"/>
          <w:highlight w:val="none"/>
          <w:u w:val="single" w:color="auto"/>
          <w:lang w:eastAsia="zh-CN"/>
        </w:rPr>
        <w:t>排入</w:t>
      </w:r>
      <w:r>
        <w:rPr>
          <w:rFonts w:hint="default" w:ascii="Times New Roman" w:hAnsi="Times New Roman" w:eastAsia="宋体" w:cs="Times New Roman"/>
          <w:snapToGrid w:val="0"/>
          <w:color w:val="auto"/>
          <w:sz w:val="24"/>
          <w:szCs w:val="24"/>
          <w:highlight w:val="none"/>
          <w:u w:val="single" w:color="auto"/>
        </w:rPr>
        <w:t>初期雨水收集池</w:t>
      </w:r>
      <w:r>
        <w:rPr>
          <w:rFonts w:hint="default" w:ascii="Times New Roman" w:hAnsi="Times New Roman" w:eastAsia="宋体" w:cs="Times New Roman"/>
          <w:color w:val="auto"/>
          <w:spacing w:val="10"/>
          <w:sz w:val="24"/>
          <w:szCs w:val="24"/>
          <w:highlight w:val="none"/>
          <w:u w:val="single" w:color="auto"/>
        </w:rPr>
        <w:t>中，</w:t>
      </w:r>
      <w:r>
        <w:rPr>
          <w:rFonts w:hint="eastAsia" w:ascii="Times New Roman" w:hAnsi="Times New Roman" w:eastAsia="宋体" w:cs="Times New Roman"/>
          <w:color w:val="auto"/>
          <w:spacing w:val="10"/>
          <w:sz w:val="24"/>
          <w:szCs w:val="24"/>
          <w:highlight w:val="none"/>
          <w:u w:val="single" w:color="auto"/>
          <w:lang w:val="en-US" w:eastAsia="zh-CN"/>
        </w:rPr>
        <w:t>收集沉淀处理后用于厂区洒水降尘，不外排</w:t>
      </w:r>
      <w:r>
        <w:rPr>
          <w:rFonts w:hint="default" w:ascii="Times New Roman" w:hAnsi="Times New Roman" w:eastAsia="宋体" w:cs="Times New Roman"/>
          <w:color w:val="auto"/>
          <w:spacing w:val="10"/>
          <w:sz w:val="24"/>
          <w:szCs w:val="24"/>
          <w:highlight w:val="none"/>
          <w:u w:val="single" w:color="auto"/>
        </w:rPr>
        <w:t>，对周围环境影响较小。</w:t>
      </w:r>
      <w:r>
        <w:rPr>
          <w:rFonts w:hint="eastAsia" w:ascii="Times New Roman" w:hAnsi="Times New Roman" w:eastAsia="宋体" w:cs="Times New Roman"/>
          <w:color w:val="auto"/>
          <w:spacing w:val="10"/>
          <w:sz w:val="24"/>
          <w:szCs w:val="24"/>
          <w:highlight w:val="none"/>
          <w:u w:val="single" w:color="auto"/>
          <w:lang w:val="en-US" w:eastAsia="zh-CN"/>
        </w:rPr>
        <w:t>生产区设置</w:t>
      </w:r>
      <w:r>
        <w:rPr>
          <w:rFonts w:hint="eastAsia" w:ascii="Times New Roman" w:hAnsi="Times New Roman" w:eastAsia="宋体" w:cs="Times New Roman"/>
          <w:color w:val="auto"/>
          <w:sz w:val="24"/>
          <w:szCs w:val="24"/>
          <w:highlight w:val="none"/>
          <w:u w:val="single" w:color="auto"/>
          <w:lang w:val="en-US" w:eastAsia="zh-CN"/>
        </w:rPr>
        <w:t>900</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eastAsia" w:ascii="Times New Roman" w:hAnsi="Times New Roman" w:eastAsia="宋体" w:cs="Times New Roman"/>
          <w:color w:val="auto"/>
          <w:sz w:val="24"/>
          <w:szCs w:val="24"/>
          <w:highlight w:val="none"/>
          <w:u w:val="single" w:color="auto"/>
          <w:vertAlign w:val="baseline"/>
          <w:lang w:val="en-US" w:eastAsia="zh-CN"/>
        </w:rPr>
        <w:t>初期雨水池，产品堆场设置</w:t>
      </w:r>
      <w:r>
        <w:rPr>
          <w:rFonts w:hint="eastAsia" w:ascii="Times New Roman" w:hAnsi="Times New Roman" w:eastAsia="宋体" w:cs="Times New Roman"/>
          <w:color w:val="auto"/>
          <w:sz w:val="24"/>
          <w:szCs w:val="24"/>
          <w:highlight w:val="none"/>
          <w:u w:val="single" w:color="auto"/>
          <w:lang w:val="en-US" w:eastAsia="zh-CN"/>
        </w:rPr>
        <w:t>550</w:t>
      </w:r>
      <w:r>
        <w:rPr>
          <w:rFonts w:hint="default" w:ascii="Times New Roman" w:hAnsi="Times New Roman" w:eastAsia="宋体" w:cs="Times New Roman"/>
          <w:color w:val="auto"/>
          <w:sz w:val="24"/>
          <w:szCs w:val="24"/>
          <w:highlight w:val="none"/>
          <w:u w:val="single" w:color="auto"/>
        </w:rPr>
        <w:t>m</w:t>
      </w:r>
      <w:r>
        <w:rPr>
          <w:rFonts w:hint="default" w:ascii="Times New Roman" w:hAnsi="Times New Roman" w:eastAsia="宋体" w:cs="Times New Roman"/>
          <w:color w:val="auto"/>
          <w:sz w:val="24"/>
          <w:szCs w:val="24"/>
          <w:highlight w:val="none"/>
          <w:u w:val="single" w:color="auto"/>
          <w:vertAlign w:val="superscript"/>
        </w:rPr>
        <w:t>3</w:t>
      </w:r>
      <w:r>
        <w:rPr>
          <w:rFonts w:hint="eastAsia" w:ascii="Times New Roman" w:hAnsi="Times New Roman" w:eastAsia="宋体" w:cs="Times New Roman"/>
          <w:color w:val="auto"/>
          <w:sz w:val="24"/>
          <w:szCs w:val="24"/>
          <w:highlight w:val="none"/>
          <w:u w:val="single" w:color="auto"/>
          <w:vertAlign w:val="baseline"/>
          <w:lang w:val="en-US" w:eastAsia="zh-CN"/>
        </w:rPr>
        <w:t>初期雨水池。</w:t>
      </w:r>
    </w:p>
    <w:p w14:paraId="3EB99A64">
      <w:pPr>
        <w:keepNext w:val="0"/>
        <w:keepLines w:val="0"/>
        <w:pageBreakBefore w:val="0"/>
        <w:widowControl w:val="0"/>
        <w:numPr>
          <w:ilvl w:val="0"/>
          <w:numId w:val="19"/>
        </w:numPr>
        <w:kinsoku/>
        <w:wordWrap/>
        <w:overflowPunct/>
        <w:topLinePunct w:val="0"/>
        <w:autoSpaceDE w:val="0"/>
        <w:autoSpaceDN w:val="0"/>
        <w:bidi w:val="0"/>
        <w:adjustRightInd/>
        <w:snapToGrid w:val="0"/>
        <w:spacing w:line="360" w:lineRule="auto"/>
        <w:ind w:left="0" w:leftChars="0" w:firstLine="482" w:firstLineChars="200"/>
        <w:jc w:val="both"/>
        <w:textAlignment w:val="auto"/>
        <w:rPr>
          <w:rFonts w:hint="eastAsia" w:ascii="Times New Roman" w:hAnsi="Times New Roman" w:eastAsia="宋体" w:cs="Times New Roman"/>
          <w:b/>
          <w:bCs/>
          <w:color w:val="auto"/>
          <w:sz w:val="24"/>
          <w:szCs w:val="24"/>
          <w:u w:val="single" w:color="auto"/>
          <w:lang w:val="en-US" w:eastAsia="zh-CN"/>
        </w:rPr>
      </w:pPr>
      <w:r>
        <w:rPr>
          <w:rFonts w:hint="eastAsia" w:ascii="Times New Roman" w:hAnsi="Times New Roman" w:eastAsia="宋体" w:cs="Times New Roman"/>
          <w:b/>
          <w:bCs/>
          <w:color w:val="auto"/>
          <w:sz w:val="24"/>
          <w:szCs w:val="24"/>
          <w:u w:val="single" w:color="auto"/>
          <w:lang w:val="en-US" w:eastAsia="zh-CN"/>
        </w:rPr>
        <w:t>噪声</w:t>
      </w:r>
    </w:p>
    <w:p w14:paraId="7E677638">
      <w:pPr>
        <w:snapToGrid w:val="0"/>
        <w:spacing w:line="360" w:lineRule="auto"/>
        <w:ind w:firstLine="480" w:firstLineChars="200"/>
        <w:rPr>
          <w:rFonts w:ascii="Times New Roman" w:hAnsi="Times New Roman" w:eastAsia="宋体" w:cs="Times New Roman"/>
          <w:color w:val="auto"/>
          <w:sz w:val="24"/>
          <w:szCs w:val="24"/>
          <w:u w:val="single" w:color="auto"/>
        </w:rPr>
      </w:pPr>
      <w:r>
        <w:rPr>
          <w:rFonts w:ascii="Times New Roman" w:hAnsi="Times New Roman" w:eastAsia="宋体" w:cs="Times New Roman"/>
          <w:color w:val="auto"/>
          <w:sz w:val="24"/>
          <w:szCs w:val="24"/>
          <w:u w:val="single" w:color="auto"/>
        </w:rPr>
        <w:t>本项目主要噪声设备为切割机、锯床、组立机、矫正机、钻床、冲孔机、割圆机、剪板机、冲剪机、折弯机、卷弯机、型弯机、卷板机、铣削机、抛丸机、喷砂机、空压机及风机等，噪声在75-</w:t>
      </w:r>
      <w:r>
        <w:rPr>
          <w:rFonts w:hint="eastAsia" w:ascii="Times New Roman" w:hAnsi="Times New Roman" w:eastAsia="宋体" w:cs="Times New Roman"/>
          <w:color w:val="auto"/>
          <w:sz w:val="24"/>
          <w:szCs w:val="24"/>
          <w:u w:val="single" w:color="auto"/>
          <w:lang w:val="en-US" w:eastAsia="zh-CN"/>
        </w:rPr>
        <w:t>105</w:t>
      </w:r>
      <w:r>
        <w:rPr>
          <w:rFonts w:ascii="Times New Roman" w:hAnsi="Times New Roman" w:eastAsia="宋体" w:cs="Times New Roman"/>
          <w:color w:val="auto"/>
          <w:sz w:val="24"/>
          <w:szCs w:val="24"/>
          <w:u w:val="single" w:color="auto"/>
        </w:rPr>
        <w:t>dB（A）之间。</w:t>
      </w:r>
    </w:p>
    <w:p w14:paraId="5009576A">
      <w:pPr>
        <w:keepNext w:val="0"/>
        <w:keepLines w:val="0"/>
        <w:pageBreakBefore w:val="0"/>
        <w:widowControl w:val="0"/>
        <w:numPr>
          <w:ilvl w:val="0"/>
          <w:numId w:val="19"/>
        </w:numPr>
        <w:kinsoku/>
        <w:wordWrap/>
        <w:overflowPunct/>
        <w:topLinePunct w:val="0"/>
        <w:autoSpaceDE w:val="0"/>
        <w:autoSpaceDN w:val="0"/>
        <w:bidi w:val="0"/>
        <w:adjustRightInd/>
        <w:snapToGrid w:val="0"/>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u w:val="single" w:color="auto"/>
          <w:lang w:val="en-US" w:eastAsia="zh-CN"/>
        </w:rPr>
      </w:pPr>
      <w:r>
        <w:rPr>
          <w:rFonts w:hint="eastAsia" w:ascii="Times New Roman" w:hAnsi="Times New Roman" w:eastAsia="宋体" w:cs="Times New Roman"/>
          <w:b/>
          <w:bCs/>
          <w:color w:val="auto"/>
          <w:sz w:val="24"/>
          <w:szCs w:val="24"/>
          <w:u w:val="single" w:color="auto"/>
          <w:lang w:val="en-US" w:eastAsia="zh-CN"/>
        </w:rPr>
        <w:t>固体废物</w:t>
      </w:r>
    </w:p>
    <w:p w14:paraId="676CC959">
      <w:pPr>
        <w:spacing w:line="360" w:lineRule="auto"/>
        <w:ind w:firstLine="480" w:firstLineChars="200"/>
        <w:rPr>
          <w:rFonts w:hint="eastAsia" w:ascii="Times New Roman" w:hAnsi="Times New Roman" w:eastAsia="宋体" w:cs="Times New Roman"/>
          <w:color w:val="auto"/>
          <w:sz w:val="24"/>
          <w:szCs w:val="24"/>
          <w:u w:val="single" w:color="auto"/>
        </w:rPr>
      </w:pPr>
      <w:r>
        <w:rPr>
          <w:rFonts w:hint="eastAsia" w:ascii="Times New Roman" w:hAnsi="Times New Roman" w:eastAsia="宋体" w:cs="Times New Roman"/>
          <w:color w:val="auto"/>
          <w:sz w:val="24"/>
          <w:szCs w:val="24"/>
          <w:u w:val="single" w:color="auto"/>
        </w:rPr>
        <w:t>项目运营期产生的固体废物主要为一般固体废物、危险废物和生活垃圾。</w:t>
      </w:r>
    </w:p>
    <w:p w14:paraId="5ED51FC0">
      <w:pPr>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lang w:val="en-US" w:eastAsia="zh-CN"/>
        </w:rPr>
        <w:t>一般固体废物主要有</w:t>
      </w:r>
      <w:r>
        <w:rPr>
          <w:rFonts w:ascii="Times New Roman" w:hAnsi="Times New Roman" w:eastAsia="宋体" w:cs="Times New Roman"/>
          <w:color w:val="auto"/>
          <w:sz w:val="24"/>
          <w:szCs w:val="24"/>
          <w:u w:val="single" w:color="auto"/>
        </w:rPr>
        <w:t>切割下脚料</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净化器除尘灰</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滤筒除尘灰</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废焊条焊渣</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废钢丸</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沉降粉尘</w:t>
      </w:r>
      <w:r>
        <w:rPr>
          <w:rFonts w:hint="eastAsia" w:ascii="Times New Roman" w:hAnsi="Times New Roman" w:eastAsia="宋体" w:cs="Times New Roman"/>
          <w:color w:val="auto"/>
          <w:sz w:val="24"/>
          <w:szCs w:val="24"/>
          <w:u w:val="single" w:color="auto"/>
          <w:lang w:val="en-US" w:eastAsia="zh-CN"/>
        </w:rPr>
        <w:t>等，产生量为2306.242t/a，</w:t>
      </w:r>
      <w:r>
        <w:rPr>
          <w:rFonts w:ascii="Times New Roman" w:hAnsi="Times New Roman" w:eastAsia="宋体" w:cs="Times New Roman"/>
          <w:color w:val="auto"/>
          <w:sz w:val="24"/>
          <w:szCs w:val="24"/>
          <w:u w:val="single" w:color="auto"/>
        </w:rPr>
        <w:t>集中收集在</w:t>
      </w:r>
      <w:r>
        <w:rPr>
          <w:rFonts w:hint="eastAsia" w:ascii="Times New Roman" w:hAnsi="Times New Roman" w:eastAsia="宋体" w:cs="Times New Roman"/>
          <w:color w:val="auto"/>
          <w:sz w:val="24"/>
          <w:szCs w:val="24"/>
          <w:u w:val="single" w:color="auto"/>
        </w:rPr>
        <w:t>一般固废暂存间</w:t>
      </w:r>
      <w:r>
        <w:rPr>
          <w:rFonts w:ascii="Times New Roman" w:hAnsi="Times New Roman" w:eastAsia="宋体" w:cs="Times New Roman"/>
          <w:color w:val="auto"/>
          <w:sz w:val="24"/>
          <w:szCs w:val="24"/>
          <w:u w:val="single" w:color="auto"/>
        </w:rPr>
        <w:t>，定期外售</w:t>
      </w:r>
      <w:r>
        <w:rPr>
          <w:rFonts w:hint="eastAsia" w:ascii="Times New Roman" w:hAnsi="Times New Roman" w:eastAsia="宋体" w:cs="Times New Roman"/>
          <w:color w:val="auto"/>
          <w:sz w:val="24"/>
          <w:szCs w:val="24"/>
          <w:u w:val="single" w:color="auto"/>
          <w:lang w:eastAsia="zh-CN"/>
        </w:rPr>
        <w:t>。</w:t>
      </w:r>
    </w:p>
    <w:p w14:paraId="5099D9F0">
      <w:pPr>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hint="eastAsia" w:ascii="Times New Roman" w:hAnsi="Times New Roman" w:eastAsia="宋体" w:cs="Times New Roman"/>
          <w:color w:val="auto"/>
          <w:sz w:val="24"/>
          <w:szCs w:val="24"/>
          <w:u w:val="single" w:color="auto"/>
          <w:lang w:val="en-US" w:eastAsia="zh-CN"/>
        </w:rPr>
        <w:t>危险废物主要有</w:t>
      </w:r>
      <w:r>
        <w:rPr>
          <w:rFonts w:ascii="Times New Roman" w:hAnsi="Times New Roman" w:eastAsia="宋体" w:cs="Times New Roman"/>
          <w:color w:val="auto"/>
          <w:sz w:val="24"/>
          <w:szCs w:val="24"/>
          <w:u w:val="single" w:color="auto"/>
        </w:rPr>
        <w:t>废过滤棉</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废活性炭</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废催化剂</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废油漆桶</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固化剂</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稀释剂</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lang w:eastAsia="zh-CN"/>
        </w:rPr>
        <w:t>、</w:t>
      </w:r>
      <w:r>
        <w:rPr>
          <w:rFonts w:ascii="Times New Roman" w:hAnsi="Times New Roman" w:eastAsia="宋体" w:cs="Times New Roman"/>
          <w:color w:val="auto"/>
          <w:sz w:val="24"/>
          <w:szCs w:val="24"/>
          <w:u w:val="single" w:color="auto"/>
        </w:rPr>
        <w:t>废</w:t>
      </w:r>
      <w:r>
        <w:rPr>
          <w:rFonts w:hint="eastAsia" w:ascii="Times New Roman" w:hAnsi="Times New Roman" w:eastAsia="宋体" w:cs="Times New Roman"/>
          <w:color w:val="auto"/>
          <w:sz w:val="24"/>
          <w:szCs w:val="24"/>
          <w:u w:val="single" w:color="auto"/>
        </w:rPr>
        <w:t>润滑油</w:t>
      </w:r>
      <w:r>
        <w:rPr>
          <w:rFonts w:ascii="Times New Roman" w:hAnsi="Times New Roman" w:eastAsia="宋体" w:cs="Times New Roman"/>
          <w:color w:val="auto"/>
          <w:sz w:val="24"/>
          <w:szCs w:val="24"/>
          <w:u w:val="single" w:color="auto"/>
        </w:rPr>
        <w:t>桶</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rPr>
        <w:t>漆渣</w:t>
      </w:r>
      <w:r>
        <w:rPr>
          <w:rFonts w:hint="eastAsia" w:ascii="Times New Roman" w:hAnsi="Times New Roman" w:eastAsia="宋体" w:cs="Times New Roman"/>
          <w:color w:val="auto"/>
          <w:sz w:val="24"/>
          <w:szCs w:val="24"/>
          <w:u w:val="single" w:color="auto"/>
          <w:lang w:eastAsia="zh-CN"/>
        </w:rPr>
        <w:t>、</w:t>
      </w:r>
      <w:r>
        <w:rPr>
          <w:rFonts w:hint="eastAsia" w:ascii="Times New Roman" w:hAnsi="Times New Roman" w:eastAsia="宋体" w:cs="Times New Roman"/>
          <w:color w:val="auto"/>
          <w:sz w:val="24"/>
          <w:szCs w:val="24"/>
          <w:u w:val="single" w:color="auto"/>
        </w:rPr>
        <w:t>废</w:t>
      </w:r>
      <w:r>
        <w:rPr>
          <w:rFonts w:ascii="Times New Roman" w:hAnsi="Times New Roman" w:eastAsia="宋体" w:cs="Times New Roman"/>
          <w:color w:val="auto"/>
          <w:sz w:val="24"/>
          <w:szCs w:val="24"/>
          <w:u w:val="single" w:color="auto"/>
        </w:rPr>
        <w:t>含油抹布</w:t>
      </w:r>
      <w:r>
        <w:rPr>
          <w:rFonts w:hint="eastAsia" w:ascii="Times New Roman" w:hAnsi="Times New Roman" w:eastAsia="宋体" w:cs="Times New Roman"/>
          <w:color w:val="auto"/>
          <w:sz w:val="24"/>
          <w:szCs w:val="24"/>
          <w:u w:val="single" w:color="auto"/>
          <w:lang w:val="en-US" w:eastAsia="zh-CN"/>
        </w:rPr>
        <w:t>等，产生量为79.422t/a，定期交</w:t>
      </w:r>
      <w:r>
        <w:rPr>
          <w:rFonts w:ascii="Times New Roman" w:hAnsi="Times New Roman" w:eastAsia="宋体" w:cs="Times New Roman"/>
          <w:color w:val="auto"/>
          <w:sz w:val="24"/>
          <w:szCs w:val="24"/>
          <w:u w:val="single" w:color="auto"/>
        </w:rPr>
        <w:t>有资质单位处置</w:t>
      </w:r>
      <w:r>
        <w:rPr>
          <w:rFonts w:hint="eastAsia" w:ascii="Times New Roman" w:hAnsi="Times New Roman" w:eastAsia="宋体" w:cs="Times New Roman"/>
          <w:color w:val="auto"/>
          <w:sz w:val="24"/>
          <w:szCs w:val="24"/>
          <w:u w:val="single" w:color="auto"/>
          <w:lang w:eastAsia="zh-CN"/>
        </w:rPr>
        <w:t>。</w:t>
      </w:r>
    </w:p>
    <w:p w14:paraId="53593E6B">
      <w:pPr>
        <w:spacing w:line="360" w:lineRule="auto"/>
        <w:ind w:firstLine="480" w:firstLineChars="200"/>
        <w:rPr>
          <w:rFonts w:hint="eastAsia" w:ascii="Times New Roman" w:hAnsi="Times New Roman" w:eastAsia="宋体" w:cs="Times New Roman"/>
          <w:color w:val="auto"/>
          <w:sz w:val="24"/>
          <w:szCs w:val="24"/>
          <w:u w:val="single" w:color="auto"/>
          <w:lang w:eastAsia="zh-CN"/>
        </w:rPr>
      </w:pPr>
      <w:r>
        <w:rPr>
          <w:rFonts w:ascii="Times New Roman" w:hAnsi="Times New Roman" w:eastAsia="宋体" w:cs="Times New Roman"/>
          <w:color w:val="auto"/>
          <w:sz w:val="24"/>
          <w:szCs w:val="24"/>
          <w:u w:val="single" w:color="auto"/>
        </w:rPr>
        <w:t>员工生活垃圾</w:t>
      </w:r>
      <w:r>
        <w:rPr>
          <w:rFonts w:hint="eastAsia" w:ascii="Times New Roman" w:hAnsi="Times New Roman" w:eastAsia="宋体" w:cs="Times New Roman"/>
          <w:color w:val="auto"/>
          <w:sz w:val="24"/>
          <w:szCs w:val="24"/>
          <w:u w:val="single" w:color="auto"/>
          <w:lang w:val="en-US" w:eastAsia="zh-CN"/>
        </w:rPr>
        <w:t>产生量为</w:t>
      </w:r>
      <w:r>
        <w:rPr>
          <w:rFonts w:ascii="Times New Roman" w:hAnsi="Times New Roman" w:eastAsia="宋体" w:cs="Times New Roman"/>
          <w:color w:val="auto"/>
          <w:sz w:val="24"/>
          <w:szCs w:val="24"/>
          <w:u w:val="single" w:color="auto"/>
        </w:rPr>
        <w:t>49.5</w:t>
      </w:r>
      <w:r>
        <w:rPr>
          <w:rFonts w:hint="eastAsia" w:ascii="Times New Roman" w:hAnsi="Times New Roman" w:eastAsia="宋体" w:cs="Times New Roman"/>
          <w:color w:val="auto"/>
          <w:sz w:val="24"/>
          <w:szCs w:val="24"/>
          <w:u w:val="single" w:color="auto"/>
          <w:lang w:val="en-US" w:eastAsia="zh-CN"/>
        </w:rPr>
        <w:t>t/a，交给</w:t>
      </w:r>
      <w:r>
        <w:rPr>
          <w:rFonts w:ascii="Times New Roman" w:hAnsi="Times New Roman" w:eastAsia="宋体" w:cs="Times New Roman"/>
          <w:color w:val="auto"/>
          <w:sz w:val="24"/>
          <w:szCs w:val="24"/>
          <w:u w:val="single" w:color="auto"/>
        </w:rPr>
        <w:t>环卫部门清运处理</w:t>
      </w:r>
      <w:r>
        <w:rPr>
          <w:rFonts w:hint="eastAsia" w:ascii="Times New Roman" w:hAnsi="Times New Roman" w:eastAsia="宋体" w:cs="Times New Roman"/>
          <w:color w:val="auto"/>
          <w:sz w:val="24"/>
          <w:szCs w:val="24"/>
          <w:u w:val="single" w:color="auto"/>
          <w:lang w:eastAsia="zh-CN"/>
        </w:rPr>
        <w:t>。</w:t>
      </w:r>
    </w:p>
    <w:p w14:paraId="45F27D70">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24" w:name="_Toc6918"/>
      <w:bookmarkStart w:id="325" w:name="_Toc3728316"/>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3</w:t>
      </w:r>
      <w:r>
        <w:rPr>
          <w:rFonts w:ascii="Times New Roman" w:hAnsi="Times New Roman" w:eastAsia="宋体" w:cs="Times New Roman"/>
          <w:b/>
          <w:color w:val="auto"/>
          <w:kern w:val="0"/>
          <w:sz w:val="32"/>
          <w:szCs w:val="32"/>
          <w:u w:val="none" w:color="auto"/>
        </w:rPr>
        <w:t>环境质量现状</w:t>
      </w:r>
      <w:bookmarkEnd w:id="324"/>
      <w:bookmarkEnd w:id="325"/>
    </w:p>
    <w:p w14:paraId="224D2D92">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26" w:name="_Toc3728317"/>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.1环境空气现状</w:t>
      </w:r>
      <w:bookmarkEnd w:id="326"/>
    </w:p>
    <w:p w14:paraId="3FA6B348">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根据202</w:t>
      </w:r>
      <w:r>
        <w:rPr>
          <w:rFonts w:hint="eastAsia" w:ascii="Times New Roman" w:hAnsi="Times New Roman" w:eastAsia="宋体" w:cs="Times New Roman"/>
          <w:color w:val="auto"/>
          <w:sz w:val="24"/>
          <w:szCs w:val="24"/>
          <w:u w:val="none" w:color="auto"/>
          <w:lang w:val="en-US" w:eastAsia="zh-CN"/>
        </w:rPr>
        <w:t>3</w:t>
      </w:r>
      <w:r>
        <w:rPr>
          <w:rFonts w:ascii="Times New Roman" w:hAnsi="Times New Roman" w:eastAsia="宋体" w:cs="Times New Roman"/>
          <w:color w:val="auto"/>
          <w:sz w:val="24"/>
          <w:szCs w:val="24"/>
          <w:u w:val="none" w:color="auto"/>
        </w:rPr>
        <w:t>年钦州空气质量数据，钦州市SO</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、NO</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、PM</w:t>
      </w:r>
      <w:r>
        <w:rPr>
          <w:rFonts w:ascii="Times New Roman" w:hAnsi="Times New Roman" w:eastAsia="宋体" w:cs="Times New Roman"/>
          <w:color w:val="auto"/>
          <w:sz w:val="24"/>
          <w:szCs w:val="24"/>
          <w:u w:val="none" w:color="auto"/>
          <w:vertAlign w:val="subscript"/>
        </w:rPr>
        <w:t>10</w:t>
      </w:r>
      <w:r>
        <w:rPr>
          <w:rFonts w:ascii="Times New Roman" w:hAnsi="Times New Roman" w:eastAsia="宋体" w:cs="Times New Roman"/>
          <w:color w:val="auto"/>
          <w:sz w:val="24"/>
          <w:szCs w:val="24"/>
          <w:u w:val="none" w:color="auto"/>
        </w:rPr>
        <w:t>和PM</w:t>
      </w:r>
      <w:r>
        <w:rPr>
          <w:rFonts w:ascii="Times New Roman" w:hAnsi="Times New Roman" w:eastAsia="宋体" w:cs="Times New Roman"/>
          <w:color w:val="auto"/>
          <w:sz w:val="24"/>
          <w:szCs w:val="24"/>
          <w:u w:val="none" w:color="auto"/>
          <w:vertAlign w:val="subscript"/>
        </w:rPr>
        <w:t>2.5</w:t>
      </w:r>
      <w:r>
        <w:rPr>
          <w:rFonts w:ascii="Times New Roman" w:hAnsi="Times New Roman" w:eastAsia="宋体" w:cs="Times New Roman"/>
          <w:color w:val="auto"/>
          <w:sz w:val="24"/>
          <w:szCs w:val="24"/>
          <w:u w:val="none" w:color="auto"/>
        </w:rPr>
        <w:t>年平均质量浓度《环境空气质量标准》（GB3095-2012）二级标准；SO</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和NO</w:t>
      </w:r>
      <w:r>
        <w:rPr>
          <w:rFonts w:ascii="Times New Roman" w:hAnsi="Times New Roman" w:eastAsia="宋体" w:cs="Times New Roman"/>
          <w:color w:val="auto"/>
          <w:sz w:val="24"/>
          <w:szCs w:val="24"/>
          <w:u w:val="none" w:color="auto"/>
          <w:vertAlign w:val="subscript"/>
        </w:rPr>
        <w:t>2</w:t>
      </w:r>
      <w:r>
        <w:rPr>
          <w:rFonts w:ascii="Times New Roman" w:hAnsi="Times New Roman" w:eastAsia="宋体" w:cs="Times New Roman"/>
          <w:color w:val="auto"/>
          <w:sz w:val="24"/>
          <w:szCs w:val="24"/>
          <w:u w:val="none" w:color="auto"/>
        </w:rPr>
        <w:t>年评价浓度（第98百分位数）、PM</w:t>
      </w:r>
      <w:r>
        <w:rPr>
          <w:rFonts w:ascii="Times New Roman" w:hAnsi="Times New Roman" w:eastAsia="宋体" w:cs="Times New Roman"/>
          <w:color w:val="auto"/>
          <w:sz w:val="24"/>
          <w:szCs w:val="24"/>
          <w:u w:val="none" w:color="auto"/>
          <w:vertAlign w:val="subscript"/>
        </w:rPr>
        <w:t>10</w:t>
      </w:r>
      <w:r>
        <w:rPr>
          <w:rFonts w:ascii="Times New Roman" w:hAnsi="Times New Roman" w:eastAsia="宋体" w:cs="Times New Roman"/>
          <w:color w:val="auto"/>
          <w:sz w:val="24"/>
          <w:szCs w:val="24"/>
          <w:u w:val="none" w:color="auto"/>
        </w:rPr>
        <w:t>、PM</w:t>
      </w:r>
      <w:r>
        <w:rPr>
          <w:rFonts w:ascii="Times New Roman" w:hAnsi="Times New Roman" w:eastAsia="宋体" w:cs="Times New Roman"/>
          <w:color w:val="auto"/>
          <w:sz w:val="24"/>
          <w:szCs w:val="24"/>
          <w:u w:val="none" w:color="auto"/>
          <w:vertAlign w:val="subscript"/>
        </w:rPr>
        <w:t>2.5</w:t>
      </w:r>
      <w:r>
        <w:rPr>
          <w:rFonts w:ascii="Times New Roman" w:hAnsi="Times New Roman" w:eastAsia="宋体" w:cs="Times New Roman"/>
          <w:color w:val="auto"/>
          <w:sz w:val="24"/>
          <w:szCs w:val="24"/>
          <w:u w:val="none" w:color="auto"/>
        </w:rPr>
        <w:t>和CO年评价浓度（第95百分位数）、O</w:t>
      </w:r>
      <w:r>
        <w:rPr>
          <w:rFonts w:ascii="Times New Roman" w:hAnsi="Times New Roman" w:eastAsia="宋体" w:cs="Times New Roman"/>
          <w:color w:val="auto"/>
          <w:sz w:val="24"/>
          <w:szCs w:val="24"/>
          <w:u w:val="none" w:color="auto"/>
          <w:vertAlign w:val="subscript"/>
        </w:rPr>
        <w:t>3</w:t>
      </w:r>
      <w:r>
        <w:rPr>
          <w:rFonts w:ascii="Times New Roman" w:hAnsi="Times New Roman" w:eastAsia="宋体" w:cs="Times New Roman"/>
          <w:color w:val="auto"/>
          <w:sz w:val="24"/>
          <w:szCs w:val="24"/>
          <w:u w:val="none" w:color="auto"/>
        </w:rPr>
        <w:t>年评价浓度（第90百分位数）均达到《环境空气质量标准》（GB3095-2012）二级标准，项目所在区域为达标区。</w:t>
      </w:r>
    </w:p>
    <w:p w14:paraId="26335119">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补充监测结果表明：环境空气质量现状监测点TSP</w:t>
      </w:r>
      <w:r>
        <w:rPr>
          <w:rFonts w:hint="eastAsia" w:ascii="Times New Roman" w:hAnsi="Times New Roman" w:eastAsia="宋体" w:cs="Times New Roman"/>
          <w:color w:val="auto"/>
          <w:sz w:val="24"/>
          <w:szCs w:val="24"/>
          <w:u w:val="none" w:color="auto"/>
        </w:rPr>
        <w:t>能满足</w:t>
      </w:r>
      <w:r>
        <w:rPr>
          <w:rFonts w:ascii="Times New Roman" w:hAnsi="Times New Roman" w:eastAsia="宋体" w:cs="Times New Roman"/>
          <w:color w:val="auto"/>
          <w:spacing w:val="10"/>
          <w:sz w:val="24"/>
          <w:szCs w:val="24"/>
          <w:u w:val="none" w:color="auto"/>
        </w:rPr>
        <w:t>《环境空气质量标准》(GB3095-2012)中二级标准</w:t>
      </w:r>
      <w:r>
        <w:rPr>
          <w:rFonts w:hint="eastAsia" w:ascii="Times New Roman" w:hAnsi="Times New Roman" w:eastAsia="宋体" w:cs="Times New Roman"/>
          <w:color w:val="auto"/>
          <w:spacing w:val="10"/>
          <w:sz w:val="24"/>
          <w:szCs w:val="24"/>
          <w:u w:val="none" w:color="auto"/>
        </w:rPr>
        <w:t>；甲苯、二甲苯满足《</w:t>
      </w:r>
      <w:r>
        <w:rPr>
          <w:rFonts w:ascii="Times New Roman" w:hAnsi="Times New Roman" w:eastAsia="宋体" w:cs="Times New Roman"/>
          <w:color w:val="auto"/>
          <w:kern w:val="0"/>
          <w:sz w:val="24"/>
          <w:szCs w:val="20"/>
          <w:u w:val="none" w:color="auto"/>
        </w:rPr>
        <w:t>环境影响评价技术导则 大气环境》（HJ2.2-2018）</w:t>
      </w:r>
      <w:r>
        <w:rPr>
          <w:rFonts w:hint="eastAsia" w:ascii="Times New Roman" w:hAnsi="Times New Roman" w:eastAsia="宋体" w:cs="Times New Roman"/>
          <w:color w:val="auto"/>
          <w:kern w:val="0"/>
          <w:sz w:val="24"/>
          <w:szCs w:val="20"/>
          <w:u w:val="none" w:color="auto"/>
        </w:rPr>
        <w:t>附录D中标准要求；非甲烷总烃满足《大气污染物综合排放标准详解》建议值要求。</w:t>
      </w:r>
    </w:p>
    <w:p w14:paraId="6D9BE1B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27" w:name="_Toc3728318"/>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.2</w:t>
      </w:r>
      <w:r>
        <w:rPr>
          <w:rFonts w:hint="eastAsia" w:ascii="Times New Roman" w:hAnsi="Times New Roman" w:eastAsia="宋体" w:cs="Times New Roman"/>
          <w:b/>
          <w:color w:val="auto"/>
          <w:kern w:val="0"/>
          <w:sz w:val="28"/>
          <w:szCs w:val="20"/>
          <w:u w:val="none" w:color="auto"/>
        </w:rPr>
        <w:t>海</w:t>
      </w:r>
      <w:r>
        <w:rPr>
          <w:rFonts w:ascii="Times New Roman" w:hAnsi="Times New Roman" w:eastAsia="宋体" w:cs="Times New Roman"/>
          <w:b/>
          <w:color w:val="auto"/>
          <w:kern w:val="0"/>
          <w:sz w:val="28"/>
          <w:szCs w:val="20"/>
          <w:u w:val="none" w:color="auto"/>
        </w:rPr>
        <w:t>水环境现状</w:t>
      </w:r>
      <w:bookmarkEnd w:id="327"/>
    </w:p>
    <w:p w14:paraId="23995873">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202</w:t>
      </w:r>
      <w:r>
        <w:rPr>
          <w:rFonts w:hint="eastAsia" w:ascii="Times New Roman" w:hAnsi="Times New Roman" w:eastAsia="宋体" w:cs="Times New Roman"/>
          <w:color w:val="auto"/>
          <w:kern w:val="0"/>
          <w:sz w:val="24"/>
          <w:szCs w:val="24"/>
          <w:u w:val="none" w:color="auto"/>
          <w:lang w:val="en-US" w:eastAsia="zh-CN"/>
        </w:rPr>
        <w:t>3</w:t>
      </w:r>
      <w:r>
        <w:rPr>
          <w:rFonts w:hint="eastAsia" w:ascii="Times New Roman" w:hAnsi="Times New Roman" w:eastAsia="宋体" w:cs="Times New Roman"/>
          <w:color w:val="auto"/>
          <w:kern w:val="0"/>
          <w:sz w:val="24"/>
          <w:szCs w:val="24"/>
          <w:u w:val="none" w:color="auto"/>
        </w:rPr>
        <w:t>年度大榄坪污水处理厂尾水排放区域（GX0</w:t>
      </w:r>
      <w:r>
        <w:rPr>
          <w:rFonts w:hint="eastAsia" w:ascii="Times New Roman" w:hAnsi="Times New Roman" w:eastAsia="宋体" w:cs="Times New Roman"/>
          <w:color w:val="auto"/>
          <w:kern w:val="0"/>
          <w:sz w:val="24"/>
          <w:szCs w:val="24"/>
          <w:u w:val="none" w:color="auto"/>
          <w:lang w:val="en-US" w:eastAsia="zh-CN"/>
        </w:rPr>
        <w:t>57</w:t>
      </w:r>
      <w:r>
        <w:rPr>
          <w:rFonts w:hint="eastAsia" w:ascii="Times New Roman" w:hAnsi="Times New Roman" w:eastAsia="宋体" w:cs="Times New Roman"/>
          <w:color w:val="auto"/>
          <w:kern w:val="0"/>
          <w:sz w:val="24"/>
          <w:szCs w:val="24"/>
          <w:u w:val="none" w:color="auto"/>
        </w:rPr>
        <w:t>DⅣ）海水的枯、平、丰水期各监测因子均达到《海水水质标准》（GB3097-1997）第四类标准。</w:t>
      </w:r>
    </w:p>
    <w:p w14:paraId="0A50F72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28" w:name="_Toc3728320"/>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3</w:t>
      </w:r>
      <w:r>
        <w:rPr>
          <w:rFonts w:ascii="Times New Roman" w:hAnsi="Times New Roman" w:eastAsia="宋体" w:cs="Times New Roman"/>
          <w:b/>
          <w:color w:val="auto"/>
          <w:kern w:val="0"/>
          <w:sz w:val="28"/>
          <w:szCs w:val="20"/>
          <w:u w:val="none" w:color="auto"/>
        </w:rPr>
        <w:t>声环境现状</w:t>
      </w:r>
      <w:bookmarkEnd w:id="328"/>
    </w:p>
    <w:p w14:paraId="12EDE659">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各监测点的昼</w:t>
      </w:r>
      <w:r>
        <w:rPr>
          <w:rFonts w:hint="eastAsia" w:ascii="Times New Roman" w:hAnsi="Times New Roman" w:eastAsia="宋体" w:cs="Times New Roman"/>
          <w:color w:val="auto"/>
          <w:sz w:val="24"/>
          <w:szCs w:val="24"/>
          <w:u w:val="none" w:color="auto"/>
        </w:rPr>
        <w:t>间、夜</w:t>
      </w:r>
      <w:r>
        <w:rPr>
          <w:rFonts w:ascii="Times New Roman" w:hAnsi="Times New Roman" w:eastAsia="宋体" w:cs="Times New Roman"/>
          <w:color w:val="auto"/>
          <w:sz w:val="24"/>
          <w:szCs w:val="24"/>
          <w:u w:val="none" w:color="auto"/>
        </w:rPr>
        <w:t>间环境噪声等效声级</w:t>
      </w:r>
      <w:r>
        <w:rPr>
          <w:rFonts w:hint="eastAsia" w:ascii="Times New Roman" w:hAnsi="Times New Roman" w:eastAsia="宋体" w:cs="Times New Roman"/>
          <w:color w:val="auto"/>
          <w:sz w:val="24"/>
          <w:szCs w:val="24"/>
          <w:u w:val="none" w:color="auto"/>
        </w:rPr>
        <w:t>均满足</w:t>
      </w:r>
      <w:r>
        <w:rPr>
          <w:rFonts w:ascii="Times New Roman" w:hAnsi="Times New Roman" w:eastAsia="宋体" w:cs="Times New Roman"/>
          <w:color w:val="auto"/>
          <w:sz w:val="24"/>
          <w:szCs w:val="24"/>
          <w:u w:val="none" w:color="auto"/>
        </w:rPr>
        <w:t>《声环境质量标准》（GB3096-2008）3类标准要求。</w:t>
      </w:r>
    </w:p>
    <w:p w14:paraId="06BC119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29" w:name="_Toc3728321"/>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4</w:t>
      </w:r>
      <w:r>
        <w:rPr>
          <w:rFonts w:ascii="Times New Roman" w:hAnsi="Times New Roman" w:eastAsia="宋体" w:cs="Times New Roman"/>
          <w:b/>
          <w:color w:val="auto"/>
          <w:kern w:val="0"/>
          <w:sz w:val="28"/>
          <w:szCs w:val="20"/>
          <w:u w:val="none" w:color="auto"/>
        </w:rPr>
        <w:t>土壤环境现状</w:t>
      </w:r>
      <w:bookmarkEnd w:id="329"/>
    </w:p>
    <w:p w14:paraId="5D98BFCF">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sz w:val="24"/>
          <w:szCs w:val="24"/>
          <w:u w:val="none" w:color="auto"/>
        </w:rPr>
        <w:t>在厂区范围内布设1个表层样点和3个柱状样（每个样点取三层样品），</w:t>
      </w:r>
      <w:r>
        <w:rPr>
          <w:rFonts w:hint="eastAsia" w:ascii="Times New Roman" w:hAnsi="Times New Roman" w:eastAsia="宋体" w:cs="Times New Roman"/>
          <w:color w:val="auto"/>
          <w:sz w:val="24"/>
          <w:szCs w:val="24"/>
          <w:u w:val="none" w:color="auto"/>
        </w:rPr>
        <w:t>厂</w:t>
      </w:r>
      <w:r>
        <w:rPr>
          <w:rFonts w:ascii="Times New Roman" w:hAnsi="Times New Roman" w:eastAsia="宋体" w:cs="Times New Roman"/>
          <w:color w:val="auto"/>
          <w:sz w:val="24"/>
          <w:szCs w:val="24"/>
          <w:u w:val="none" w:color="auto"/>
        </w:rPr>
        <w:t>界</w:t>
      </w:r>
      <w:r>
        <w:rPr>
          <w:rFonts w:hint="eastAsia" w:ascii="Times New Roman" w:hAnsi="Times New Roman" w:eastAsia="宋体" w:cs="Times New Roman"/>
          <w:color w:val="auto"/>
          <w:sz w:val="24"/>
          <w:szCs w:val="24"/>
          <w:u w:val="none" w:color="auto"/>
        </w:rPr>
        <w:t>东北侧</w:t>
      </w:r>
      <w:r>
        <w:rPr>
          <w:rFonts w:ascii="Times New Roman" w:hAnsi="Times New Roman" w:eastAsia="宋体" w:cs="Times New Roman"/>
          <w:color w:val="auto"/>
          <w:sz w:val="24"/>
          <w:szCs w:val="24"/>
          <w:u w:val="none" w:color="auto"/>
        </w:rPr>
        <w:t>和</w:t>
      </w:r>
      <w:r>
        <w:rPr>
          <w:rFonts w:hint="eastAsia" w:ascii="Times New Roman" w:hAnsi="Times New Roman" w:eastAsia="宋体" w:cs="Times New Roman"/>
          <w:color w:val="auto"/>
          <w:sz w:val="24"/>
          <w:szCs w:val="24"/>
          <w:u w:val="none" w:color="auto"/>
        </w:rPr>
        <w:t>南侧</w:t>
      </w:r>
      <w:r>
        <w:rPr>
          <w:rFonts w:ascii="Times New Roman" w:hAnsi="Times New Roman" w:eastAsia="宋体" w:cs="Times New Roman"/>
          <w:color w:val="auto"/>
          <w:sz w:val="24"/>
          <w:szCs w:val="24"/>
          <w:u w:val="none" w:color="auto"/>
        </w:rPr>
        <w:t>各设1个测点，</w:t>
      </w:r>
      <w:r>
        <w:rPr>
          <w:rFonts w:ascii="Times New Roman" w:hAnsi="Times New Roman" w:eastAsia="宋体" w:cs="Times New Roman"/>
          <w:color w:val="auto"/>
          <w:kern w:val="0"/>
          <w:sz w:val="24"/>
          <w:szCs w:val="24"/>
          <w:u w:val="none" w:color="auto"/>
        </w:rPr>
        <w:t>由土壤现状监测结果可知，</w:t>
      </w:r>
      <w:r>
        <w:rPr>
          <w:rFonts w:hint="eastAsia" w:ascii="Times New Roman" w:hAnsi="Times New Roman" w:eastAsia="宋体" w:cs="Times New Roman"/>
          <w:color w:val="auto"/>
          <w:sz w:val="24"/>
          <w:szCs w:val="24"/>
          <w:u w:val="none" w:color="auto"/>
        </w:rPr>
        <w:t>各</w:t>
      </w:r>
      <w:r>
        <w:rPr>
          <w:rFonts w:ascii="Times New Roman" w:hAnsi="Times New Roman" w:eastAsia="宋体" w:cs="Times New Roman"/>
          <w:color w:val="auto"/>
          <w:sz w:val="24"/>
          <w:szCs w:val="24"/>
          <w:u w:val="none" w:color="auto"/>
        </w:rPr>
        <w:t>监测点各监测因子均满足《土壤环境质量建设用地土壤污染风险管控标准》（GB36600-2018）第二类用地筛选值的要求</w:t>
      </w:r>
      <w:r>
        <w:rPr>
          <w:rFonts w:ascii="Times New Roman" w:hAnsi="Times New Roman" w:eastAsia="宋体" w:cs="Times New Roman"/>
          <w:color w:val="auto"/>
          <w:kern w:val="0"/>
          <w:sz w:val="24"/>
          <w:szCs w:val="24"/>
          <w:u w:val="none" w:color="auto"/>
        </w:rPr>
        <w:t>。</w:t>
      </w:r>
    </w:p>
    <w:p w14:paraId="09935B1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5地下水</w:t>
      </w:r>
      <w:r>
        <w:rPr>
          <w:rFonts w:ascii="Times New Roman" w:hAnsi="Times New Roman" w:eastAsia="宋体" w:cs="Times New Roman"/>
          <w:b/>
          <w:color w:val="auto"/>
          <w:kern w:val="0"/>
          <w:sz w:val="28"/>
          <w:szCs w:val="20"/>
          <w:u w:val="none" w:color="auto"/>
        </w:rPr>
        <w:t>环境现状</w:t>
      </w:r>
    </w:p>
    <w:p w14:paraId="469D69FE">
      <w:pPr>
        <w:autoSpaceDE w:val="0"/>
        <w:autoSpaceDN w:val="0"/>
        <w:spacing w:line="360" w:lineRule="auto"/>
        <w:ind w:firstLine="480" w:firstLineChars="200"/>
        <w:jc w:val="left"/>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项目区域地下水除Na</w:t>
      </w:r>
      <w:r>
        <w:rPr>
          <w:rFonts w:hint="eastAsia" w:ascii="Times New Roman" w:hAnsi="Times New Roman" w:eastAsia="宋体" w:cs="Times New Roman"/>
          <w:color w:val="auto"/>
          <w:sz w:val="24"/>
          <w:szCs w:val="24"/>
          <w:u w:val="none" w:color="auto"/>
          <w:vertAlign w:val="superscript"/>
        </w:rPr>
        <w:t>+</w:t>
      </w:r>
      <w:r>
        <w:rPr>
          <w:rFonts w:hint="eastAsia" w:ascii="Times New Roman" w:hAnsi="Times New Roman" w:eastAsia="宋体" w:cs="Times New Roman"/>
          <w:color w:val="auto"/>
          <w:sz w:val="24"/>
          <w:szCs w:val="24"/>
          <w:u w:val="none" w:color="auto"/>
        </w:rPr>
        <w:t>（最大超标3.64倍）、硫酸盐（最大超标1.344倍）、氯化物（最大超标5.856倍）、总硬度（最大超标3.787倍）、溶解性总固体（最大超标3.82倍）超标外，其余各监测因子均满足《地下水质量标准》（GB/T14848-2017）III类标准限值要求。超标原因为项目所在区域属填海区，受海水盐度影响，Na</w:t>
      </w:r>
      <w:r>
        <w:rPr>
          <w:rFonts w:hint="eastAsia" w:ascii="Times New Roman" w:hAnsi="Times New Roman" w:eastAsia="宋体" w:cs="Times New Roman"/>
          <w:color w:val="auto"/>
          <w:sz w:val="24"/>
          <w:szCs w:val="24"/>
          <w:u w:val="none" w:color="auto"/>
          <w:vertAlign w:val="superscript"/>
        </w:rPr>
        <w:t>+</w:t>
      </w:r>
      <w:r>
        <w:rPr>
          <w:rFonts w:hint="eastAsia" w:ascii="Times New Roman" w:hAnsi="Times New Roman" w:eastAsia="宋体" w:cs="Times New Roman"/>
          <w:color w:val="auto"/>
          <w:sz w:val="24"/>
          <w:szCs w:val="24"/>
          <w:u w:val="none" w:color="auto"/>
        </w:rPr>
        <w:t>、Cl</w:t>
      </w:r>
      <w:r>
        <w:rPr>
          <w:rFonts w:hint="eastAsia" w:ascii="Times New Roman" w:hAnsi="Times New Roman" w:eastAsia="宋体" w:cs="Times New Roman"/>
          <w:color w:val="auto"/>
          <w:sz w:val="24"/>
          <w:szCs w:val="24"/>
          <w:u w:val="none" w:color="auto"/>
          <w:vertAlign w:val="superscript"/>
        </w:rPr>
        <w:t>-</w:t>
      </w:r>
      <w:r>
        <w:rPr>
          <w:rFonts w:hint="eastAsia" w:ascii="Times New Roman" w:hAnsi="Times New Roman" w:eastAsia="宋体" w:cs="Times New Roman"/>
          <w:color w:val="auto"/>
          <w:sz w:val="24"/>
          <w:szCs w:val="24"/>
          <w:u w:val="none" w:color="auto"/>
        </w:rPr>
        <w:t>、SO</w:t>
      </w:r>
      <w:r>
        <w:rPr>
          <w:rFonts w:hint="eastAsia" w:ascii="Times New Roman" w:hAnsi="Times New Roman" w:eastAsia="宋体" w:cs="Times New Roman"/>
          <w:color w:val="auto"/>
          <w:sz w:val="24"/>
          <w:szCs w:val="24"/>
          <w:u w:val="none" w:color="auto"/>
          <w:vertAlign w:val="subscript"/>
        </w:rPr>
        <w:t>4</w:t>
      </w:r>
      <w:r>
        <w:rPr>
          <w:rFonts w:hint="eastAsia" w:ascii="Times New Roman" w:hAnsi="Times New Roman" w:eastAsia="宋体" w:cs="Times New Roman"/>
          <w:color w:val="auto"/>
          <w:sz w:val="24"/>
          <w:szCs w:val="24"/>
          <w:u w:val="none" w:color="auto"/>
          <w:vertAlign w:val="superscript"/>
        </w:rPr>
        <w:t>2-</w:t>
      </w:r>
      <w:r>
        <w:rPr>
          <w:rFonts w:hint="eastAsia" w:ascii="Times New Roman" w:hAnsi="Times New Roman" w:eastAsia="宋体" w:cs="Times New Roman"/>
          <w:color w:val="auto"/>
          <w:sz w:val="24"/>
          <w:szCs w:val="24"/>
          <w:u w:val="none" w:color="auto"/>
        </w:rPr>
        <w:t>、总硬度、溶解性总固体出现不同程度超标。</w:t>
      </w:r>
    </w:p>
    <w:p w14:paraId="061287F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3</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6生态</w:t>
      </w:r>
      <w:r>
        <w:rPr>
          <w:rFonts w:ascii="Times New Roman" w:hAnsi="Times New Roman" w:eastAsia="宋体" w:cs="Times New Roman"/>
          <w:b/>
          <w:color w:val="auto"/>
          <w:kern w:val="0"/>
          <w:sz w:val="28"/>
          <w:szCs w:val="20"/>
          <w:u w:val="none" w:color="auto"/>
        </w:rPr>
        <w:t>环境现状</w:t>
      </w:r>
    </w:p>
    <w:p w14:paraId="1AB33087">
      <w:pPr>
        <w:autoSpaceDE w:val="0"/>
        <w:autoSpaceDN w:val="0"/>
        <w:spacing w:line="360" w:lineRule="auto"/>
        <w:ind w:firstLine="480" w:firstLineChars="200"/>
        <w:jc w:val="left"/>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所在地区域全部为填海区，评价范围内没有国家保护的野生动物，周边植被主要以人工林和灌木草丛为主，物种多样性差，资源数量不多，质量不高，生态环境质量一般。经现场调查，项目东北面约730m处的淡水湾村沿海滩涂分布有零散的红树林。</w:t>
      </w:r>
    </w:p>
    <w:p w14:paraId="194EA03C">
      <w:pPr>
        <w:autoSpaceDE w:val="0"/>
        <w:autoSpaceDN w:val="0"/>
        <w:spacing w:line="360" w:lineRule="auto"/>
        <w:jc w:val="left"/>
        <w:outlineLvl w:val="1"/>
        <w:rPr>
          <w:rFonts w:ascii="Times New Roman" w:hAnsi="Times New Roman" w:eastAsia="宋体" w:cs="Times New Roman"/>
          <w:b/>
          <w:color w:val="auto"/>
          <w:sz w:val="32"/>
          <w:szCs w:val="32"/>
          <w:u w:val="none" w:color="auto"/>
        </w:rPr>
      </w:pPr>
      <w:bookmarkStart w:id="330" w:name="_Toc27935"/>
      <w:r>
        <w:rPr>
          <w:rFonts w:ascii="Times New Roman" w:hAnsi="Times New Roman" w:cs="Times New Roman"/>
          <w:color w:val="auto"/>
          <w:u w:val="none" w:color="auto"/>
        </w:rPr>
        <w:fldChar w:fldCharType="begin"/>
      </w:r>
      <w:r>
        <w:rPr>
          <w:rFonts w:ascii="Times New Roman" w:hAnsi="Times New Roman" w:cs="Times New Roman"/>
          <w:color w:val="auto"/>
          <w:u w:val="none" w:color="auto"/>
        </w:rPr>
        <w:instrText xml:space="preserve"> HYPERLINK \l "_Toc499543869" </w:instrText>
      </w:r>
      <w:r>
        <w:rPr>
          <w:rFonts w:ascii="Times New Roman" w:hAnsi="Times New Roman" w:cs="Times New Roman"/>
          <w:color w:val="auto"/>
          <w:u w:val="none" w:color="auto"/>
        </w:rPr>
        <w:fldChar w:fldCharType="separate"/>
      </w:r>
      <w:bookmarkStart w:id="331" w:name="_Toc3728322"/>
      <w:bookmarkStart w:id="332" w:name="_Toc530130510"/>
      <w:r>
        <w:rPr>
          <w:rFonts w:hint="eastAsia" w:ascii="Times New Roman" w:hAnsi="Times New Roman" w:eastAsia="宋体" w:cs="Times New Roman"/>
          <w:b/>
          <w:color w:val="auto"/>
          <w:sz w:val="32"/>
          <w:szCs w:val="32"/>
          <w:u w:val="none" w:color="auto"/>
        </w:rPr>
        <w:t>8</w:t>
      </w:r>
      <w:r>
        <w:rPr>
          <w:rFonts w:ascii="Times New Roman" w:hAnsi="Times New Roman" w:eastAsia="宋体" w:cs="Times New Roman"/>
          <w:b/>
          <w:color w:val="auto"/>
          <w:sz w:val="32"/>
          <w:szCs w:val="32"/>
          <w:u w:val="none" w:color="auto"/>
        </w:rPr>
        <w:t>.</w:t>
      </w:r>
      <w:r>
        <w:rPr>
          <w:rFonts w:hint="eastAsia" w:ascii="Times New Roman" w:hAnsi="Times New Roman" w:eastAsia="宋体" w:cs="Times New Roman"/>
          <w:b/>
          <w:color w:val="auto"/>
          <w:sz w:val="32"/>
          <w:szCs w:val="32"/>
          <w:u w:val="none" w:color="auto"/>
          <w:lang w:val="en-US" w:eastAsia="zh-CN"/>
        </w:rPr>
        <w:t>4</w:t>
      </w:r>
      <w:r>
        <w:rPr>
          <w:rFonts w:ascii="Times New Roman" w:hAnsi="Times New Roman" w:eastAsia="宋体" w:cs="Times New Roman"/>
          <w:b/>
          <w:color w:val="auto"/>
          <w:sz w:val="32"/>
          <w:szCs w:val="32"/>
          <w:u w:val="none" w:color="auto"/>
        </w:rPr>
        <w:t>施工期环境影响评价结论</w:t>
      </w:r>
      <w:bookmarkEnd w:id="331"/>
      <w:bookmarkEnd w:id="332"/>
      <w:r>
        <w:rPr>
          <w:rFonts w:ascii="Times New Roman" w:hAnsi="Times New Roman" w:eastAsia="宋体" w:cs="Times New Roman"/>
          <w:b/>
          <w:color w:val="auto"/>
          <w:sz w:val="32"/>
          <w:szCs w:val="32"/>
          <w:u w:val="none" w:color="auto"/>
        </w:rPr>
        <w:fldChar w:fldCharType="end"/>
      </w:r>
      <w:bookmarkEnd w:id="330"/>
    </w:p>
    <w:p w14:paraId="5002CA3E">
      <w:pPr>
        <w:autoSpaceDE w:val="0"/>
        <w:autoSpaceDN w:val="0"/>
        <w:spacing w:line="360" w:lineRule="auto"/>
        <w:ind w:firstLine="496"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spacing w:val="4"/>
          <w:sz w:val="24"/>
          <w:szCs w:val="24"/>
          <w:u w:val="none" w:color="auto"/>
        </w:rPr>
        <w:t>项目施工期间，可能对周围环境产生的影响主要有施工噪声、扬尘、建筑固体废物及施工污水等。虽然项目施工过程中会产生一定的环境污染，但只要本项目的建设施工单位严格加强施工管理，进行科学施工，并按本报告提出的各项要求，对施工期间产生的环境污染进行控制，则项目在施工期间产生的环境污染是可以得到控制的，不会对周围环境产生明显的不良影响。</w:t>
      </w:r>
    </w:p>
    <w:p w14:paraId="0D9BEDE6">
      <w:pPr>
        <w:autoSpaceDE w:val="0"/>
        <w:autoSpaceDN w:val="0"/>
        <w:spacing w:line="360" w:lineRule="auto"/>
        <w:outlineLvl w:val="1"/>
        <w:rPr>
          <w:rFonts w:ascii="Times New Roman" w:hAnsi="Times New Roman" w:eastAsia="宋体" w:cs="Times New Roman"/>
          <w:b/>
          <w:color w:val="auto"/>
          <w:sz w:val="32"/>
          <w:szCs w:val="32"/>
          <w:u w:val="none" w:color="auto"/>
        </w:rPr>
      </w:pPr>
      <w:bookmarkStart w:id="333" w:name="_Toc3017"/>
      <w:bookmarkStart w:id="334" w:name="_Toc3728327"/>
      <w:bookmarkStart w:id="335" w:name="_Toc530130511"/>
      <w:r>
        <w:rPr>
          <w:rFonts w:hint="eastAsia" w:ascii="Times New Roman" w:hAnsi="Times New Roman" w:eastAsia="宋体" w:cs="Times New Roman"/>
          <w:b/>
          <w:color w:val="auto"/>
          <w:sz w:val="32"/>
          <w:szCs w:val="32"/>
          <w:u w:val="none" w:color="auto"/>
        </w:rPr>
        <w:t>8</w:t>
      </w:r>
      <w:r>
        <w:rPr>
          <w:rFonts w:ascii="Times New Roman" w:hAnsi="Times New Roman" w:eastAsia="宋体" w:cs="Times New Roman"/>
          <w:b/>
          <w:color w:val="auto"/>
          <w:sz w:val="32"/>
          <w:szCs w:val="32"/>
          <w:u w:val="none" w:color="auto"/>
        </w:rPr>
        <w:t>.</w:t>
      </w:r>
      <w:r>
        <w:rPr>
          <w:rFonts w:hint="eastAsia" w:ascii="Times New Roman" w:hAnsi="Times New Roman" w:eastAsia="宋体" w:cs="Times New Roman"/>
          <w:b/>
          <w:color w:val="auto"/>
          <w:sz w:val="32"/>
          <w:szCs w:val="32"/>
          <w:u w:val="none" w:color="auto"/>
          <w:lang w:val="en-US" w:eastAsia="zh-CN"/>
        </w:rPr>
        <w:t>5</w:t>
      </w:r>
      <w:r>
        <w:rPr>
          <w:rFonts w:ascii="Times New Roman" w:hAnsi="Times New Roman" w:eastAsia="宋体" w:cs="Times New Roman"/>
          <w:b/>
          <w:color w:val="auto"/>
          <w:sz w:val="32"/>
          <w:szCs w:val="32"/>
          <w:u w:val="none" w:color="auto"/>
        </w:rPr>
        <w:t>运行期环境影响评价结论</w:t>
      </w:r>
      <w:bookmarkEnd w:id="333"/>
      <w:bookmarkEnd w:id="334"/>
      <w:bookmarkEnd w:id="335"/>
    </w:p>
    <w:p w14:paraId="7882CB21">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color w:val="auto"/>
          <w:u w:val="none" w:color="auto"/>
        </w:rPr>
        <w:fldChar w:fldCharType="begin"/>
      </w:r>
      <w:r>
        <w:rPr>
          <w:color w:val="auto"/>
          <w:u w:val="none" w:color="auto"/>
        </w:rPr>
        <w:instrText xml:space="preserve"> HYPERLINK \l "_Toc499543835" </w:instrText>
      </w:r>
      <w:r>
        <w:rPr>
          <w:color w:val="auto"/>
          <w:u w:val="none" w:color="auto"/>
        </w:rPr>
        <w:fldChar w:fldCharType="separate"/>
      </w:r>
      <w:bookmarkStart w:id="336" w:name="_Toc3728328"/>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.1大气环境影响</w:t>
      </w:r>
      <w:r>
        <w:rPr>
          <w:rFonts w:ascii="Times New Roman" w:hAnsi="Times New Roman" w:eastAsia="宋体" w:cs="Times New Roman"/>
          <w:b/>
          <w:color w:val="auto"/>
          <w:kern w:val="0"/>
          <w:sz w:val="28"/>
          <w:szCs w:val="20"/>
          <w:u w:val="none" w:color="auto"/>
        </w:rPr>
        <w:fldChar w:fldCharType="end"/>
      </w:r>
      <w:r>
        <w:rPr>
          <w:rFonts w:ascii="Times New Roman" w:hAnsi="Times New Roman" w:eastAsia="宋体" w:cs="Times New Roman"/>
          <w:b/>
          <w:color w:val="auto"/>
          <w:kern w:val="0"/>
          <w:sz w:val="28"/>
          <w:szCs w:val="20"/>
          <w:u w:val="none" w:color="auto"/>
        </w:rPr>
        <w:t>分析</w:t>
      </w:r>
      <w:bookmarkEnd w:id="336"/>
    </w:p>
    <w:p w14:paraId="06767631">
      <w:pPr>
        <w:autoSpaceDE w:val="0"/>
        <w:autoSpaceDN w:val="0"/>
        <w:spacing w:line="360" w:lineRule="auto"/>
        <w:ind w:firstLine="482"/>
        <w:contextualSpacing/>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1、正常工况</w:t>
      </w:r>
    </w:p>
    <w:p w14:paraId="231B2E35">
      <w:pPr>
        <w:autoSpaceDE w:val="0"/>
        <w:autoSpaceDN w:val="0"/>
        <w:spacing w:line="360" w:lineRule="auto"/>
        <w:ind w:firstLine="482"/>
        <w:contextualSpacing/>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废气TSP、PM</w:t>
      </w:r>
      <w:r>
        <w:rPr>
          <w:rFonts w:ascii="Times New Roman" w:hAnsi="Times New Roman" w:eastAsia="宋体" w:cs="Times New Roman"/>
          <w:bCs/>
          <w:color w:val="auto"/>
          <w:kern w:val="0"/>
          <w:sz w:val="24"/>
          <w:szCs w:val="20"/>
          <w:u w:val="none" w:color="auto"/>
          <w:vertAlign w:val="subscript"/>
        </w:rPr>
        <w:t>10</w:t>
      </w:r>
      <w:r>
        <w:rPr>
          <w:rFonts w:ascii="Times New Roman" w:hAnsi="Times New Roman" w:eastAsia="宋体" w:cs="Times New Roman"/>
          <w:bCs/>
          <w:color w:val="auto"/>
          <w:kern w:val="0"/>
          <w:sz w:val="24"/>
          <w:szCs w:val="20"/>
          <w:u w:val="none" w:color="auto"/>
        </w:rPr>
        <w:t>、非甲烷总烃、甲苯</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二甲苯在各环境保护目标及网格点处的短期浓度贡献值占标率均小于100%；废气TSP、PM</w:t>
      </w:r>
      <w:r>
        <w:rPr>
          <w:rFonts w:ascii="Times New Roman" w:hAnsi="Times New Roman" w:eastAsia="宋体" w:cs="Times New Roman"/>
          <w:bCs/>
          <w:color w:val="auto"/>
          <w:kern w:val="0"/>
          <w:sz w:val="24"/>
          <w:szCs w:val="20"/>
          <w:u w:val="none" w:color="auto"/>
          <w:vertAlign w:val="subscript"/>
        </w:rPr>
        <w:t>10</w:t>
      </w:r>
      <w:r>
        <w:rPr>
          <w:rFonts w:ascii="Times New Roman" w:hAnsi="Times New Roman" w:eastAsia="宋体" w:cs="Times New Roman"/>
          <w:bCs/>
          <w:color w:val="auto"/>
          <w:kern w:val="0"/>
          <w:sz w:val="24"/>
          <w:szCs w:val="20"/>
          <w:u w:val="none" w:color="auto"/>
        </w:rPr>
        <w:t>在各环境保护目标及网格点处的长期浓度贡献值占标率均小于</w:t>
      </w:r>
      <w:r>
        <w:rPr>
          <w:rFonts w:hint="eastAsia" w:ascii="Times New Roman" w:hAnsi="Times New Roman" w:eastAsia="宋体" w:cs="Times New Roman"/>
          <w:bCs/>
          <w:color w:val="auto"/>
          <w:kern w:val="0"/>
          <w:sz w:val="24"/>
          <w:szCs w:val="20"/>
          <w:u w:val="none" w:color="auto"/>
        </w:rPr>
        <w:t>10</w:t>
      </w:r>
      <w:r>
        <w:rPr>
          <w:rFonts w:ascii="Times New Roman" w:hAnsi="Times New Roman" w:eastAsia="宋体" w:cs="Times New Roman"/>
          <w:bCs/>
          <w:color w:val="auto"/>
          <w:kern w:val="0"/>
          <w:sz w:val="24"/>
          <w:szCs w:val="20"/>
          <w:u w:val="none" w:color="auto"/>
        </w:rPr>
        <w:t>0%；废气TSP、PM</w:t>
      </w:r>
      <w:r>
        <w:rPr>
          <w:rFonts w:ascii="Times New Roman" w:hAnsi="Times New Roman" w:eastAsia="宋体" w:cs="Times New Roman"/>
          <w:bCs/>
          <w:color w:val="auto"/>
          <w:kern w:val="0"/>
          <w:sz w:val="24"/>
          <w:szCs w:val="20"/>
          <w:u w:val="none" w:color="auto"/>
          <w:vertAlign w:val="subscript"/>
        </w:rPr>
        <w:t>10</w:t>
      </w:r>
      <w:r>
        <w:rPr>
          <w:rFonts w:ascii="Times New Roman" w:hAnsi="Times New Roman" w:eastAsia="宋体" w:cs="Times New Roman"/>
          <w:bCs/>
          <w:color w:val="auto"/>
          <w:kern w:val="0"/>
          <w:sz w:val="24"/>
          <w:szCs w:val="20"/>
          <w:u w:val="none" w:color="auto"/>
        </w:rPr>
        <w:t>、非甲烷总烃、甲苯</w:t>
      </w:r>
      <w:r>
        <w:rPr>
          <w:rFonts w:hint="eastAsia" w:ascii="Times New Roman" w:hAnsi="Times New Roman" w:eastAsia="宋体" w:cs="Times New Roman"/>
          <w:bCs/>
          <w:color w:val="auto"/>
          <w:kern w:val="0"/>
          <w:sz w:val="24"/>
          <w:szCs w:val="20"/>
          <w:u w:val="none" w:color="auto"/>
        </w:rPr>
        <w:t>、</w:t>
      </w:r>
      <w:r>
        <w:rPr>
          <w:rFonts w:ascii="Times New Roman" w:hAnsi="Times New Roman" w:eastAsia="宋体" w:cs="Times New Roman"/>
          <w:bCs/>
          <w:color w:val="auto"/>
          <w:kern w:val="0"/>
          <w:sz w:val="24"/>
          <w:szCs w:val="20"/>
          <w:u w:val="none" w:color="auto"/>
        </w:rPr>
        <w:t>二甲苯叠加背景值后，相应的短期浓度或长期浓度均符合环境质量标准。</w:t>
      </w:r>
    </w:p>
    <w:p w14:paraId="3DD1672D">
      <w:pPr>
        <w:autoSpaceDE w:val="0"/>
        <w:autoSpaceDN w:val="0"/>
        <w:spacing w:line="360" w:lineRule="auto"/>
        <w:ind w:firstLine="482"/>
        <w:contextualSpacing/>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综上，可以认为本项目运营废气正常排放时，对环境影响可以接受。</w:t>
      </w:r>
    </w:p>
    <w:p w14:paraId="742D035F">
      <w:pPr>
        <w:autoSpaceDE w:val="0"/>
        <w:autoSpaceDN w:val="0"/>
        <w:spacing w:line="360" w:lineRule="auto"/>
        <w:ind w:firstLine="482"/>
        <w:contextualSpacing/>
        <w:rPr>
          <w:rFonts w:ascii="Times New Roman" w:hAnsi="Times New Roman" w:eastAsia="宋体" w:cs="Times New Roman"/>
          <w:bCs/>
          <w:color w:val="auto"/>
          <w:kern w:val="0"/>
          <w:sz w:val="24"/>
          <w:szCs w:val="20"/>
          <w:u w:val="none" w:color="auto"/>
        </w:rPr>
      </w:pPr>
      <w:r>
        <w:rPr>
          <w:rFonts w:ascii="Times New Roman" w:hAnsi="Times New Roman" w:eastAsia="宋体" w:cs="Times New Roman"/>
          <w:bCs/>
          <w:color w:val="auto"/>
          <w:kern w:val="0"/>
          <w:sz w:val="24"/>
          <w:szCs w:val="20"/>
          <w:u w:val="none" w:color="auto"/>
        </w:rPr>
        <w:t>2、非正常排放</w:t>
      </w:r>
    </w:p>
    <w:p w14:paraId="552033AF">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eastAsia="宋体" w:cs="Times New Roman"/>
          <w:color w:val="auto"/>
          <w:kern w:val="0"/>
          <w:sz w:val="24"/>
          <w:szCs w:val="24"/>
          <w:highlight w:val="none"/>
          <w:u w:val="single"/>
          <w:lang w:val="en-US"/>
        </w:rPr>
      </w:pPr>
      <w:r>
        <w:rPr>
          <w:rFonts w:ascii="Times New Roman" w:hAnsi="Times New Roman" w:eastAsia="宋体" w:cs="Times New Roman"/>
          <w:bCs/>
          <w:color w:val="auto"/>
          <w:kern w:val="0"/>
          <w:sz w:val="24"/>
          <w:szCs w:val="20"/>
          <w:u w:val="single" w:color="auto"/>
        </w:rPr>
        <w:t>非正常工况时，PM</w:t>
      </w:r>
      <w:r>
        <w:rPr>
          <w:rFonts w:ascii="Times New Roman" w:hAnsi="Times New Roman" w:eastAsia="宋体" w:cs="Times New Roman"/>
          <w:bCs/>
          <w:color w:val="auto"/>
          <w:kern w:val="0"/>
          <w:sz w:val="24"/>
          <w:szCs w:val="20"/>
          <w:u w:val="single" w:color="auto"/>
          <w:vertAlign w:val="subscript"/>
        </w:rPr>
        <w:t>10</w:t>
      </w:r>
      <w:r>
        <w:rPr>
          <w:rFonts w:ascii="Times New Roman" w:hAnsi="Times New Roman" w:eastAsia="宋体" w:cs="Times New Roman"/>
          <w:bCs/>
          <w:color w:val="auto"/>
          <w:kern w:val="0"/>
          <w:sz w:val="24"/>
          <w:szCs w:val="20"/>
          <w:u w:val="single" w:color="auto"/>
        </w:rPr>
        <w:t>、非甲烷总烃</w:t>
      </w:r>
      <w:r>
        <w:rPr>
          <w:rFonts w:hint="eastAsia" w:ascii="Times New Roman" w:hAnsi="Times New Roman" w:eastAsia="宋体" w:cs="Times New Roman"/>
          <w:bCs/>
          <w:color w:val="auto"/>
          <w:kern w:val="0"/>
          <w:sz w:val="24"/>
          <w:szCs w:val="20"/>
          <w:u w:val="single" w:color="auto"/>
          <w:lang w:eastAsia="zh-CN"/>
        </w:rPr>
        <w:t>、</w:t>
      </w:r>
      <w:r>
        <w:rPr>
          <w:rFonts w:hint="eastAsia" w:ascii="Times New Roman" w:hAnsi="Times New Roman" w:eastAsia="宋体" w:cs="Times New Roman"/>
          <w:bCs/>
          <w:color w:val="auto"/>
          <w:kern w:val="0"/>
          <w:sz w:val="24"/>
          <w:szCs w:val="20"/>
          <w:u w:val="single" w:color="auto"/>
          <w:lang w:val="en-US" w:eastAsia="zh-CN"/>
        </w:rPr>
        <w:t>甲苯</w:t>
      </w:r>
      <w:r>
        <w:rPr>
          <w:rFonts w:ascii="Times New Roman" w:hAnsi="Times New Roman" w:eastAsia="宋体" w:cs="Times New Roman"/>
          <w:bCs/>
          <w:color w:val="auto"/>
          <w:kern w:val="0"/>
          <w:sz w:val="24"/>
          <w:szCs w:val="20"/>
          <w:u w:val="single" w:color="auto"/>
        </w:rPr>
        <w:t>和二甲苯在各敏感点均出现不同程度增加，</w:t>
      </w:r>
      <w:r>
        <w:rPr>
          <w:rFonts w:hint="eastAsia" w:ascii="Times New Roman" w:hAnsi="Times New Roman" w:eastAsia="宋体" w:cs="Times New Roman"/>
          <w:color w:val="auto"/>
          <w:kern w:val="0"/>
          <w:sz w:val="24"/>
          <w:szCs w:val="24"/>
          <w:u w:val="single" w:color="auto"/>
        </w:rPr>
        <w:t>PM</w:t>
      </w:r>
      <w:r>
        <w:rPr>
          <w:rFonts w:hint="eastAsia" w:ascii="Times New Roman" w:hAnsi="Times New Roman" w:eastAsia="宋体" w:cs="Times New Roman"/>
          <w:color w:val="auto"/>
          <w:kern w:val="0"/>
          <w:sz w:val="24"/>
          <w:szCs w:val="24"/>
          <w:u w:val="single" w:color="auto"/>
          <w:vertAlign w:val="subscript"/>
        </w:rPr>
        <w:t>10</w:t>
      </w:r>
      <w:r>
        <w:rPr>
          <w:rFonts w:hint="eastAsia" w:ascii="Times New Roman" w:hAnsi="Times New Roman" w:eastAsia="宋体" w:cs="Times New Roman"/>
          <w:color w:val="auto"/>
          <w:kern w:val="0"/>
          <w:sz w:val="24"/>
          <w:szCs w:val="24"/>
          <w:u w:val="single" w:color="auto"/>
        </w:rPr>
        <w:t>、</w:t>
      </w:r>
      <w:r>
        <w:rPr>
          <w:rFonts w:ascii="Times New Roman" w:hAnsi="Times New Roman" w:eastAsia="宋体" w:cs="Times New Roman"/>
          <w:bCs/>
          <w:color w:val="auto"/>
          <w:kern w:val="0"/>
          <w:sz w:val="24"/>
          <w:szCs w:val="20"/>
          <w:u w:val="single" w:color="auto"/>
        </w:rPr>
        <w:t>非甲烷总烃</w:t>
      </w:r>
      <w:r>
        <w:rPr>
          <w:rFonts w:hint="eastAsia" w:ascii="Times New Roman" w:hAnsi="Times New Roman" w:eastAsia="宋体" w:cs="Times New Roman"/>
          <w:bCs/>
          <w:color w:val="auto"/>
          <w:kern w:val="0"/>
          <w:sz w:val="24"/>
          <w:szCs w:val="20"/>
          <w:u w:val="single" w:color="auto"/>
          <w:lang w:eastAsia="zh-CN"/>
        </w:rPr>
        <w:t>、</w:t>
      </w:r>
      <w:r>
        <w:rPr>
          <w:rFonts w:hint="eastAsia" w:ascii="Times New Roman" w:hAnsi="Times New Roman" w:eastAsia="宋体" w:cs="Times New Roman"/>
          <w:color w:val="auto"/>
          <w:kern w:val="0"/>
          <w:sz w:val="24"/>
          <w:szCs w:val="24"/>
          <w:u w:val="single" w:color="auto"/>
          <w:lang w:val="en-US" w:eastAsia="zh-CN"/>
        </w:rPr>
        <w:t>二甲苯</w:t>
      </w:r>
      <w:r>
        <w:rPr>
          <w:rFonts w:ascii="Times New Roman" w:hAnsi="Times New Roman" w:eastAsia="宋体" w:cs="Times New Roman"/>
          <w:bCs/>
          <w:color w:val="auto"/>
          <w:kern w:val="0"/>
          <w:sz w:val="24"/>
          <w:szCs w:val="20"/>
          <w:u w:val="single" w:color="auto"/>
        </w:rPr>
        <w:t>评价范围内均出现超标的情况。为了减小废气对周边环境的影响，项目</w:t>
      </w:r>
      <w:r>
        <w:rPr>
          <w:rFonts w:hint="default" w:ascii="Times New Roman" w:hAnsi="Times New Roman" w:eastAsia="宋体" w:cs="Times New Roman"/>
          <w:color w:val="auto"/>
          <w:kern w:val="0"/>
          <w:sz w:val="24"/>
          <w:szCs w:val="24"/>
          <w:highlight w:val="none"/>
          <w:u w:val="single"/>
        </w:rPr>
        <w:t>制定严格的</w:t>
      </w:r>
      <w:r>
        <w:rPr>
          <w:rFonts w:hint="eastAsia" w:ascii="Times New Roman" w:hAnsi="Times New Roman" w:eastAsia="宋体" w:cs="Times New Roman"/>
          <w:color w:val="auto"/>
          <w:kern w:val="0"/>
          <w:sz w:val="24"/>
          <w:szCs w:val="24"/>
          <w:highlight w:val="none"/>
          <w:u w:val="single"/>
          <w:lang w:val="en-US" w:eastAsia="zh-CN"/>
        </w:rPr>
        <w:t>生产</w:t>
      </w:r>
      <w:r>
        <w:rPr>
          <w:rFonts w:hint="default" w:ascii="Times New Roman" w:hAnsi="Times New Roman" w:eastAsia="宋体" w:cs="Times New Roman"/>
          <w:color w:val="auto"/>
          <w:kern w:val="0"/>
          <w:sz w:val="24"/>
          <w:szCs w:val="24"/>
          <w:highlight w:val="none"/>
          <w:u w:val="single"/>
        </w:rPr>
        <w:t>工艺操作规程，加强监督和管理，提高职工安全意识和环保意识。对</w:t>
      </w:r>
      <w:r>
        <w:rPr>
          <w:rFonts w:hint="default" w:ascii="Times New Roman" w:hAnsi="Times New Roman" w:eastAsia="宋体" w:cs="Times New Roman"/>
          <w:color w:val="auto"/>
          <w:kern w:val="0"/>
          <w:sz w:val="24"/>
          <w:szCs w:val="24"/>
          <w:highlight w:val="none"/>
          <w:u w:val="single"/>
          <w:lang w:val="en-US" w:eastAsia="zh-CN"/>
        </w:rPr>
        <w:t>设备、</w:t>
      </w:r>
      <w:r>
        <w:rPr>
          <w:rFonts w:hint="default" w:ascii="Times New Roman" w:hAnsi="Times New Roman" w:eastAsia="宋体" w:cs="Times New Roman"/>
          <w:color w:val="auto"/>
          <w:kern w:val="0"/>
          <w:sz w:val="24"/>
          <w:szCs w:val="24"/>
          <w:highlight w:val="none"/>
          <w:u w:val="single"/>
        </w:rPr>
        <w:t>管道、阀门、接口处都要定期检查，在生产过程中需要作业人员严格按照操作规程进行作业，加强各类控制仪表和报警系统的维护。</w:t>
      </w:r>
      <w:r>
        <w:rPr>
          <w:rFonts w:hint="default" w:ascii="Times New Roman" w:hAnsi="Times New Roman" w:eastAsia="宋体" w:cs="Times New Roman"/>
          <w:color w:val="auto"/>
          <w:sz w:val="24"/>
          <w:szCs w:val="24"/>
          <w:u w:val="single"/>
          <w:lang w:val="en-US" w:eastAsia="zh-CN"/>
        </w:rPr>
        <w:t>废气处理系统须按相关标准要求设计、施工和管理，同时，需对各废气处理系统进行定期与不定期检查，及时维修或更换不良部件，上岗操作人员进行岗前培训，使其具备操作资格及应急处理能力。</w:t>
      </w:r>
      <w:r>
        <w:rPr>
          <w:rFonts w:hint="eastAsia" w:ascii="Times New Roman" w:hAnsi="Times New Roman" w:eastAsia="宋体" w:cs="Times New Roman"/>
          <w:color w:val="auto"/>
          <w:sz w:val="24"/>
          <w:szCs w:val="24"/>
          <w:u w:val="single"/>
          <w:lang w:val="en-US" w:eastAsia="zh-CN"/>
        </w:rPr>
        <w:t>一旦废气处理设施发生故障，对应生产工序立即停工，待废气处理设施恢复正常，方可开工。</w:t>
      </w:r>
    </w:p>
    <w:p w14:paraId="0AA9DDEB">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37" w:name="_Toc3728329"/>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.2地表水环境影响分析</w:t>
      </w:r>
      <w:bookmarkEnd w:id="337"/>
    </w:p>
    <w:p w14:paraId="4F6EF61F">
      <w:pPr>
        <w:autoSpaceDE w:val="0"/>
        <w:autoSpaceDN w:val="0"/>
        <w:spacing w:line="360" w:lineRule="auto"/>
        <w:ind w:firstLine="480" w:firstLineChars="200"/>
        <w:jc w:val="left"/>
        <w:rPr>
          <w:rFonts w:ascii="Times New Roman" w:hAnsi="Times New Roman" w:eastAsia="宋体" w:cs="Times New Roman"/>
          <w:color w:val="auto"/>
          <w:kern w:val="0"/>
          <w:sz w:val="20"/>
          <w:szCs w:val="20"/>
          <w:u w:val="none" w:color="auto"/>
        </w:rPr>
      </w:pPr>
      <w:r>
        <w:rPr>
          <w:rFonts w:ascii="Times New Roman" w:hAnsi="Times New Roman" w:eastAsia="宋体" w:cs="Times New Roman"/>
          <w:color w:val="auto"/>
          <w:kern w:val="0"/>
          <w:sz w:val="24"/>
          <w:szCs w:val="24"/>
          <w:u w:val="none" w:color="auto"/>
        </w:rPr>
        <w:t>项目</w:t>
      </w:r>
      <w:r>
        <w:rPr>
          <w:rFonts w:hint="eastAsia" w:ascii="Times New Roman" w:hAnsi="Times New Roman" w:eastAsia="宋体" w:cs="Times New Roman"/>
          <w:color w:val="auto"/>
          <w:kern w:val="0"/>
          <w:sz w:val="24"/>
          <w:szCs w:val="24"/>
          <w:u w:val="none" w:color="auto"/>
        </w:rPr>
        <w:t>生产过程中无生产废水产生，排放废水主要是生活污水，</w:t>
      </w:r>
      <w:r>
        <w:rPr>
          <w:rFonts w:ascii="Times New Roman" w:hAnsi="Times New Roman" w:eastAsia="宋体" w:cs="Times New Roman"/>
          <w:color w:val="auto"/>
          <w:sz w:val="24"/>
          <w:szCs w:val="24"/>
          <w:u w:val="none" w:color="auto"/>
        </w:rPr>
        <w:t>生活污水经三级化粪池预处理达到</w:t>
      </w:r>
      <w:r>
        <w:rPr>
          <w:rFonts w:hint="eastAsia" w:ascii="Times New Roman" w:hAnsi="Times New Roman" w:eastAsia="宋体" w:cs="Times New Roman"/>
          <w:color w:val="auto"/>
          <w:sz w:val="24"/>
          <w:szCs w:val="24"/>
          <w:u w:val="none" w:color="auto"/>
          <w:lang w:eastAsia="zh-CN"/>
        </w:rPr>
        <w:t>大榄坪污水处理厂接管标准</w:t>
      </w:r>
      <w:r>
        <w:rPr>
          <w:rFonts w:ascii="Times New Roman" w:hAnsi="Times New Roman" w:eastAsia="宋体" w:cs="Times New Roman"/>
          <w:color w:val="auto"/>
          <w:sz w:val="24"/>
          <w:szCs w:val="24"/>
          <w:u w:val="none" w:color="auto"/>
        </w:rPr>
        <w:t>要求后，经市政管网排入大榄坪污水处理厂</w:t>
      </w:r>
      <w:r>
        <w:rPr>
          <w:rFonts w:hint="eastAsia" w:ascii="Times New Roman" w:hAnsi="Times New Roman" w:eastAsia="宋体" w:cs="Times New Roman"/>
          <w:color w:val="auto"/>
          <w:sz w:val="24"/>
          <w:szCs w:val="24"/>
          <w:u w:val="none" w:color="auto"/>
        </w:rPr>
        <w:t>处理</w:t>
      </w:r>
      <w:r>
        <w:rPr>
          <w:rFonts w:ascii="Times New Roman" w:hAnsi="Times New Roman" w:eastAsia="宋体" w:cs="Times New Roman"/>
          <w:color w:val="auto"/>
          <w:kern w:val="0"/>
          <w:sz w:val="24"/>
          <w:szCs w:val="24"/>
          <w:u w:val="none" w:color="auto"/>
        </w:rPr>
        <w:t>，不直接排入地表水体，对区域地表水环境影响较小。</w:t>
      </w:r>
    </w:p>
    <w:p w14:paraId="11D550A9">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38" w:name="_Toc3728330"/>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.3声环境影响分析</w:t>
      </w:r>
      <w:bookmarkEnd w:id="338"/>
    </w:p>
    <w:p w14:paraId="66F98361">
      <w:pPr>
        <w:autoSpaceDE w:val="0"/>
        <w:autoSpaceDN w:val="0"/>
        <w:spacing w:line="360" w:lineRule="auto"/>
        <w:ind w:firstLine="480"/>
        <w:rPr>
          <w:rFonts w:ascii="Times New Roman" w:hAnsi="Times New Roman" w:eastAsia="宋体" w:cs="Times New Roman"/>
          <w:bCs/>
          <w:color w:val="auto"/>
          <w:kern w:val="0"/>
          <w:sz w:val="24"/>
          <w:szCs w:val="24"/>
          <w:u w:val="none" w:color="auto"/>
        </w:rPr>
      </w:pPr>
      <w:r>
        <w:rPr>
          <w:rFonts w:hint="eastAsia" w:ascii="Times New Roman" w:hAnsi="Times New Roman" w:eastAsia="宋体" w:cs="Times New Roman"/>
          <w:bCs/>
          <w:color w:val="auto"/>
          <w:kern w:val="0"/>
          <w:sz w:val="24"/>
          <w:szCs w:val="24"/>
          <w:u w:val="none" w:color="auto"/>
        </w:rPr>
        <w:t>采取相应的噪声防治措施后，正常生产情况均达到《工业企业厂界环境噪声排放标准》（GB12348-2008）中 3 类区排放限值的要求，对外环境声环境影响不大。</w:t>
      </w:r>
    </w:p>
    <w:p w14:paraId="6EA970C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39" w:name="_Toc3728331"/>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.4固废环境影响分析</w:t>
      </w:r>
      <w:bookmarkEnd w:id="339"/>
    </w:p>
    <w:p w14:paraId="2FD27623">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sz w:val="24"/>
          <w:u w:val="none" w:color="auto"/>
        </w:rPr>
        <w:t>项目产生的生活垃圾由环卫部门统一收集处理；</w:t>
      </w:r>
      <w:r>
        <w:rPr>
          <w:rFonts w:hint="eastAsia" w:ascii="Times New Roman" w:hAnsi="Times New Roman" w:eastAsia="宋体" w:cs="Times New Roman"/>
          <w:color w:val="auto"/>
          <w:sz w:val="24"/>
          <w:u w:val="none" w:color="auto"/>
        </w:rPr>
        <w:t>项目产生的一般固体废物</w:t>
      </w:r>
      <w:r>
        <w:rPr>
          <w:rFonts w:ascii="Times New Roman" w:hAnsi="Times New Roman" w:eastAsia="宋体" w:cs="Times New Roman"/>
          <w:color w:val="auto"/>
          <w:sz w:val="24"/>
          <w:szCs w:val="24"/>
          <w:u w:val="none" w:color="auto"/>
        </w:rPr>
        <w:t>切割下脚料、净化器除尘灰、</w:t>
      </w:r>
      <w:r>
        <w:rPr>
          <w:rFonts w:hint="eastAsia" w:ascii="Times New Roman" w:hAnsi="Times New Roman" w:eastAsia="宋体" w:cs="Times New Roman"/>
          <w:color w:val="auto"/>
          <w:sz w:val="24"/>
          <w:szCs w:val="24"/>
          <w:u w:val="none" w:color="auto"/>
        </w:rPr>
        <w:t>滤筒除尘会、沉降粉尘、</w:t>
      </w:r>
      <w:r>
        <w:rPr>
          <w:rFonts w:ascii="Times New Roman" w:hAnsi="Times New Roman" w:eastAsia="宋体" w:cs="Times New Roman"/>
          <w:color w:val="auto"/>
          <w:sz w:val="24"/>
          <w:szCs w:val="24"/>
          <w:u w:val="none" w:color="auto"/>
        </w:rPr>
        <w:t>废焊条焊渣、废钢丸</w:t>
      </w:r>
      <w:r>
        <w:rPr>
          <w:rFonts w:hint="eastAsia" w:ascii="Times New Roman" w:hAnsi="Times New Roman" w:eastAsia="宋体" w:cs="Times New Roman"/>
          <w:color w:val="auto"/>
          <w:sz w:val="24"/>
          <w:szCs w:val="24"/>
          <w:u w:val="none" w:color="auto"/>
        </w:rPr>
        <w:t>就近收集</w:t>
      </w:r>
      <w:r>
        <w:rPr>
          <w:rFonts w:ascii="Times New Roman" w:hAnsi="Times New Roman" w:eastAsia="宋体" w:cs="Times New Roman"/>
          <w:color w:val="auto"/>
          <w:sz w:val="24"/>
          <w:szCs w:val="24"/>
          <w:u w:val="none" w:color="auto"/>
        </w:rPr>
        <w:t>在</w:t>
      </w:r>
      <w:r>
        <w:rPr>
          <w:rFonts w:hint="eastAsia" w:ascii="Times New Roman" w:hAnsi="Times New Roman" w:eastAsia="宋体" w:cs="Times New Roman"/>
          <w:color w:val="auto"/>
          <w:sz w:val="24"/>
          <w:szCs w:val="24"/>
          <w:u w:val="none" w:color="auto"/>
        </w:rPr>
        <w:t>车间一般固废暂存间</w:t>
      </w:r>
      <w:r>
        <w:rPr>
          <w:rFonts w:ascii="Times New Roman" w:hAnsi="Times New Roman" w:eastAsia="宋体" w:cs="Times New Roman"/>
          <w:color w:val="auto"/>
          <w:sz w:val="24"/>
          <w:szCs w:val="24"/>
          <w:u w:val="none" w:color="auto"/>
        </w:rPr>
        <w:t>，定期外售废品收购站；</w:t>
      </w:r>
      <w:r>
        <w:rPr>
          <w:rFonts w:hint="eastAsia" w:ascii="Times New Roman" w:hAnsi="Times New Roman" w:eastAsia="宋体" w:cs="Times New Roman"/>
          <w:color w:val="auto"/>
          <w:sz w:val="24"/>
          <w:szCs w:val="24"/>
          <w:u w:val="none" w:color="auto"/>
        </w:rPr>
        <w:t>项目产生的危险废物</w:t>
      </w:r>
      <w:r>
        <w:rPr>
          <w:rFonts w:ascii="Times New Roman" w:hAnsi="Times New Roman" w:eastAsia="宋体" w:cs="Times New Roman"/>
          <w:color w:val="auto"/>
          <w:sz w:val="24"/>
          <w:szCs w:val="24"/>
          <w:u w:val="none" w:color="auto"/>
        </w:rPr>
        <w:t>废过滤棉、废活性炭、</w:t>
      </w:r>
      <w:r>
        <w:rPr>
          <w:rFonts w:hint="eastAsia" w:ascii="Times New Roman" w:hAnsi="Times New Roman" w:eastAsia="宋体" w:cs="Times New Roman"/>
          <w:color w:val="auto"/>
          <w:sz w:val="24"/>
          <w:szCs w:val="24"/>
          <w:u w:val="none" w:color="auto"/>
        </w:rPr>
        <w:t>废催化剂、</w:t>
      </w:r>
      <w:r>
        <w:rPr>
          <w:rFonts w:ascii="Times New Roman" w:hAnsi="Times New Roman" w:eastAsia="宋体" w:cs="Times New Roman"/>
          <w:color w:val="auto"/>
          <w:sz w:val="24"/>
          <w:szCs w:val="24"/>
          <w:u w:val="none" w:color="auto"/>
        </w:rPr>
        <w:t>废油漆桶、</w:t>
      </w:r>
      <w:r>
        <w:rPr>
          <w:rFonts w:hint="eastAsia" w:ascii="Times New Roman" w:hAnsi="Times New Roman" w:eastAsia="宋体" w:cs="Times New Roman"/>
          <w:color w:val="auto"/>
          <w:sz w:val="24"/>
          <w:szCs w:val="24"/>
          <w:u w:val="none" w:color="auto"/>
        </w:rPr>
        <w:t>废固化剂桶、废稀释剂桶、废润滑油桶、</w:t>
      </w:r>
      <w:r>
        <w:rPr>
          <w:rFonts w:ascii="Times New Roman" w:hAnsi="Times New Roman" w:eastAsia="宋体" w:cs="Times New Roman"/>
          <w:color w:val="auto"/>
          <w:sz w:val="24"/>
          <w:szCs w:val="24"/>
          <w:u w:val="none" w:color="auto"/>
        </w:rPr>
        <w:t>废润滑油</w:t>
      </w:r>
      <w:r>
        <w:rPr>
          <w:rFonts w:hint="eastAsia" w:ascii="Times New Roman" w:hAnsi="Times New Roman" w:eastAsia="宋体" w:cs="Times New Roman"/>
          <w:color w:val="auto"/>
          <w:sz w:val="24"/>
          <w:szCs w:val="24"/>
          <w:u w:val="none" w:color="auto"/>
        </w:rPr>
        <w:t>、漆渣、</w:t>
      </w:r>
      <w:r>
        <w:rPr>
          <w:rFonts w:hint="eastAsia" w:ascii="Times New Roman" w:hAnsi="Times New Roman" w:eastAsia="宋体" w:cs="Times New Roman"/>
          <w:color w:val="auto"/>
          <w:sz w:val="24"/>
          <w:u w:val="none" w:color="auto"/>
        </w:rPr>
        <w:t>废含油抹布</w:t>
      </w:r>
      <w:r>
        <w:rPr>
          <w:rFonts w:hint="eastAsia" w:ascii="Times New Roman" w:hAnsi="Times New Roman" w:eastAsia="宋体" w:cs="Times New Roman"/>
          <w:color w:val="auto"/>
          <w:sz w:val="24"/>
          <w:szCs w:val="24"/>
          <w:u w:val="none" w:color="auto"/>
        </w:rPr>
        <w:t>经专用容器收集后，分区</w:t>
      </w:r>
      <w:r>
        <w:rPr>
          <w:rFonts w:ascii="Times New Roman" w:hAnsi="Times New Roman" w:eastAsia="宋体" w:cs="Times New Roman"/>
          <w:color w:val="auto"/>
          <w:sz w:val="24"/>
          <w:szCs w:val="24"/>
          <w:u w:val="none" w:color="auto"/>
        </w:rPr>
        <w:t>暂存</w:t>
      </w:r>
      <w:r>
        <w:rPr>
          <w:rFonts w:hint="eastAsia" w:ascii="Times New Roman" w:hAnsi="Times New Roman" w:eastAsia="宋体" w:cs="Times New Roman"/>
          <w:color w:val="auto"/>
          <w:sz w:val="24"/>
          <w:szCs w:val="24"/>
          <w:u w:val="none" w:color="auto"/>
        </w:rPr>
        <w:t>于</w:t>
      </w:r>
      <w:r>
        <w:rPr>
          <w:rFonts w:ascii="Times New Roman" w:hAnsi="Times New Roman" w:eastAsia="宋体" w:cs="Times New Roman"/>
          <w:color w:val="auto"/>
          <w:sz w:val="24"/>
          <w:szCs w:val="24"/>
          <w:u w:val="none" w:color="auto"/>
        </w:rPr>
        <w:t>危险废物暂存间，定期交给有</w:t>
      </w:r>
      <w:r>
        <w:rPr>
          <w:rFonts w:hint="eastAsia" w:ascii="Times New Roman" w:hAnsi="Times New Roman" w:eastAsia="宋体" w:cs="Times New Roman"/>
          <w:color w:val="auto"/>
          <w:sz w:val="24"/>
          <w:szCs w:val="24"/>
          <w:u w:val="none" w:color="auto"/>
        </w:rPr>
        <w:t>资质</w:t>
      </w:r>
      <w:r>
        <w:rPr>
          <w:rFonts w:ascii="Times New Roman" w:hAnsi="Times New Roman" w:eastAsia="宋体" w:cs="Times New Roman"/>
          <w:color w:val="auto"/>
          <w:sz w:val="24"/>
          <w:szCs w:val="24"/>
          <w:u w:val="none" w:color="auto"/>
        </w:rPr>
        <w:t>的单位处理</w:t>
      </w:r>
      <w:r>
        <w:rPr>
          <w:rFonts w:ascii="Times New Roman" w:hAnsi="Times New Roman" w:eastAsia="宋体" w:cs="Times New Roman"/>
          <w:color w:val="auto"/>
          <w:sz w:val="24"/>
          <w:u w:val="none" w:color="auto"/>
        </w:rPr>
        <w:t>。</w:t>
      </w:r>
      <w:r>
        <w:rPr>
          <w:rFonts w:ascii="Times New Roman" w:hAnsi="Times New Roman" w:eastAsia="宋体" w:cs="Times New Roman"/>
          <w:color w:val="auto"/>
          <w:kern w:val="0"/>
          <w:sz w:val="24"/>
          <w:szCs w:val="24"/>
          <w:u w:val="none" w:color="auto"/>
        </w:rPr>
        <w:t>项目产生的固体废物均得到妥善处理，不会对外环境产生影响。</w:t>
      </w:r>
    </w:p>
    <w:p w14:paraId="71560DB3">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40" w:name="_Toc3728332"/>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.5地下水环境影响分析</w:t>
      </w:r>
      <w:bookmarkEnd w:id="340"/>
    </w:p>
    <w:p w14:paraId="1AF1196D">
      <w:pPr>
        <w:autoSpaceDE w:val="0"/>
        <w:autoSpaceDN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项目正常生产运行状态没有地下水型污染物排放，不会对评价区地下水环境造成污染。事故状态下，污染物通过岩溶裂隙和管道渗流补给下游地下水，将造成下游地下水环境受到污染，受到污染的程度与事故泄漏的污染质浓度有直接关系，经预测主要污染源对项目区下游排泄区内地下水水质污染贡献值较小，但仍可能会影响下游排泄区内地下水体的水质。因此项目建设时需要严格采取相关防渗措施（如基础防渗、地面防渗等），防止下游地下水体遭受水质污染，保证下游地下水体的水质安全。</w:t>
      </w:r>
    </w:p>
    <w:p w14:paraId="3D78F60E">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5</w:t>
      </w:r>
      <w:r>
        <w:rPr>
          <w:rFonts w:ascii="Times New Roman" w:hAnsi="Times New Roman" w:eastAsia="宋体" w:cs="Times New Roman"/>
          <w:b/>
          <w:color w:val="auto"/>
          <w:kern w:val="0"/>
          <w:sz w:val="28"/>
          <w:szCs w:val="20"/>
          <w:u w:val="none" w:color="auto"/>
        </w:rPr>
        <w:t>.6土壤环境影响分析</w:t>
      </w:r>
    </w:p>
    <w:p w14:paraId="5D43E197">
      <w:pPr>
        <w:pStyle w:val="50"/>
        <w:adjustRightInd/>
        <w:ind w:firstLine="480" w:firstLineChars="200"/>
        <w:rPr>
          <w:rFonts w:ascii="Times New Roman" w:hAnsi="Times New Roman" w:cs="Times New Roman"/>
          <w:color w:val="auto"/>
          <w:u w:val="none" w:color="auto"/>
        </w:rPr>
      </w:pPr>
      <w:r>
        <w:rPr>
          <w:rFonts w:hint="eastAsia" w:ascii="Times New Roman" w:hAnsi="Times New Roman" w:cs="Times New Roman"/>
          <w:color w:val="auto"/>
          <w:u w:val="none" w:color="auto"/>
        </w:rPr>
        <w:t>通过上述分析可知，随着喷漆废气输入时间的延长，甲苯和二甲苯在土壤中的贡献量逐步增加，但增加量很小，对土壤影响不大。当油漆储存区发生油漆、固化剂、稀释剂泄漏时，泄漏的液体截留在事故应急池内，对土壤环境影响较小。项目实施后，</w:t>
      </w:r>
      <w:r>
        <w:rPr>
          <w:rFonts w:hint="eastAsia" w:ascii="Times New Roman" w:hAnsi="Times New Roman" w:cs="Times New Roman"/>
          <w:color w:val="auto"/>
          <w:u w:val="none" w:color="auto"/>
          <w:lang w:eastAsia="zh-CN"/>
        </w:rPr>
        <w:t>涂装车间</w:t>
      </w:r>
      <w:r>
        <w:rPr>
          <w:rFonts w:hint="eastAsia" w:ascii="Times New Roman" w:hAnsi="Times New Roman" w:cs="Times New Roman"/>
          <w:color w:val="auto"/>
          <w:u w:val="none" w:color="auto"/>
        </w:rPr>
        <w:t xml:space="preserve">废气需经处理后达标排放，尽可能减少喷漆废气中甲苯和二甲苯的浓度。 </w:t>
      </w:r>
    </w:p>
    <w:p w14:paraId="048ADD7B">
      <w:pPr>
        <w:autoSpaceDE w:val="0"/>
        <w:autoSpaceDN w:val="0"/>
        <w:snapToGrid w:val="0"/>
        <w:spacing w:line="360" w:lineRule="auto"/>
        <w:jc w:val="left"/>
        <w:outlineLvl w:val="1"/>
        <w:rPr>
          <w:rFonts w:ascii="Times New Roman" w:hAnsi="Times New Roman" w:eastAsia="宋体" w:cs="Times New Roman"/>
          <w:b/>
          <w:color w:val="auto"/>
          <w:kern w:val="0"/>
          <w:sz w:val="32"/>
          <w:szCs w:val="32"/>
          <w:u w:val="none" w:color="auto"/>
        </w:rPr>
      </w:pPr>
      <w:bookmarkStart w:id="341" w:name="_Toc24668"/>
      <w:r>
        <w:rPr>
          <w:rFonts w:ascii="Times New Roman" w:hAnsi="Times New Roman" w:cs="Times New Roman"/>
          <w:color w:val="auto"/>
          <w:u w:val="none" w:color="auto"/>
        </w:rPr>
        <w:fldChar w:fldCharType="begin"/>
      </w:r>
      <w:r>
        <w:rPr>
          <w:rFonts w:ascii="Times New Roman" w:hAnsi="Times New Roman" w:cs="Times New Roman"/>
          <w:color w:val="auto"/>
          <w:u w:val="none" w:color="auto"/>
        </w:rPr>
        <w:instrText xml:space="preserve"> HYPERLINK \l "_Toc499543870" </w:instrText>
      </w:r>
      <w:r>
        <w:rPr>
          <w:rFonts w:ascii="Times New Roman" w:hAnsi="Times New Roman" w:cs="Times New Roman"/>
          <w:color w:val="auto"/>
          <w:u w:val="none" w:color="auto"/>
        </w:rPr>
        <w:fldChar w:fldCharType="separate"/>
      </w:r>
      <w:bookmarkStart w:id="342" w:name="_Toc3728333"/>
      <w:bookmarkStart w:id="343" w:name="_Toc530130512"/>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6</w:t>
      </w:r>
      <w:r>
        <w:rPr>
          <w:rFonts w:ascii="Times New Roman" w:hAnsi="Times New Roman" w:eastAsia="宋体" w:cs="Times New Roman"/>
          <w:b/>
          <w:color w:val="auto"/>
          <w:kern w:val="0"/>
          <w:sz w:val="32"/>
          <w:szCs w:val="32"/>
          <w:u w:val="none" w:color="auto"/>
        </w:rPr>
        <w:t>风险评价结论</w:t>
      </w:r>
      <w:bookmarkEnd w:id="342"/>
      <w:bookmarkEnd w:id="343"/>
      <w:r>
        <w:rPr>
          <w:rFonts w:ascii="Times New Roman" w:hAnsi="Times New Roman" w:eastAsia="宋体" w:cs="Times New Roman"/>
          <w:b/>
          <w:color w:val="auto"/>
          <w:kern w:val="0"/>
          <w:sz w:val="32"/>
          <w:szCs w:val="32"/>
          <w:u w:val="none" w:color="auto"/>
        </w:rPr>
        <w:fldChar w:fldCharType="end"/>
      </w:r>
      <w:bookmarkEnd w:id="341"/>
    </w:p>
    <w:p w14:paraId="4DD049F3">
      <w:pPr>
        <w:autoSpaceDE w:val="0"/>
        <w:autoSpaceDN w:val="0"/>
        <w:spacing w:line="360" w:lineRule="auto"/>
        <w:ind w:firstLine="480" w:firstLineChars="200"/>
        <w:rPr>
          <w:rFonts w:ascii="Times New Roman" w:hAnsi="Times New Roman" w:eastAsia="宋体" w:cs="Times New Roman"/>
          <w:color w:val="auto"/>
          <w:sz w:val="24"/>
          <w:u w:val="none" w:color="auto"/>
        </w:rPr>
      </w:pPr>
      <w:bookmarkStart w:id="344" w:name="_Toc530130513"/>
      <w:r>
        <w:rPr>
          <w:rFonts w:ascii="Times New Roman" w:hAnsi="Times New Roman" w:eastAsia="宋体" w:cs="Times New Roman"/>
          <w:color w:val="auto"/>
          <w:kern w:val="0"/>
          <w:sz w:val="24"/>
          <w:szCs w:val="24"/>
          <w:u w:val="none" w:color="auto"/>
        </w:rPr>
        <w:t>项目</w:t>
      </w:r>
      <w:r>
        <w:rPr>
          <w:rFonts w:hint="eastAsia" w:ascii="Times New Roman" w:hAnsi="Times New Roman" w:eastAsia="宋体" w:cs="Times New Roman"/>
          <w:color w:val="auto"/>
          <w:kern w:val="0"/>
          <w:sz w:val="24"/>
          <w:szCs w:val="24"/>
          <w:u w:val="none" w:color="auto"/>
        </w:rPr>
        <w:t>涉及的</w:t>
      </w:r>
      <w:r>
        <w:rPr>
          <w:rFonts w:ascii="Times New Roman" w:hAnsi="Times New Roman" w:eastAsia="宋体" w:cs="Times New Roman"/>
          <w:color w:val="auto"/>
          <w:kern w:val="0"/>
          <w:sz w:val="24"/>
          <w:szCs w:val="24"/>
          <w:u w:val="none" w:color="auto"/>
        </w:rPr>
        <w:t>危险物质</w:t>
      </w:r>
      <w:r>
        <w:rPr>
          <w:rFonts w:hint="eastAsia" w:ascii="Times New Roman" w:hAnsi="Times New Roman" w:eastAsia="宋体" w:cs="Times New Roman"/>
          <w:color w:val="auto"/>
          <w:kern w:val="0"/>
          <w:sz w:val="24"/>
          <w:szCs w:val="24"/>
          <w:u w:val="none" w:color="auto"/>
        </w:rPr>
        <w:t>主要是油漆、稀释剂、固化剂</w:t>
      </w:r>
      <w:r>
        <w:rPr>
          <w:rFonts w:ascii="Times New Roman" w:hAnsi="Times New Roman" w:eastAsia="宋体" w:cs="Times New Roman"/>
          <w:color w:val="auto"/>
          <w:kern w:val="0"/>
          <w:sz w:val="24"/>
          <w:szCs w:val="24"/>
          <w:u w:val="none" w:color="auto"/>
        </w:rPr>
        <w:t>等。在项目运行过程中，风险事故发生概率低，建设单位从工程和管理上实行严格的防范措施，做好安全生产和环境保护工作，能有效预防风险事故发生，将风险降低到最小，在可接受的范围内；制定操作性强的应急预案，可降低事故对环境的影响。</w:t>
      </w:r>
    </w:p>
    <w:p w14:paraId="3D76FE54">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45" w:name="_Toc17056"/>
      <w:bookmarkStart w:id="346" w:name="_Toc3728334"/>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7</w:t>
      </w:r>
      <w:r>
        <w:rPr>
          <w:rFonts w:ascii="Times New Roman" w:hAnsi="Times New Roman" w:eastAsia="宋体" w:cs="Times New Roman"/>
          <w:b/>
          <w:color w:val="auto"/>
          <w:kern w:val="0"/>
          <w:sz w:val="32"/>
          <w:szCs w:val="32"/>
          <w:u w:val="none" w:color="auto"/>
        </w:rPr>
        <w:t>环境保护措施分析结论</w:t>
      </w:r>
      <w:bookmarkEnd w:id="344"/>
      <w:bookmarkEnd w:id="345"/>
      <w:bookmarkEnd w:id="346"/>
    </w:p>
    <w:p w14:paraId="12E0426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47" w:name="_Toc3728335"/>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.1废气</w:t>
      </w:r>
      <w:bookmarkEnd w:id="347"/>
    </w:p>
    <w:p w14:paraId="69A3DDC8">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一、有组织排放废气 </w:t>
      </w:r>
    </w:p>
    <w:p w14:paraId="6A2FB62A">
      <w:pPr>
        <w:autoSpaceDE w:val="0"/>
        <w:autoSpaceDN w:val="0"/>
        <w:snapToGrid w:val="0"/>
        <w:spacing w:line="360" w:lineRule="auto"/>
        <w:ind w:firstLine="480" w:firstLineChars="200"/>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喷砂和抛丸废</w:t>
      </w:r>
      <w:r>
        <w:rPr>
          <w:rFonts w:ascii="Times New Roman" w:hAnsi="Times New Roman" w:eastAsia="宋体" w:cs="Times New Roman"/>
          <w:color w:val="auto"/>
          <w:kern w:val="0"/>
          <w:sz w:val="24"/>
          <w:szCs w:val="24"/>
          <w:u w:val="none" w:color="auto"/>
        </w:rPr>
        <w:t>气</w:t>
      </w:r>
      <w:r>
        <w:rPr>
          <w:rFonts w:hint="eastAsia" w:ascii="Times New Roman" w:hAnsi="Times New Roman" w:eastAsia="宋体" w:cs="Times New Roman"/>
          <w:color w:val="auto"/>
          <w:kern w:val="0"/>
          <w:sz w:val="24"/>
          <w:szCs w:val="24"/>
          <w:u w:val="none" w:color="auto"/>
        </w:rPr>
        <w:t>经</w:t>
      </w:r>
      <w:r>
        <w:rPr>
          <w:rFonts w:ascii="Times New Roman" w:hAnsi="Times New Roman" w:eastAsia="宋体" w:cs="Times New Roman"/>
          <w:color w:val="auto"/>
          <w:kern w:val="0"/>
          <w:sz w:val="24"/>
          <w:szCs w:val="24"/>
          <w:u w:val="none" w:color="auto"/>
        </w:rPr>
        <w:t>滤筒除尘器处理后</w:t>
      </w:r>
      <w:r>
        <w:rPr>
          <w:rFonts w:hint="eastAsia" w:ascii="Times New Roman" w:hAnsi="Times New Roman" w:eastAsia="宋体" w:cs="Times New Roman"/>
          <w:color w:val="auto"/>
          <w:kern w:val="0"/>
          <w:sz w:val="24"/>
          <w:szCs w:val="24"/>
          <w:u w:val="none" w:color="auto"/>
        </w:rPr>
        <w:t>通过1</w:t>
      </w:r>
      <w:r>
        <w:rPr>
          <w:rFonts w:ascii="Times New Roman" w:hAnsi="Times New Roman" w:eastAsia="宋体" w:cs="Times New Roman"/>
          <w:color w:val="auto"/>
          <w:kern w:val="0"/>
          <w:sz w:val="24"/>
          <w:szCs w:val="24"/>
          <w:u w:val="none" w:color="auto"/>
        </w:rPr>
        <w:t>根</w:t>
      </w:r>
      <w:r>
        <w:rPr>
          <w:rFonts w:hint="eastAsia" w:ascii="Times New Roman" w:hAnsi="Times New Roman" w:eastAsia="宋体" w:cs="Times New Roman"/>
          <w:color w:val="auto"/>
          <w:kern w:val="0"/>
          <w:sz w:val="24"/>
          <w:szCs w:val="24"/>
          <w:u w:val="none" w:color="auto"/>
          <w:lang w:eastAsia="zh-CN"/>
        </w:rPr>
        <w:t>30m</w:t>
      </w:r>
      <w:r>
        <w:rPr>
          <w:rFonts w:ascii="Times New Roman" w:hAnsi="Times New Roman" w:eastAsia="宋体" w:cs="Times New Roman"/>
          <w:color w:val="auto"/>
          <w:kern w:val="0"/>
          <w:sz w:val="24"/>
          <w:szCs w:val="24"/>
          <w:u w:val="none" w:color="auto"/>
        </w:rPr>
        <w:t>高排气筒排放，</w:t>
      </w:r>
      <w:r>
        <w:rPr>
          <w:rFonts w:hint="eastAsia" w:ascii="Times New Roman" w:hAnsi="Times New Roman" w:eastAsia="宋体" w:cs="Times New Roman"/>
          <w:color w:val="auto"/>
          <w:kern w:val="0"/>
          <w:sz w:val="24"/>
          <w:szCs w:val="24"/>
          <w:u w:val="none" w:color="auto"/>
        </w:rPr>
        <w:t>颗粒物排放浓度</w:t>
      </w:r>
      <w:r>
        <w:rPr>
          <w:rFonts w:ascii="Times New Roman" w:hAnsi="Times New Roman" w:eastAsia="宋体" w:cs="Times New Roman"/>
          <w:color w:val="auto"/>
          <w:kern w:val="0"/>
          <w:sz w:val="24"/>
          <w:szCs w:val="24"/>
          <w:u w:val="none" w:color="auto"/>
        </w:rPr>
        <w:t xml:space="preserve">满足《大气污染物综合排放标准》（GB16297-1996）表2中的二级标准要求，对周边环境影响较小。 </w:t>
      </w:r>
    </w:p>
    <w:p w14:paraId="7A822A04">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喷漆废气的主要污染物为</w:t>
      </w:r>
      <w:r>
        <w:rPr>
          <w:rFonts w:hint="eastAsia" w:ascii="Times New Roman" w:hAnsi="Times New Roman" w:eastAsia="宋体" w:cs="Times New Roman"/>
          <w:color w:val="auto"/>
          <w:kern w:val="0"/>
          <w:sz w:val="24"/>
          <w:szCs w:val="24"/>
          <w:u w:val="none" w:color="auto"/>
        </w:rPr>
        <w:t>漆雾</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非甲烷总烃</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甲苯、</w:t>
      </w:r>
      <w:r>
        <w:rPr>
          <w:rFonts w:ascii="Times New Roman" w:hAnsi="Times New Roman" w:eastAsia="宋体" w:cs="Times New Roman"/>
          <w:color w:val="auto"/>
          <w:kern w:val="0"/>
          <w:sz w:val="24"/>
          <w:szCs w:val="24"/>
          <w:u w:val="none" w:color="auto"/>
        </w:rPr>
        <w:t>二甲苯，</w:t>
      </w:r>
      <w:r>
        <w:rPr>
          <w:rFonts w:hint="eastAsia" w:ascii="Times New Roman" w:hAnsi="Times New Roman" w:eastAsia="宋体" w:cs="Times New Roman"/>
          <w:color w:val="auto"/>
          <w:kern w:val="0"/>
          <w:sz w:val="24"/>
          <w:szCs w:val="24"/>
          <w:u w:val="none" w:color="auto"/>
        </w:rPr>
        <w:t>经“干式过滤</w:t>
      </w:r>
      <w:r>
        <w:rPr>
          <w:rFonts w:ascii="Times New Roman" w:hAnsi="Times New Roman" w:eastAsia="宋体" w:cs="Times New Roman"/>
          <w:color w:val="auto"/>
          <w:kern w:val="0"/>
          <w:sz w:val="24"/>
          <w:szCs w:val="24"/>
          <w:u w:val="none" w:color="auto"/>
        </w:rPr>
        <w:t>+活性炭吸附</w:t>
      </w:r>
      <w:r>
        <w:rPr>
          <w:rFonts w:hint="eastAsia" w:ascii="Times New Roman" w:hAnsi="Times New Roman" w:eastAsia="宋体" w:cs="Times New Roman"/>
          <w:color w:val="auto"/>
          <w:kern w:val="0"/>
          <w:sz w:val="24"/>
          <w:szCs w:val="24"/>
          <w:u w:val="none" w:color="auto"/>
        </w:rPr>
        <w:t>+解吸</w:t>
      </w:r>
      <w:r>
        <w:rPr>
          <w:rFonts w:ascii="Times New Roman" w:hAnsi="Times New Roman" w:eastAsia="宋体" w:cs="Times New Roman"/>
          <w:color w:val="auto"/>
          <w:kern w:val="0"/>
          <w:sz w:val="24"/>
          <w:szCs w:val="24"/>
          <w:u w:val="none" w:color="auto"/>
        </w:rPr>
        <w:t>脱附+催化燃烧</w:t>
      </w:r>
      <w:r>
        <w:rPr>
          <w:rFonts w:hint="eastAsia" w:ascii="Times New Roman" w:hAnsi="Times New Roman" w:eastAsia="宋体" w:cs="Times New Roman"/>
          <w:color w:val="auto"/>
          <w:kern w:val="0"/>
          <w:sz w:val="24"/>
          <w:szCs w:val="24"/>
          <w:u w:val="none" w:color="auto"/>
        </w:rPr>
        <w:t>”</w:t>
      </w:r>
      <w:r>
        <w:rPr>
          <w:rFonts w:ascii="Times New Roman" w:hAnsi="Times New Roman" w:eastAsia="宋体" w:cs="Times New Roman"/>
          <w:color w:val="auto"/>
          <w:kern w:val="0"/>
          <w:sz w:val="24"/>
          <w:szCs w:val="24"/>
          <w:u w:val="none" w:color="auto"/>
        </w:rPr>
        <w:t>处理装置处理后</w:t>
      </w:r>
      <w:r>
        <w:rPr>
          <w:rFonts w:hint="eastAsia" w:ascii="Times New Roman" w:hAnsi="Times New Roman" w:eastAsia="宋体" w:cs="Times New Roman"/>
          <w:color w:val="auto"/>
          <w:kern w:val="0"/>
          <w:sz w:val="24"/>
          <w:szCs w:val="24"/>
          <w:u w:val="none" w:color="auto"/>
        </w:rPr>
        <w:t>通过1</w:t>
      </w:r>
      <w:r>
        <w:rPr>
          <w:rFonts w:ascii="Times New Roman" w:hAnsi="Times New Roman" w:eastAsia="宋体" w:cs="Times New Roman"/>
          <w:color w:val="auto"/>
          <w:kern w:val="0"/>
          <w:sz w:val="24"/>
          <w:szCs w:val="24"/>
          <w:u w:val="none" w:color="auto"/>
        </w:rPr>
        <w:t>根</w:t>
      </w:r>
      <w:r>
        <w:rPr>
          <w:rFonts w:hint="eastAsia" w:ascii="Times New Roman" w:hAnsi="Times New Roman" w:eastAsia="宋体" w:cs="Times New Roman"/>
          <w:color w:val="auto"/>
          <w:kern w:val="0"/>
          <w:sz w:val="24"/>
          <w:szCs w:val="24"/>
          <w:u w:val="none" w:color="auto"/>
          <w:lang w:eastAsia="zh-CN"/>
        </w:rPr>
        <w:t>30m</w:t>
      </w:r>
      <w:r>
        <w:rPr>
          <w:rFonts w:ascii="Times New Roman" w:hAnsi="Times New Roman" w:eastAsia="宋体" w:cs="Times New Roman"/>
          <w:color w:val="auto"/>
          <w:kern w:val="0"/>
          <w:sz w:val="24"/>
          <w:szCs w:val="24"/>
          <w:u w:val="none" w:color="auto"/>
        </w:rPr>
        <w:t>高排气筒排放，</w:t>
      </w:r>
      <w:r>
        <w:rPr>
          <w:rFonts w:hint="eastAsia" w:ascii="Times New Roman" w:hAnsi="Times New Roman" w:eastAsia="宋体" w:cs="Times New Roman"/>
          <w:color w:val="auto"/>
          <w:kern w:val="0"/>
          <w:sz w:val="24"/>
          <w:szCs w:val="24"/>
          <w:u w:val="none" w:color="auto"/>
        </w:rPr>
        <w:t>各污染物排放浓度</w:t>
      </w:r>
      <w:r>
        <w:rPr>
          <w:rFonts w:ascii="Times New Roman" w:hAnsi="Times New Roman" w:eastAsia="宋体" w:cs="Times New Roman"/>
          <w:color w:val="auto"/>
          <w:kern w:val="0"/>
          <w:sz w:val="24"/>
          <w:szCs w:val="24"/>
          <w:u w:val="none" w:color="auto"/>
        </w:rPr>
        <w:t xml:space="preserve">满足《大气污染物综合排放标准》（GB16297-1996）表2中的二级标准要求，对周边环境影响不大。 </w:t>
      </w:r>
    </w:p>
    <w:p w14:paraId="2224F393">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rPr>
        <w:t>食堂油烟经+静电式油烟净化器处理后由排气筒引至楼顶排放，油烟排放满足《饮食业油烟排放标准(试行)》（GBl8483-2001）要求，对周边环境影响不大。</w:t>
      </w:r>
    </w:p>
    <w:p w14:paraId="542C76F1">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 xml:space="preserve">二、无组织排放废气 </w:t>
      </w:r>
    </w:p>
    <w:p w14:paraId="049E3910">
      <w:pPr>
        <w:autoSpaceDE w:val="0"/>
        <w:autoSpaceDN w:val="0"/>
        <w:snapToGrid w:val="0"/>
        <w:spacing w:line="360" w:lineRule="auto"/>
        <w:ind w:firstLine="480" w:firstLineChars="200"/>
        <w:jc w:val="left"/>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无组织排放废气的主要污染物为颗粒物、</w:t>
      </w:r>
      <w:r>
        <w:rPr>
          <w:rFonts w:hint="eastAsia" w:ascii="Times New Roman" w:hAnsi="Times New Roman" w:eastAsia="宋体" w:cs="Times New Roman"/>
          <w:color w:val="auto"/>
          <w:kern w:val="0"/>
          <w:sz w:val="24"/>
          <w:szCs w:val="24"/>
          <w:u w:val="none" w:color="auto"/>
        </w:rPr>
        <w:t>非甲烷总烃</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甲苯、</w:t>
      </w:r>
      <w:r>
        <w:rPr>
          <w:rFonts w:ascii="Times New Roman" w:hAnsi="Times New Roman" w:eastAsia="宋体" w:cs="Times New Roman"/>
          <w:color w:val="auto"/>
          <w:kern w:val="0"/>
          <w:sz w:val="24"/>
          <w:szCs w:val="24"/>
          <w:u w:val="none" w:color="auto"/>
        </w:rPr>
        <w:t>二甲苯</w:t>
      </w:r>
      <w:r>
        <w:rPr>
          <w:rFonts w:hint="eastAsia" w:ascii="Times New Roman" w:hAnsi="Times New Roman" w:eastAsia="宋体" w:cs="Times New Roman"/>
          <w:color w:val="auto"/>
          <w:kern w:val="0"/>
          <w:sz w:val="24"/>
          <w:szCs w:val="24"/>
          <w:u w:val="none" w:color="auto"/>
        </w:rPr>
        <w:t>。项目采取</w:t>
      </w:r>
      <w:r>
        <w:rPr>
          <w:rFonts w:ascii="Times New Roman" w:hAnsi="Times New Roman" w:eastAsia="宋体" w:cs="Times New Roman"/>
          <w:color w:val="auto"/>
          <w:kern w:val="0"/>
          <w:sz w:val="24"/>
          <w:szCs w:val="24"/>
          <w:u w:val="none" w:color="auto"/>
        </w:rPr>
        <w:t>移动式除尘</w:t>
      </w:r>
      <w:r>
        <w:rPr>
          <w:rFonts w:hint="eastAsia" w:ascii="Times New Roman" w:hAnsi="Times New Roman" w:eastAsia="宋体" w:cs="Times New Roman"/>
          <w:color w:val="auto"/>
          <w:kern w:val="0"/>
          <w:sz w:val="24"/>
          <w:szCs w:val="24"/>
          <w:u w:val="none" w:color="auto"/>
        </w:rPr>
        <w:t>净化器、</w:t>
      </w:r>
      <w:r>
        <w:rPr>
          <w:rFonts w:ascii="Times New Roman" w:hAnsi="Times New Roman" w:eastAsia="宋体" w:cs="Times New Roman"/>
          <w:color w:val="auto"/>
          <w:kern w:val="0"/>
          <w:sz w:val="24"/>
          <w:szCs w:val="24"/>
          <w:u w:val="none" w:color="auto"/>
        </w:rPr>
        <w:t>移动式</w:t>
      </w:r>
      <w:r>
        <w:rPr>
          <w:rFonts w:hint="eastAsia" w:ascii="Times New Roman" w:hAnsi="Times New Roman" w:eastAsia="宋体" w:cs="Times New Roman"/>
          <w:color w:val="auto"/>
          <w:kern w:val="0"/>
          <w:sz w:val="24"/>
          <w:szCs w:val="24"/>
          <w:u w:val="none" w:color="auto"/>
        </w:rPr>
        <w:t>烟尘净化器、</w:t>
      </w:r>
      <w:r>
        <w:rPr>
          <w:rFonts w:ascii="Times New Roman" w:hAnsi="Times New Roman" w:eastAsia="宋体" w:cs="Times New Roman"/>
          <w:color w:val="auto"/>
          <w:kern w:val="0"/>
          <w:sz w:val="24"/>
          <w:szCs w:val="24"/>
          <w:u w:val="none" w:color="auto"/>
        </w:rPr>
        <w:t>加强车间通风</w:t>
      </w:r>
      <w:r>
        <w:rPr>
          <w:rFonts w:hint="eastAsia" w:ascii="Times New Roman" w:hAnsi="Times New Roman" w:eastAsia="宋体" w:cs="Times New Roman"/>
          <w:color w:val="auto"/>
          <w:kern w:val="0"/>
          <w:sz w:val="24"/>
          <w:szCs w:val="24"/>
          <w:u w:val="none" w:color="auto"/>
        </w:rPr>
        <w:t>等措施后，</w:t>
      </w:r>
      <w:r>
        <w:rPr>
          <w:rFonts w:ascii="Times New Roman" w:hAnsi="Times New Roman" w:eastAsia="宋体" w:cs="Times New Roman"/>
          <w:color w:val="auto"/>
          <w:kern w:val="0"/>
          <w:sz w:val="24"/>
          <w:szCs w:val="24"/>
          <w:u w:val="none" w:color="auto"/>
        </w:rPr>
        <w:t>经预测，无组织排放的颗粒物、</w:t>
      </w:r>
      <w:r>
        <w:rPr>
          <w:rFonts w:hint="eastAsia" w:ascii="Times New Roman" w:hAnsi="Times New Roman" w:eastAsia="宋体" w:cs="Times New Roman"/>
          <w:color w:val="auto"/>
          <w:kern w:val="0"/>
          <w:sz w:val="24"/>
          <w:szCs w:val="24"/>
          <w:u w:val="none" w:color="auto"/>
        </w:rPr>
        <w:t>甲苯、</w:t>
      </w:r>
      <w:r>
        <w:rPr>
          <w:rFonts w:ascii="Times New Roman" w:hAnsi="Times New Roman" w:eastAsia="宋体" w:cs="Times New Roman"/>
          <w:color w:val="auto"/>
          <w:kern w:val="0"/>
          <w:sz w:val="24"/>
          <w:szCs w:val="24"/>
          <w:u w:val="none" w:color="auto"/>
        </w:rPr>
        <w:t>二甲苯</w:t>
      </w:r>
      <w:r>
        <w:rPr>
          <w:rFonts w:hint="eastAsia" w:ascii="Times New Roman" w:hAnsi="Times New Roman" w:eastAsia="宋体" w:cs="Times New Roman"/>
          <w:color w:val="auto"/>
          <w:kern w:val="0"/>
          <w:sz w:val="24"/>
          <w:szCs w:val="24"/>
          <w:u w:val="none" w:color="auto"/>
        </w:rPr>
        <w:t>、非甲烷总烃</w:t>
      </w:r>
      <w:r>
        <w:rPr>
          <w:rFonts w:ascii="Times New Roman" w:hAnsi="Times New Roman" w:eastAsia="宋体" w:cs="Times New Roman"/>
          <w:color w:val="auto"/>
          <w:kern w:val="0"/>
          <w:sz w:val="24"/>
          <w:szCs w:val="24"/>
          <w:u w:val="none" w:color="auto"/>
        </w:rPr>
        <w:t xml:space="preserve">浓度可满足《大气污染物综合排放标准》（GB16297-1996）表2中无组织排放监控浓度限制要求， 对周边环境影响不大。 </w:t>
      </w:r>
    </w:p>
    <w:p w14:paraId="6B1F2D9A">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48" w:name="_Toc3728336"/>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.2废水</w:t>
      </w:r>
      <w:bookmarkEnd w:id="348"/>
    </w:p>
    <w:p w14:paraId="4EE43404">
      <w:pPr>
        <w:tabs>
          <w:tab w:val="left" w:pos="1288"/>
        </w:tabs>
        <w:autoSpaceDE w:val="0"/>
        <w:autoSpaceDN w:val="0"/>
        <w:spacing w:line="360" w:lineRule="auto"/>
        <w:ind w:firstLine="480" w:firstLineChars="200"/>
        <w:textAlignment w:val="baseline"/>
        <w:rPr>
          <w:color w:val="auto"/>
          <w:u w:val="none" w:color="auto"/>
        </w:rPr>
      </w:pPr>
      <w:r>
        <w:rPr>
          <w:rFonts w:hint="eastAsia" w:ascii="Times New Roman" w:hAnsi="Times New Roman" w:eastAsia="宋体" w:cs="Times New Roman"/>
          <w:color w:val="auto"/>
          <w:kern w:val="0"/>
          <w:sz w:val="24"/>
          <w:szCs w:val="24"/>
          <w:u w:val="none" w:color="auto"/>
        </w:rPr>
        <w:t>项目生活污水水质简单，主要含有有机物和悬浮物等，经化粪池处理后出水水质达到大榄坪污水处理厂纳管要求后，排入市政污水管网，进入大榄坪污水处理厂处理</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环保措施上可行。</w:t>
      </w:r>
    </w:p>
    <w:p w14:paraId="30D92EFC">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49" w:name="_Toc3728337"/>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.3噪声</w:t>
      </w:r>
      <w:bookmarkEnd w:id="349"/>
    </w:p>
    <w:p w14:paraId="4842DA8E">
      <w:pPr>
        <w:autoSpaceDE w:val="0"/>
        <w:autoSpaceDN w:val="0"/>
        <w:spacing w:line="360" w:lineRule="auto"/>
        <w:ind w:firstLine="480" w:firstLineChars="200"/>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项目所有生产设备均设置于厂房内，并设置基础减震、风机加装消声器等隔声降噪措施，采取以上措施后，</w:t>
      </w:r>
      <w:r>
        <w:rPr>
          <w:rFonts w:hint="eastAsia" w:ascii="Times New Roman" w:hAnsi="Times New Roman" w:eastAsia="宋体" w:cs="Times New Roman"/>
          <w:color w:val="auto"/>
          <w:kern w:val="0"/>
          <w:sz w:val="24"/>
          <w:szCs w:val="24"/>
          <w:u w:val="none" w:color="auto"/>
        </w:rPr>
        <w:t>可减少噪声对周围环境的影响。</w:t>
      </w:r>
    </w:p>
    <w:p w14:paraId="47FF6C28">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50" w:name="_Toc3728338"/>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.4</w:t>
      </w:r>
      <w:bookmarkEnd w:id="350"/>
      <w:r>
        <w:rPr>
          <w:rFonts w:hint="eastAsia" w:ascii="Times New Roman" w:hAnsi="Times New Roman" w:eastAsia="宋体" w:cs="Times New Roman"/>
          <w:b/>
          <w:color w:val="auto"/>
          <w:kern w:val="0"/>
          <w:sz w:val="28"/>
          <w:szCs w:val="20"/>
          <w:u w:val="none" w:color="auto"/>
        </w:rPr>
        <w:t>固体废物</w:t>
      </w:r>
    </w:p>
    <w:p w14:paraId="6514A82A">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sz w:val="24"/>
          <w:u w:val="none" w:color="auto"/>
        </w:rPr>
        <w:t>项目产生的一般固体废物均用于外售，一般固体废物暂存间满足“三防”（防风、防雨、防渗漏）的要求；危险废物由有</w:t>
      </w:r>
      <w:r>
        <w:rPr>
          <w:rFonts w:hint="eastAsia" w:ascii="Times New Roman" w:hAnsi="Times New Roman" w:eastAsia="宋体" w:cs="Times New Roman"/>
          <w:color w:val="auto"/>
          <w:sz w:val="24"/>
          <w:u w:val="none" w:color="auto"/>
          <w:lang w:eastAsia="zh-CN"/>
        </w:rPr>
        <w:t>资质</w:t>
      </w:r>
      <w:r>
        <w:rPr>
          <w:rFonts w:hint="eastAsia" w:ascii="Times New Roman" w:hAnsi="Times New Roman" w:eastAsia="宋体" w:cs="Times New Roman"/>
          <w:color w:val="auto"/>
          <w:sz w:val="24"/>
          <w:u w:val="none" w:color="auto"/>
        </w:rPr>
        <w:t>的单位处理；危险废物收集、临时贮存、运输直至安全处置全过程必须符合《危险废物污染防治技术政策》、《危险废物贮存污染控制标准》、《危险废物处置工程技术导则》以及《危险废物转移联单管理办法》中的要求以及规定。项目危险废物通过上述措施处置后，危险废物的收集、临时贮存、运输对周边环境影响较小。</w:t>
      </w:r>
    </w:p>
    <w:p w14:paraId="5D15AB96">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b/>
          <w:color w:val="auto"/>
          <w:kern w:val="0"/>
          <w:sz w:val="28"/>
          <w:szCs w:val="20"/>
          <w:u w:val="none" w:color="auto"/>
        </w:rPr>
      </w:pPr>
      <w:bookmarkStart w:id="351" w:name="_Toc3728339"/>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.5地下水</w:t>
      </w:r>
      <w:bookmarkEnd w:id="351"/>
    </w:p>
    <w:p w14:paraId="5A3CC73D">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地下水进行分区防渗措施，分为重点防渗区、一般防渗区和简单防渗区。重点防渗区防渗层防治性能不应低于6.0m厚防渗透系数为1.0×10</w:t>
      </w:r>
      <w:r>
        <w:rPr>
          <w:rFonts w:ascii="Times New Roman" w:hAnsi="Times New Roman" w:eastAsia="宋体" w:cs="Times New Roman"/>
          <w:color w:val="auto"/>
          <w:kern w:val="0"/>
          <w:sz w:val="24"/>
          <w:szCs w:val="20"/>
          <w:u w:val="none" w:color="auto"/>
          <w:vertAlign w:val="superscript"/>
        </w:rPr>
        <w:t>-7</w:t>
      </w:r>
      <w:r>
        <w:rPr>
          <w:rFonts w:ascii="Times New Roman" w:hAnsi="Times New Roman" w:eastAsia="宋体" w:cs="Times New Roman"/>
          <w:color w:val="auto"/>
          <w:kern w:val="0"/>
          <w:sz w:val="24"/>
          <w:szCs w:val="20"/>
          <w:u w:val="none" w:color="auto"/>
        </w:rPr>
        <w:t>cm/s的黏土防渗层；一般防渗区防渗层防治性能不应低于1.5m厚防渗透系数为1.0×10</w:t>
      </w:r>
      <w:r>
        <w:rPr>
          <w:rFonts w:ascii="Times New Roman" w:hAnsi="Times New Roman" w:eastAsia="宋体" w:cs="Times New Roman"/>
          <w:color w:val="auto"/>
          <w:kern w:val="0"/>
          <w:sz w:val="24"/>
          <w:szCs w:val="20"/>
          <w:u w:val="none" w:color="auto"/>
          <w:vertAlign w:val="superscript"/>
        </w:rPr>
        <w:t>-7</w:t>
      </w:r>
      <w:r>
        <w:rPr>
          <w:rFonts w:ascii="Times New Roman" w:hAnsi="Times New Roman" w:eastAsia="宋体" w:cs="Times New Roman"/>
          <w:color w:val="auto"/>
          <w:kern w:val="0"/>
          <w:sz w:val="24"/>
          <w:szCs w:val="20"/>
          <w:u w:val="none" w:color="auto"/>
        </w:rPr>
        <w:t>cm/s的黏土防渗层；简单防渗区进行地面大硬化，同时建设和完善厂区地下水污染监控系统，可对地下水污染实行有效监控。</w:t>
      </w:r>
    </w:p>
    <w:p w14:paraId="1E4256C7">
      <w:pPr>
        <w:tabs>
          <w:tab w:val="left" w:pos="1288"/>
        </w:tabs>
        <w:autoSpaceDE w:val="0"/>
        <w:autoSpaceDN w:val="0"/>
        <w:adjustRightInd w:val="0"/>
        <w:spacing w:line="360" w:lineRule="auto"/>
        <w:jc w:val="left"/>
        <w:textAlignment w:val="baseline"/>
        <w:outlineLvl w:val="2"/>
        <w:rPr>
          <w:rFonts w:ascii="Times New Roman" w:hAnsi="Times New Roman" w:eastAsia="宋体" w:cs="Times New Roman"/>
          <w:color w:val="auto"/>
          <w:kern w:val="0"/>
          <w:sz w:val="24"/>
          <w:szCs w:val="20"/>
          <w:u w:val="none" w:color="auto"/>
        </w:rPr>
      </w:pPr>
      <w:r>
        <w:rPr>
          <w:rFonts w:hint="eastAsia" w:ascii="Times New Roman" w:hAnsi="Times New Roman" w:eastAsia="宋体" w:cs="Times New Roman"/>
          <w:b/>
          <w:color w:val="auto"/>
          <w:kern w:val="0"/>
          <w:sz w:val="28"/>
          <w:szCs w:val="20"/>
          <w:u w:val="none" w:color="auto"/>
        </w:rPr>
        <w:t>8</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lang w:val="en-US" w:eastAsia="zh-CN"/>
        </w:rPr>
        <w:t>7</w:t>
      </w:r>
      <w:r>
        <w:rPr>
          <w:rFonts w:ascii="Times New Roman" w:hAnsi="Times New Roman" w:eastAsia="宋体" w:cs="Times New Roman"/>
          <w:b/>
          <w:color w:val="auto"/>
          <w:kern w:val="0"/>
          <w:sz w:val="28"/>
          <w:szCs w:val="20"/>
          <w:u w:val="none" w:color="auto"/>
        </w:rPr>
        <w:t>.</w:t>
      </w:r>
      <w:r>
        <w:rPr>
          <w:rFonts w:hint="eastAsia" w:ascii="Times New Roman" w:hAnsi="Times New Roman" w:eastAsia="宋体" w:cs="Times New Roman"/>
          <w:b/>
          <w:color w:val="auto"/>
          <w:kern w:val="0"/>
          <w:sz w:val="28"/>
          <w:szCs w:val="20"/>
          <w:u w:val="none" w:color="auto"/>
        </w:rPr>
        <w:t>6风险防治措施</w:t>
      </w:r>
    </w:p>
    <w:p w14:paraId="2E85385B">
      <w:pPr>
        <w:tabs>
          <w:tab w:val="left" w:pos="1288"/>
        </w:tabs>
        <w:autoSpaceDE w:val="0"/>
        <w:autoSpaceDN w:val="0"/>
        <w:adjustRightInd w:val="0"/>
        <w:spacing w:line="360" w:lineRule="auto"/>
        <w:ind w:firstLine="480" w:firstLineChars="200"/>
        <w:jc w:val="left"/>
        <w:textAlignment w:val="baseline"/>
        <w:rPr>
          <w:rFonts w:hint="eastAsia" w:ascii="Times New Roman" w:hAnsi="Times New Roman" w:eastAsia="宋体" w:cs="Times New Roman"/>
          <w:color w:val="auto"/>
          <w:kern w:val="0"/>
          <w:sz w:val="24"/>
          <w:szCs w:val="20"/>
          <w:u w:val="none" w:color="auto"/>
        </w:rPr>
      </w:pPr>
      <w:r>
        <w:rPr>
          <w:rFonts w:ascii="Times New Roman" w:hAnsi="Times New Roman" w:eastAsia="宋体" w:cs="Times New Roman"/>
          <w:color w:val="auto"/>
          <w:kern w:val="0"/>
          <w:sz w:val="24"/>
          <w:szCs w:val="20"/>
          <w:u w:val="none" w:color="auto"/>
        </w:rPr>
        <w:t xml:space="preserve"> </w:t>
      </w:r>
      <w:r>
        <w:rPr>
          <w:rFonts w:hint="eastAsia" w:ascii="Times New Roman" w:hAnsi="Times New Roman" w:eastAsia="宋体" w:cs="Times New Roman"/>
          <w:color w:val="auto"/>
          <w:kern w:val="0"/>
          <w:sz w:val="24"/>
          <w:szCs w:val="20"/>
          <w:u w:val="none" w:color="auto"/>
        </w:rPr>
        <w:t>项目涉及危险物质的区域主要是油漆储存区储存的油漆、稀释剂、固化剂； 车间的丙烷、氧气；危废暂存间储存的危险废物等。根据项目风险分析，本项目潜在的风险主要有物料运输、储存、生产过程中泄漏、火灾、环保治理措施发生故障导致事故排放的环境风险等。项目应严格执行防范措施，并执行本环评出的各项要求，当发生风险事故时采取相应的措施和应急预案，可以把事故的危害程度降低到最低程度。</w:t>
      </w:r>
    </w:p>
    <w:p w14:paraId="3D20DFEE">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52" w:name="_Toc26316"/>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8总量控制结论</w:t>
      </w:r>
      <w:bookmarkEnd w:id="352"/>
    </w:p>
    <w:p w14:paraId="760685EE">
      <w:pPr>
        <w:autoSpaceDE w:val="0"/>
        <w:autoSpaceDN w:val="0"/>
        <w:spacing w:line="360" w:lineRule="auto"/>
        <w:ind w:firstLine="480" w:firstLineChars="200"/>
        <w:jc w:val="left"/>
        <w:rPr>
          <w:rFonts w:ascii="Times New Roman" w:hAnsi="Times New Roman" w:eastAsia="宋体" w:cs="Times New Roman"/>
          <w:color w:val="auto"/>
          <w:kern w:val="0"/>
          <w:sz w:val="24"/>
          <w:szCs w:val="32"/>
          <w:u w:val="single" w:color="auto"/>
        </w:rPr>
      </w:pPr>
      <w:r>
        <w:rPr>
          <w:rFonts w:ascii="Times New Roman" w:hAnsi="Times New Roman" w:eastAsia="宋体" w:cs="Times New Roman"/>
          <w:color w:val="auto"/>
          <w:kern w:val="0"/>
          <w:sz w:val="24"/>
          <w:szCs w:val="32"/>
          <w:u w:val="single" w:color="auto"/>
        </w:rPr>
        <w:t>通过工程分析可知，本项目完成后COD、氨氮</w:t>
      </w:r>
      <w:r>
        <w:rPr>
          <w:rFonts w:hint="eastAsia" w:ascii="Times New Roman" w:hAnsi="Times New Roman" w:eastAsia="宋体" w:cs="Times New Roman"/>
          <w:color w:val="auto"/>
          <w:kern w:val="0"/>
          <w:sz w:val="24"/>
          <w:szCs w:val="32"/>
          <w:u w:val="single" w:color="auto"/>
        </w:rPr>
        <w:t>、非甲烷总烃</w:t>
      </w:r>
      <w:r>
        <w:rPr>
          <w:rFonts w:ascii="Times New Roman" w:hAnsi="Times New Roman" w:eastAsia="宋体" w:cs="Times New Roman"/>
          <w:color w:val="auto"/>
          <w:kern w:val="0"/>
          <w:sz w:val="24"/>
          <w:szCs w:val="32"/>
          <w:u w:val="single" w:color="auto"/>
        </w:rPr>
        <w:t>放量分别为</w:t>
      </w:r>
      <w:r>
        <w:rPr>
          <w:rFonts w:hint="eastAsia" w:ascii="Times New Roman" w:hAnsi="Times New Roman" w:eastAsia="宋体" w:cs="Times New Roman"/>
          <w:color w:val="auto"/>
          <w:kern w:val="0"/>
          <w:sz w:val="24"/>
          <w:szCs w:val="32"/>
          <w:u w:val="single" w:color="auto"/>
        </w:rPr>
        <w:t>2.614</w:t>
      </w:r>
      <w:r>
        <w:rPr>
          <w:rFonts w:ascii="Times New Roman" w:hAnsi="Times New Roman" w:eastAsia="宋体" w:cs="Times New Roman"/>
          <w:color w:val="auto"/>
          <w:kern w:val="0"/>
          <w:sz w:val="24"/>
          <w:szCs w:val="32"/>
          <w:u w:val="single" w:color="auto"/>
        </w:rPr>
        <w:t>t/a、</w:t>
      </w:r>
      <w:r>
        <w:rPr>
          <w:rFonts w:hint="eastAsia" w:ascii="Times New Roman" w:hAnsi="Times New Roman" w:eastAsia="宋体" w:cs="Times New Roman"/>
          <w:color w:val="auto"/>
          <w:kern w:val="0"/>
          <w:sz w:val="24"/>
          <w:szCs w:val="32"/>
          <w:u w:val="single" w:color="auto"/>
        </w:rPr>
        <w:t>0.261</w:t>
      </w:r>
      <w:r>
        <w:rPr>
          <w:rFonts w:ascii="Times New Roman" w:hAnsi="Times New Roman" w:eastAsia="宋体" w:cs="Times New Roman"/>
          <w:color w:val="auto"/>
          <w:kern w:val="0"/>
          <w:sz w:val="24"/>
          <w:szCs w:val="32"/>
          <w:u w:val="single" w:color="auto"/>
        </w:rPr>
        <w:t>t/a、</w:t>
      </w:r>
      <w:r>
        <w:rPr>
          <w:rFonts w:hint="eastAsia" w:ascii="Times New Roman" w:hAnsi="Times New Roman" w:eastAsia="宋体" w:cs="Times New Roman"/>
          <w:color w:val="auto"/>
          <w:kern w:val="0"/>
          <w:sz w:val="24"/>
          <w:szCs w:val="32"/>
          <w:u w:val="single" w:color="auto"/>
          <w:lang w:val="en-US" w:eastAsia="zh-CN"/>
        </w:rPr>
        <w:t>10.5729</w:t>
      </w:r>
      <w:r>
        <w:rPr>
          <w:rFonts w:ascii="Times New Roman" w:hAnsi="Times New Roman" w:eastAsia="宋体" w:cs="Times New Roman"/>
          <w:color w:val="auto"/>
          <w:kern w:val="0"/>
          <w:sz w:val="24"/>
          <w:szCs w:val="32"/>
          <w:u w:val="single" w:color="auto"/>
        </w:rPr>
        <w:t>t/a。</w:t>
      </w:r>
    </w:p>
    <w:p w14:paraId="4338ECC3">
      <w:pPr>
        <w:autoSpaceDE w:val="0"/>
        <w:autoSpaceDN w:val="0"/>
        <w:spacing w:line="360" w:lineRule="auto"/>
        <w:ind w:firstLine="480" w:firstLineChars="200"/>
        <w:jc w:val="left"/>
        <w:rPr>
          <w:rFonts w:hint="eastAsia" w:ascii="Times New Roman" w:hAnsi="Times New Roman" w:eastAsia="宋体" w:cs="Times New Roman"/>
          <w:color w:val="auto"/>
          <w:kern w:val="0"/>
          <w:sz w:val="24"/>
          <w:szCs w:val="32"/>
          <w:u w:val="single" w:color="auto"/>
        </w:rPr>
      </w:pPr>
      <w:r>
        <w:rPr>
          <w:rFonts w:hint="eastAsia" w:ascii="Times New Roman" w:hAnsi="Times New Roman" w:eastAsia="宋体" w:cs="Times New Roman"/>
          <w:color w:val="auto"/>
          <w:sz w:val="24"/>
          <w:szCs w:val="24"/>
          <w:u w:val="single" w:color="auto"/>
        </w:rPr>
        <w:t>本项目，生活污水经厂内三级化粪池预处理达到大榄坪污水处理厂</w:t>
      </w:r>
      <w:r>
        <w:rPr>
          <w:rFonts w:hint="eastAsia" w:ascii="Times New Roman" w:hAnsi="Times New Roman" w:eastAsia="宋体" w:cs="Times New Roman"/>
          <w:color w:val="auto"/>
          <w:sz w:val="24"/>
          <w:szCs w:val="24"/>
          <w:u w:val="single" w:color="auto"/>
          <w:lang w:val="en-US" w:eastAsia="zh-CN"/>
        </w:rPr>
        <w:t>纳管</w:t>
      </w:r>
      <w:r>
        <w:rPr>
          <w:rFonts w:hint="eastAsia" w:ascii="Times New Roman" w:hAnsi="Times New Roman" w:eastAsia="宋体" w:cs="Times New Roman"/>
          <w:color w:val="auto"/>
          <w:sz w:val="24"/>
          <w:szCs w:val="24"/>
          <w:u w:val="single" w:color="auto"/>
        </w:rPr>
        <w:t>标准要求后，经市政管网排入大榄坪污水处理厂。</w:t>
      </w:r>
      <w:r>
        <w:rPr>
          <w:rFonts w:ascii="Times New Roman" w:hAnsi="Times New Roman" w:eastAsia="宋体" w:cs="Times New Roman"/>
          <w:color w:val="auto"/>
          <w:kern w:val="0"/>
          <w:sz w:val="24"/>
          <w:szCs w:val="20"/>
          <w:u w:val="single" w:color="auto"/>
        </w:rPr>
        <w:t>因此，</w:t>
      </w:r>
      <w:r>
        <w:rPr>
          <w:rFonts w:ascii="Times New Roman" w:hAnsi="Times New Roman" w:eastAsia="宋体" w:cs="Times New Roman"/>
          <w:color w:val="auto"/>
          <w:kern w:val="0"/>
          <w:sz w:val="24"/>
          <w:szCs w:val="32"/>
          <w:u w:val="single" w:color="auto"/>
        </w:rPr>
        <w:t>COD、氨氮总量指标在</w:t>
      </w:r>
      <w:r>
        <w:rPr>
          <w:rFonts w:hint="eastAsia" w:ascii="Times New Roman" w:hAnsi="Times New Roman" w:eastAsia="宋体" w:cs="Times New Roman"/>
          <w:color w:val="auto"/>
          <w:sz w:val="24"/>
          <w:szCs w:val="24"/>
          <w:u w:val="single" w:color="auto"/>
        </w:rPr>
        <w:t>大榄坪污水处理厂</w:t>
      </w:r>
      <w:r>
        <w:rPr>
          <w:rFonts w:ascii="Times New Roman" w:hAnsi="Times New Roman" w:eastAsia="宋体" w:cs="Times New Roman"/>
          <w:color w:val="auto"/>
          <w:kern w:val="0"/>
          <w:sz w:val="24"/>
          <w:szCs w:val="32"/>
          <w:u w:val="single" w:color="auto"/>
        </w:rPr>
        <w:t>内平衡，</w:t>
      </w:r>
      <w:r>
        <w:rPr>
          <w:rFonts w:ascii="Times New Roman" w:hAnsi="Times New Roman" w:eastAsia="宋体" w:cs="Times New Roman"/>
          <w:color w:val="auto"/>
          <w:kern w:val="0"/>
          <w:sz w:val="24"/>
          <w:szCs w:val="20"/>
          <w:u w:val="single" w:color="auto"/>
        </w:rPr>
        <w:t>本项目不申请</w:t>
      </w:r>
      <w:r>
        <w:rPr>
          <w:rFonts w:ascii="Times New Roman" w:hAnsi="Times New Roman" w:eastAsia="宋体" w:cs="Times New Roman"/>
          <w:color w:val="auto"/>
          <w:kern w:val="0"/>
          <w:sz w:val="24"/>
          <w:szCs w:val="32"/>
          <w:u w:val="single" w:color="auto"/>
        </w:rPr>
        <w:t>COD、氨氮</w:t>
      </w:r>
      <w:r>
        <w:rPr>
          <w:rFonts w:ascii="Times New Roman" w:hAnsi="Times New Roman" w:eastAsia="宋体" w:cs="Times New Roman"/>
          <w:color w:val="auto"/>
          <w:kern w:val="0"/>
          <w:sz w:val="24"/>
          <w:szCs w:val="20"/>
          <w:u w:val="single" w:color="auto"/>
        </w:rPr>
        <w:t>总量指标。</w:t>
      </w:r>
      <w:r>
        <w:rPr>
          <w:rFonts w:hint="eastAsia" w:ascii="Times New Roman" w:hAnsi="Times New Roman" w:eastAsia="宋体" w:cs="Times New Roman"/>
          <w:color w:val="auto"/>
          <w:kern w:val="0"/>
          <w:sz w:val="24"/>
          <w:szCs w:val="20"/>
          <w:u w:val="single" w:color="auto"/>
        </w:rPr>
        <w:t>项目申请的</w:t>
      </w:r>
      <w:r>
        <w:rPr>
          <w:rFonts w:hint="eastAsia" w:ascii="Times New Roman" w:hAnsi="Times New Roman" w:eastAsia="宋体" w:cs="Times New Roman"/>
          <w:color w:val="auto"/>
          <w:kern w:val="0"/>
          <w:sz w:val="24"/>
          <w:szCs w:val="32"/>
          <w:u w:val="single" w:color="auto"/>
        </w:rPr>
        <w:t>非甲烷总烃总量指标为</w:t>
      </w:r>
      <w:r>
        <w:rPr>
          <w:rFonts w:hint="eastAsia" w:ascii="Times New Roman" w:hAnsi="Times New Roman" w:eastAsia="宋体" w:cs="Times New Roman"/>
          <w:color w:val="auto"/>
          <w:kern w:val="0"/>
          <w:sz w:val="24"/>
          <w:szCs w:val="32"/>
          <w:u w:val="single" w:color="auto"/>
          <w:lang w:val="en-US" w:eastAsia="zh-CN"/>
        </w:rPr>
        <w:t>10.5729t</w:t>
      </w:r>
      <w:r>
        <w:rPr>
          <w:rFonts w:ascii="Times New Roman" w:hAnsi="Times New Roman" w:eastAsia="宋体" w:cs="Times New Roman"/>
          <w:color w:val="auto"/>
          <w:kern w:val="0"/>
          <w:sz w:val="24"/>
          <w:szCs w:val="32"/>
          <w:u w:val="single" w:color="auto"/>
        </w:rPr>
        <w:t>/a</w:t>
      </w:r>
      <w:r>
        <w:rPr>
          <w:rFonts w:hint="eastAsia" w:ascii="Times New Roman" w:hAnsi="Times New Roman" w:eastAsia="宋体" w:cs="Times New Roman"/>
          <w:color w:val="auto"/>
          <w:kern w:val="0"/>
          <w:sz w:val="24"/>
          <w:szCs w:val="32"/>
          <w:u w:val="single" w:color="auto"/>
        </w:rPr>
        <w:t>。</w:t>
      </w:r>
    </w:p>
    <w:p w14:paraId="309B5041">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53" w:name="_Toc3728343"/>
      <w:bookmarkStart w:id="354" w:name="_Toc530130515"/>
      <w:bookmarkStart w:id="355" w:name="_Toc6293"/>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bookmarkEnd w:id="353"/>
      <w:bookmarkEnd w:id="354"/>
      <w:r>
        <w:rPr>
          <w:rFonts w:hint="eastAsia" w:ascii="Times New Roman" w:hAnsi="Times New Roman" w:eastAsia="宋体" w:cs="Times New Roman"/>
          <w:b/>
          <w:color w:val="auto"/>
          <w:kern w:val="0"/>
          <w:sz w:val="32"/>
          <w:szCs w:val="32"/>
          <w:u w:val="none" w:color="auto"/>
          <w:lang w:val="en-US" w:eastAsia="zh-CN"/>
        </w:rPr>
        <w:t>9</w:t>
      </w:r>
      <w:r>
        <w:rPr>
          <w:rFonts w:ascii="Times New Roman" w:hAnsi="Times New Roman" w:eastAsia="宋体" w:cs="Times New Roman"/>
          <w:b/>
          <w:color w:val="auto"/>
          <w:kern w:val="0"/>
          <w:sz w:val="32"/>
          <w:szCs w:val="32"/>
          <w:u w:val="none" w:color="auto"/>
        </w:rPr>
        <w:t>公众意见采纳情况</w:t>
      </w:r>
      <w:bookmarkEnd w:id="355"/>
    </w:p>
    <w:p w14:paraId="07B4974B">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建设单位从公告发布至收集意见的截止日期，建设单位、环评单位均未收到公众以电话、信件或电子邮件等形式发回对本项目环保方面的反馈意见。</w:t>
      </w:r>
    </w:p>
    <w:p w14:paraId="5ABBA748">
      <w:pPr>
        <w:spacing w:line="360" w:lineRule="auto"/>
        <w:ind w:firstLine="480" w:firstLineChars="200"/>
        <w:rPr>
          <w:rFonts w:ascii="Times New Roman" w:hAnsi="Times New Roman" w:eastAsia="宋体" w:cs="Times New Roman"/>
          <w:color w:val="auto"/>
          <w:sz w:val="24"/>
          <w:szCs w:val="24"/>
          <w:u w:val="none" w:color="auto"/>
        </w:rPr>
      </w:pPr>
      <w:r>
        <w:rPr>
          <w:rFonts w:ascii="Times New Roman" w:hAnsi="Times New Roman" w:eastAsia="宋体" w:cs="Times New Roman"/>
          <w:color w:val="auto"/>
          <w:sz w:val="24"/>
          <w:szCs w:val="24"/>
          <w:u w:val="none" w:color="auto"/>
        </w:rPr>
        <w:t>在项目的建设和生产期，建设单位应认真听取有关单位和个人的意见，在项目建设运营过程中严格落实各项环保措施，确保各项污染物达标排放，将本项目对环境造成的不利影响降至最低。</w:t>
      </w:r>
    </w:p>
    <w:p w14:paraId="7440E8F2">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56" w:name="_Toc27327"/>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10</w:t>
      </w:r>
      <w:r>
        <w:rPr>
          <w:rFonts w:hint="eastAsia" w:ascii="Times New Roman" w:hAnsi="Times New Roman" w:eastAsia="宋体" w:cs="Times New Roman"/>
          <w:b/>
          <w:color w:val="auto"/>
          <w:kern w:val="0"/>
          <w:sz w:val="32"/>
          <w:szCs w:val="32"/>
          <w:u w:val="none" w:color="auto"/>
        </w:rPr>
        <w:t>产业政策分析结论及选址合理性结论</w:t>
      </w:r>
      <w:bookmarkEnd w:id="356"/>
    </w:p>
    <w:p w14:paraId="6991FB75">
      <w:pPr>
        <w:spacing w:line="360" w:lineRule="auto"/>
        <w:ind w:firstLine="480" w:firstLineChars="200"/>
        <w:rPr>
          <w:rFonts w:ascii="Times New Roman" w:hAnsi="Times New Roman" w:eastAsia="宋体" w:cs="Times New Roman"/>
          <w:color w:val="auto"/>
          <w:sz w:val="24"/>
          <w:szCs w:val="24"/>
          <w:u w:val="none" w:color="auto"/>
        </w:rPr>
      </w:pPr>
      <w:bookmarkStart w:id="357" w:name="_Toc3728344"/>
      <w:bookmarkStart w:id="358" w:name="_Toc530130518"/>
      <w:r>
        <w:rPr>
          <w:rFonts w:ascii="Times New Roman" w:hAnsi="Times New Roman" w:eastAsia="宋体" w:cs="Times New Roman"/>
          <w:color w:val="auto"/>
          <w:sz w:val="24"/>
          <w:szCs w:val="24"/>
          <w:u w:val="none" w:color="auto"/>
        </w:rPr>
        <w:t>项目不属于</w:t>
      </w:r>
      <w:r>
        <w:rPr>
          <w:rFonts w:hint="eastAsia" w:ascii="Times New Roman" w:hAnsi="Times New Roman" w:eastAsia="宋体" w:cs="Times New Roman"/>
          <w:color w:val="auto"/>
          <w:sz w:val="24"/>
          <w:szCs w:val="24"/>
          <w:u w:val="none" w:color="auto"/>
          <w:lang w:eastAsia="zh-CN"/>
        </w:rPr>
        <w:t>国家发展改革委</w:t>
      </w:r>
      <w:r>
        <w:rPr>
          <w:rFonts w:ascii="Times New Roman" w:hAnsi="Times New Roman" w:eastAsia="宋体" w:cs="Times New Roman"/>
          <w:color w:val="auto"/>
          <w:sz w:val="24"/>
          <w:szCs w:val="24"/>
          <w:u w:val="none" w:color="auto"/>
        </w:rPr>
        <w:t>《产业结构调整指导目录》（20</w:t>
      </w:r>
      <w:r>
        <w:rPr>
          <w:rFonts w:hint="eastAsia" w:ascii="Times New Roman" w:hAnsi="Times New Roman" w:eastAsia="宋体" w:cs="Times New Roman"/>
          <w:color w:val="auto"/>
          <w:sz w:val="24"/>
          <w:szCs w:val="24"/>
          <w:u w:val="none" w:color="auto"/>
          <w:lang w:val="en-US" w:eastAsia="zh-CN"/>
        </w:rPr>
        <w:t>24</w:t>
      </w:r>
      <w:r>
        <w:rPr>
          <w:rFonts w:ascii="Times New Roman" w:hAnsi="Times New Roman" w:eastAsia="宋体" w:cs="Times New Roman"/>
          <w:color w:val="auto"/>
          <w:sz w:val="24"/>
          <w:szCs w:val="24"/>
          <w:u w:val="none" w:color="auto"/>
        </w:rPr>
        <w:t>年本）中的限制类和淘汰类，为允许类，符合国家产业政策</w:t>
      </w:r>
      <w:r>
        <w:rPr>
          <w:rFonts w:hint="eastAsia" w:ascii="Times New Roman" w:hAnsi="Times New Roman" w:eastAsia="宋体" w:cs="Times New Roman"/>
          <w:color w:val="auto"/>
          <w:sz w:val="24"/>
          <w:szCs w:val="24"/>
          <w:u w:val="none" w:color="auto"/>
        </w:rPr>
        <w:t>；项目属于《广西工业产业结构调整指导目录（2021年本）》中的鼓励类产业，符合广西工业产业结构调整目录要求；项目不属于《北钦防一体化产业协同发展限制布局清单（工业类2021年版）》中钦州港经济技术开发区的限制布局产业；《钦州市国民经济和社会发展第十四个五年规划和2035年远景目标纲要》规划要求；项目已在广西自贸区钦州港片区行政审批局备案，项目代码</w:t>
      </w:r>
      <w:r>
        <w:rPr>
          <w:rFonts w:hint="eastAsia" w:ascii="Times New Roman" w:hAnsi="Times New Roman" w:eastAsia="宋体" w:cs="Times New Roman"/>
          <w:color w:val="auto"/>
          <w:sz w:val="24"/>
          <w:szCs w:val="24"/>
          <w:u w:val="none" w:color="auto"/>
          <w:lang w:eastAsia="zh-CN"/>
        </w:rPr>
        <w:t>2403-450704-04-01-607658</w:t>
      </w:r>
      <w:r>
        <w:rPr>
          <w:rFonts w:hint="eastAsia" w:ascii="Times New Roman" w:hAnsi="Times New Roman" w:eastAsia="宋体" w:cs="Times New Roman"/>
          <w:color w:val="auto"/>
          <w:sz w:val="24"/>
          <w:szCs w:val="24"/>
          <w:u w:val="none" w:color="auto"/>
        </w:rPr>
        <w:t>。综上，项目符合国家和地方产业政策。</w:t>
      </w:r>
    </w:p>
    <w:p w14:paraId="65B6C79C">
      <w:pPr>
        <w:spacing w:line="360" w:lineRule="auto"/>
        <w:ind w:firstLine="480" w:firstLineChars="200"/>
        <w:rPr>
          <w:rFonts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项目用地规划符合《中国（广西）自由贸易试验区钦州港片区国土空间分区规划（2023-2035年）》要求</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rPr>
        <w:t>综上，</w:t>
      </w:r>
      <w:r>
        <w:rPr>
          <w:rFonts w:ascii="Times New Roman" w:hAnsi="Times New Roman" w:eastAsia="宋体" w:cs="Times New Roman"/>
          <w:color w:val="auto"/>
          <w:sz w:val="24"/>
          <w:szCs w:val="24"/>
          <w:u w:val="none" w:color="auto"/>
        </w:rPr>
        <w:t>项目</w:t>
      </w:r>
      <w:r>
        <w:rPr>
          <w:rFonts w:hint="eastAsia" w:ascii="Times New Roman" w:hAnsi="Times New Roman" w:eastAsia="宋体" w:cs="Times New Roman"/>
          <w:color w:val="auto"/>
          <w:sz w:val="24"/>
          <w:szCs w:val="24"/>
          <w:u w:val="none" w:color="auto"/>
        </w:rPr>
        <w:t>选址合理</w:t>
      </w:r>
      <w:r>
        <w:rPr>
          <w:rFonts w:ascii="Times New Roman" w:hAnsi="Times New Roman" w:eastAsia="宋体" w:cs="Times New Roman"/>
          <w:color w:val="auto"/>
          <w:sz w:val="24"/>
          <w:szCs w:val="24"/>
          <w:u w:val="none" w:color="auto"/>
        </w:rPr>
        <w:t>。</w:t>
      </w:r>
    </w:p>
    <w:p w14:paraId="5DF5C073">
      <w:pPr>
        <w:autoSpaceDE w:val="0"/>
        <w:autoSpaceDN w:val="0"/>
        <w:spacing w:line="360" w:lineRule="auto"/>
        <w:jc w:val="left"/>
        <w:outlineLvl w:val="1"/>
        <w:rPr>
          <w:rFonts w:ascii="Times New Roman" w:hAnsi="Times New Roman" w:eastAsia="宋体" w:cs="Times New Roman"/>
          <w:b/>
          <w:color w:val="auto"/>
          <w:kern w:val="0"/>
          <w:sz w:val="32"/>
          <w:szCs w:val="32"/>
          <w:u w:val="none" w:color="auto"/>
        </w:rPr>
      </w:pPr>
      <w:bookmarkStart w:id="359" w:name="_Toc13918"/>
      <w:r>
        <w:rPr>
          <w:rFonts w:hint="eastAsia" w:ascii="Times New Roman" w:hAnsi="Times New Roman" w:eastAsia="宋体" w:cs="Times New Roman"/>
          <w:b/>
          <w:color w:val="auto"/>
          <w:kern w:val="0"/>
          <w:sz w:val="32"/>
          <w:szCs w:val="32"/>
          <w:u w:val="none" w:color="auto"/>
        </w:rPr>
        <w:t>8</w:t>
      </w:r>
      <w:r>
        <w:rPr>
          <w:rFonts w:ascii="Times New Roman" w:hAnsi="Times New Roman" w:eastAsia="宋体" w:cs="Times New Roman"/>
          <w:b/>
          <w:color w:val="auto"/>
          <w:kern w:val="0"/>
          <w:sz w:val="32"/>
          <w:szCs w:val="32"/>
          <w:u w:val="none" w:color="auto"/>
        </w:rPr>
        <w:t>.</w:t>
      </w:r>
      <w:r>
        <w:rPr>
          <w:rFonts w:hint="eastAsia" w:ascii="Times New Roman" w:hAnsi="Times New Roman" w:eastAsia="宋体" w:cs="Times New Roman"/>
          <w:b/>
          <w:color w:val="auto"/>
          <w:kern w:val="0"/>
          <w:sz w:val="32"/>
          <w:szCs w:val="32"/>
          <w:u w:val="none" w:color="auto"/>
          <w:lang w:val="en-US" w:eastAsia="zh-CN"/>
        </w:rPr>
        <w:t>11</w:t>
      </w:r>
      <w:r>
        <w:rPr>
          <w:rFonts w:hint="eastAsia" w:ascii="Times New Roman" w:hAnsi="Times New Roman" w:eastAsia="宋体" w:cs="Times New Roman"/>
          <w:b/>
          <w:color w:val="auto"/>
          <w:kern w:val="0"/>
          <w:sz w:val="32"/>
          <w:szCs w:val="32"/>
          <w:u w:val="none" w:color="auto"/>
        </w:rPr>
        <w:t>综合</w:t>
      </w:r>
      <w:r>
        <w:rPr>
          <w:rFonts w:ascii="Times New Roman" w:hAnsi="Times New Roman" w:eastAsia="宋体" w:cs="Times New Roman"/>
          <w:b/>
          <w:color w:val="auto"/>
          <w:kern w:val="0"/>
          <w:sz w:val="32"/>
          <w:szCs w:val="32"/>
          <w:u w:val="none" w:color="auto"/>
        </w:rPr>
        <w:t>结论</w:t>
      </w:r>
      <w:bookmarkEnd w:id="357"/>
      <w:bookmarkEnd w:id="358"/>
      <w:bookmarkEnd w:id="359"/>
    </w:p>
    <w:p w14:paraId="60B668BC">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hint="eastAsia" w:ascii="Times New Roman" w:hAnsi="Times New Roman" w:eastAsia="宋体" w:cs="Times New Roman"/>
          <w:color w:val="auto"/>
          <w:kern w:val="0"/>
          <w:sz w:val="24"/>
          <w:szCs w:val="24"/>
          <w:u w:val="none" w:color="auto"/>
          <w:lang w:eastAsia="zh-CN"/>
        </w:rPr>
        <w:t>钦州锦峰海洋重装二期项目</w:t>
      </w:r>
      <w:r>
        <w:rPr>
          <w:rFonts w:ascii="Times New Roman" w:hAnsi="Times New Roman" w:eastAsia="宋体" w:cs="Times New Roman"/>
          <w:color w:val="auto"/>
          <w:kern w:val="0"/>
          <w:sz w:val="24"/>
          <w:szCs w:val="24"/>
          <w:u w:val="none" w:color="auto"/>
        </w:rPr>
        <w:t>位于</w:t>
      </w:r>
      <w:r>
        <w:rPr>
          <w:rFonts w:hint="eastAsia" w:ascii="Times New Roman" w:hAnsi="Times New Roman" w:eastAsia="宋体" w:cs="Times New Roman"/>
          <w:color w:val="auto"/>
          <w:kern w:val="0"/>
          <w:sz w:val="24"/>
          <w:szCs w:val="24"/>
          <w:u w:val="none" w:color="auto"/>
        </w:rPr>
        <w:t>中国(广西)自由贸易试验区钦州港片区大榄坪二号路西面、中船规划支路北侧和南侧</w:t>
      </w:r>
      <w:r>
        <w:rPr>
          <w:rFonts w:ascii="Times New Roman" w:hAnsi="Times New Roman" w:eastAsia="宋体" w:cs="Times New Roman"/>
          <w:color w:val="auto"/>
          <w:kern w:val="0"/>
          <w:sz w:val="24"/>
          <w:szCs w:val="24"/>
          <w:u w:val="none" w:color="auto"/>
        </w:rPr>
        <w:t>，</w:t>
      </w:r>
      <w:r>
        <w:rPr>
          <w:rFonts w:hint="eastAsia" w:ascii="Times New Roman" w:hAnsi="Times New Roman" w:eastAsia="宋体" w:cs="Times New Roman"/>
          <w:color w:val="auto"/>
          <w:kern w:val="0"/>
          <w:sz w:val="24"/>
          <w:szCs w:val="24"/>
          <w:u w:val="none" w:color="auto"/>
        </w:rPr>
        <w:t>项目</w:t>
      </w:r>
      <w:r>
        <w:rPr>
          <w:rFonts w:ascii="Times New Roman" w:hAnsi="Times New Roman" w:eastAsia="宋体" w:cs="Times New Roman"/>
          <w:color w:val="auto"/>
          <w:kern w:val="0"/>
          <w:sz w:val="24"/>
          <w:szCs w:val="24"/>
          <w:u w:val="none" w:color="auto"/>
        </w:rPr>
        <w:t>符合国家</w:t>
      </w:r>
      <w:r>
        <w:rPr>
          <w:rFonts w:hint="eastAsia" w:ascii="Times New Roman" w:hAnsi="Times New Roman" w:eastAsia="宋体" w:cs="Times New Roman"/>
          <w:color w:val="auto"/>
          <w:kern w:val="0"/>
          <w:sz w:val="24"/>
          <w:szCs w:val="24"/>
          <w:u w:val="none" w:color="auto"/>
        </w:rPr>
        <w:t>和地方</w:t>
      </w:r>
      <w:r>
        <w:rPr>
          <w:rFonts w:ascii="Times New Roman" w:hAnsi="Times New Roman" w:eastAsia="宋体" w:cs="Times New Roman"/>
          <w:color w:val="auto"/>
          <w:kern w:val="0"/>
          <w:sz w:val="24"/>
          <w:szCs w:val="24"/>
          <w:u w:val="none" w:color="auto"/>
        </w:rPr>
        <w:t>产业政策。</w:t>
      </w:r>
      <w:r>
        <w:rPr>
          <w:rFonts w:hint="eastAsia" w:ascii="Times New Roman" w:hAnsi="Times New Roman" w:eastAsia="宋体" w:cs="Times New Roman"/>
          <w:color w:val="auto"/>
          <w:kern w:val="0"/>
          <w:sz w:val="24"/>
          <w:szCs w:val="24"/>
          <w:u w:val="none" w:color="auto"/>
        </w:rPr>
        <w:t>项目建设满足当地环境质量底线、资源利用上线、生态保护红线及环境</w:t>
      </w:r>
      <w:r>
        <w:rPr>
          <w:rFonts w:hint="eastAsia" w:ascii="Times New Roman" w:hAnsi="Times New Roman" w:eastAsia="宋体" w:cs="Times New Roman"/>
          <w:color w:val="auto"/>
          <w:kern w:val="0"/>
          <w:sz w:val="24"/>
          <w:szCs w:val="24"/>
          <w:u w:val="none" w:color="auto"/>
          <w:lang w:eastAsia="zh-CN"/>
        </w:rPr>
        <w:t>准入</w:t>
      </w:r>
      <w:r>
        <w:rPr>
          <w:rFonts w:hint="eastAsia" w:ascii="Times New Roman" w:hAnsi="Times New Roman" w:eastAsia="宋体" w:cs="Times New Roman"/>
          <w:color w:val="auto"/>
          <w:kern w:val="0"/>
          <w:sz w:val="24"/>
          <w:szCs w:val="24"/>
          <w:u w:val="none" w:color="auto"/>
        </w:rPr>
        <w:t>负面清单；</w:t>
      </w:r>
      <w:r>
        <w:rPr>
          <w:rFonts w:ascii="Times New Roman" w:hAnsi="Times New Roman" w:eastAsia="宋体" w:cs="Times New Roman"/>
          <w:color w:val="auto"/>
          <w:kern w:val="0"/>
          <w:sz w:val="24"/>
          <w:szCs w:val="24"/>
          <w:u w:val="none" w:color="auto"/>
        </w:rPr>
        <w:t>项目拟采取的污染防治措施技术可行，污染物可以达标排放，固体废物可得到安全处置或综合利用，对环境的不利影响可控制在环境可接受程度。</w:t>
      </w:r>
    </w:p>
    <w:p w14:paraId="291ECEA6">
      <w:pPr>
        <w:tabs>
          <w:tab w:val="left" w:pos="1288"/>
        </w:tabs>
        <w:autoSpaceDE w:val="0"/>
        <w:autoSpaceDN w:val="0"/>
        <w:adjustRightInd w:val="0"/>
        <w:spacing w:line="360" w:lineRule="auto"/>
        <w:ind w:firstLine="480" w:firstLineChars="200"/>
        <w:jc w:val="left"/>
        <w:textAlignment w:val="baseline"/>
        <w:rPr>
          <w:rFonts w:ascii="Times New Roman" w:hAnsi="Times New Roman" w:eastAsia="宋体" w:cs="Times New Roman"/>
          <w:color w:val="auto"/>
          <w:kern w:val="0"/>
          <w:sz w:val="24"/>
          <w:szCs w:val="24"/>
          <w:u w:val="none" w:color="auto"/>
        </w:rPr>
      </w:pPr>
      <w:r>
        <w:rPr>
          <w:rFonts w:ascii="Times New Roman" w:hAnsi="Times New Roman" w:eastAsia="宋体" w:cs="Times New Roman"/>
          <w:color w:val="auto"/>
          <w:kern w:val="0"/>
          <w:sz w:val="24"/>
          <w:szCs w:val="24"/>
          <w:u w:val="none" w:color="auto"/>
        </w:rPr>
        <w:t>建设单位在工程建设和生产过程中只要切实做好环境保护“三同时”工作，认真落实报告书提出的各项污染防治措施、污染物达标排放要求情况下，项目建设对环境的影响不大。从环境保护角度考虑，该项目建设可行。</w:t>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方正书宋简体">
    <w:panose1 w:val="02000000000000000000"/>
    <w:charset w:val="86"/>
    <w:family w:val="auto"/>
    <w:pitch w:val="default"/>
    <w:sig w:usb0="A00002BF" w:usb1="184F6CFA" w:usb2="00000012" w:usb3="00000000" w:csb0="00040001"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新宋体">
    <w:panose1 w:val="02010609030101010101"/>
    <w:charset w:val="86"/>
    <w:family w:val="modern"/>
    <w:pitch w:val="default"/>
    <w:sig w:usb0="00000203" w:usb1="288F0000" w:usb2="00000006" w:usb3="00000000" w:csb0="00040001" w:csb1="00000000"/>
  </w:font>
  <w:font w:name="华文细黑">
    <w:panose1 w:val="02010600040101010101"/>
    <w:charset w:val="86"/>
    <w:family w:val="auto"/>
    <w:pitch w:val="default"/>
    <w:sig w:usb0="00000287" w:usb1="080F0000" w:usb2="00000000" w:usb3="00000000" w:csb0="0004009F" w:csb1="DFD70000"/>
  </w:font>
  <w:font w:name="Noto Sans CJK JP Regular">
    <w:altName w:val="新宋体"/>
    <w:panose1 w:val="00000000000000000000"/>
    <w:charset w:val="00"/>
    <w:family w:val="swiss"/>
    <w:pitch w:val="default"/>
    <w:sig w:usb0="00000000" w:usb1="00000000" w:usb2="00000000" w:usb3="00000000" w:csb0="00000000" w:csb1="00000000"/>
  </w:font>
  <w:font w:name="TimesNewRomanPSMT">
    <w:altName w:val="Times New Roman"/>
    <w:panose1 w:val="00000000000000000000"/>
    <w:charset w:val="86"/>
    <w:family w:val="auto"/>
    <w:pitch w:val="default"/>
    <w:sig w:usb0="00000000" w:usb1="00000000" w:usb2="00000010" w:usb3="00000000" w:csb0="0006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BB92B">
    <w:pPr>
      <w:pStyle w:val="25"/>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81671"/>
                          </w:sdtPr>
                          <w:sdtContent>
                            <w:p w14:paraId="0261764E">
                              <w:pPr>
                                <w:pStyle w:val="25"/>
                                <w:jc w:val="center"/>
                              </w:pPr>
                              <w:r>
                                <w:rPr>
                                  <w:lang w:val="zh-CN"/>
                                </w:rPr>
                                <w:fldChar w:fldCharType="begin"/>
                              </w:r>
                              <w:r>
                                <w:rPr>
                                  <w:lang w:val="zh-CN"/>
                                </w:rPr>
                                <w:instrText xml:space="preserve">PAGE   \* MERGEFORMAT</w:instrText>
                              </w:r>
                              <w:r>
                                <w:rPr>
                                  <w:lang w:val="zh-CN"/>
                                </w:rPr>
                                <w:fldChar w:fldCharType="separate"/>
                              </w:r>
                              <w:r>
                                <w:rPr>
                                  <w:lang w:val="zh-CN"/>
                                </w:rPr>
                                <w:t>III</w:t>
                              </w:r>
                              <w:r>
                                <w:rPr>
                                  <w:lang w:val="zh-CN"/>
                                </w:rPr>
                                <w:fldChar w:fldCharType="end"/>
                              </w:r>
                            </w:p>
                          </w:sdtContent>
                        </w:sdt>
                        <w:p w14:paraId="78BDB3B7"/>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sdt>
                    <w:sdtPr>
                      <w:id w:val="147481671"/>
                    </w:sdtPr>
                    <w:sdtContent>
                      <w:p w14:paraId="0261764E">
                        <w:pPr>
                          <w:pStyle w:val="25"/>
                          <w:jc w:val="center"/>
                        </w:pPr>
                        <w:r>
                          <w:rPr>
                            <w:lang w:val="zh-CN"/>
                          </w:rPr>
                          <w:fldChar w:fldCharType="begin"/>
                        </w:r>
                        <w:r>
                          <w:rPr>
                            <w:lang w:val="zh-CN"/>
                          </w:rPr>
                          <w:instrText xml:space="preserve">PAGE   \* MERGEFORMAT</w:instrText>
                        </w:r>
                        <w:r>
                          <w:rPr>
                            <w:lang w:val="zh-CN"/>
                          </w:rPr>
                          <w:fldChar w:fldCharType="separate"/>
                        </w:r>
                        <w:r>
                          <w:rPr>
                            <w:lang w:val="zh-CN"/>
                          </w:rPr>
                          <w:t>III</w:t>
                        </w:r>
                        <w:r>
                          <w:rPr>
                            <w:lang w:val="zh-CN"/>
                          </w:rPr>
                          <w:fldChar w:fldCharType="end"/>
                        </w:r>
                      </w:p>
                    </w:sdtContent>
                  </w:sdt>
                  <w:p w14:paraId="78BDB3B7"/>
                </w:txbxContent>
              </v:textbox>
            </v:shape>
          </w:pict>
        </mc:Fallback>
      </mc:AlternateContent>
    </w:r>
  </w:p>
  <w:p w14:paraId="04C24056">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9A35D">
    <w:pPr>
      <w:pStyle w:val="25"/>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8610E5">
                          <w:pPr>
                            <w:pStyle w:val="25"/>
                          </w:pPr>
                          <w:r>
                            <w:rPr>
                              <w:rFonts w:hint="eastAsia"/>
                            </w:rPr>
                            <w:fldChar w:fldCharType="begin"/>
                          </w:r>
                          <w:r>
                            <w:rPr>
                              <w:rFonts w:hint="eastAsia"/>
                            </w:rPr>
                            <w:instrText xml:space="preserve"> PAGE  \* MERGEFORMAT </w:instrText>
                          </w:r>
                          <w:r>
                            <w:rPr>
                              <w:rFonts w:hint="eastAsia"/>
                            </w:rPr>
                            <w:fldChar w:fldCharType="separate"/>
                          </w:r>
                          <w:r>
                            <w:rPr>
                              <w:rFonts w:hint="eastAsia"/>
                            </w:rPr>
                            <w:t>VIII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588610E5">
                    <w:pPr>
                      <w:pStyle w:val="25"/>
                    </w:pPr>
                    <w:r>
                      <w:rPr>
                        <w:rFonts w:hint="eastAsia"/>
                      </w:rPr>
                      <w:fldChar w:fldCharType="begin"/>
                    </w:r>
                    <w:r>
                      <w:rPr>
                        <w:rFonts w:hint="eastAsia"/>
                      </w:rPr>
                      <w:instrText xml:space="preserve"> PAGE  \* MERGEFORMAT </w:instrText>
                    </w:r>
                    <w:r>
                      <w:rPr>
                        <w:rFonts w:hint="eastAsia"/>
                      </w:rPr>
                      <w:fldChar w:fldCharType="separate"/>
                    </w:r>
                    <w:r>
                      <w:rPr>
                        <w:rFonts w:hint="eastAsia"/>
                      </w:rPr>
                      <w:t>VIII</w:t>
                    </w:r>
                    <w:r>
                      <w:rPr>
                        <w:rFonts w:hint="eastAsia"/>
                      </w:rPr>
                      <w:fldChar w:fldCharType="end"/>
                    </w:r>
                  </w:p>
                </w:txbxContent>
              </v:textbox>
            </v:shape>
          </w:pict>
        </mc:Fallback>
      </mc:AlternateContent>
    </w:r>
    <w:sdt>
      <w:sdtPr>
        <w:id w:val="16767294"/>
      </w:sdtPr>
      <w:sdtContent/>
    </w:sdt>
  </w:p>
  <w:p w14:paraId="69B56485">
    <w:pPr>
      <w:pStyle w:val="2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6BDBC">
    <w:pPr>
      <w:widowControl w:val="0"/>
      <w:tabs>
        <w:tab w:val="center" w:pos="4153"/>
        <w:tab w:val="right" w:pos="8306"/>
      </w:tabs>
      <w:snapToGrid w:val="0"/>
      <w:spacing w:line="360" w:lineRule="auto"/>
      <w:ind w:firstLine="360" w:firstLineChars="200"/>
      <w:jc w:val="center"/>
      <w:rPr>
        <w:rFonts w:ascii="Times New Roman" w:hAnsi="Times New Roman" w:eastAsia="宋体" w:cs="Times New Roman"/>
        <w:b/>
        <w:bCs/>
        <w:kern w:val="2"/>
        <w:sz w:val="18"/>
        <w:szCs w:val="18"/>
        <w:lang w:val="en-US" w:eastAsia="zh-CN" w:bidi="ar-SA"/>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5453646">
                          <w:pPr>
                            <w:pStyle w:val="25"/>
                          </w:pPr>
                          <w:r>
                            <w:fldChar w:fldCharType="begin"/>
                          </w:r>
                          <w:r>
                            <w:instrText xml:space="preserve"> PAGE  \* MERGEFORMAT </w:instrText>
                          </w:r>
                          <w:r>
                            <w:fldChar w:fldCharType="separate"/>
                          </w:r>
                          <w:r>
                            <w:t>82</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14:paraId="35453646">
                    <w:pPr>
                      <w:pStyle w:val="25"/>
                    </w:pPr>
                    <w:r>
                      <w:fldChar w:fldCharType="begin"/>
                    </w:r>
                    <w:r>
                      <w:instrText xml:space="preserve"> PAGE  \* MERGEFORMAT </w:instrText>
                    </w:r>
                    <w:r>
                      <w:fldChar w:fldCharType="separate"/>
                    </w:r>
                    <w:r>
                      <w:t>82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CBF8A">
    <w:pPr>
      <w:pStyle w:val="25"/>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553AB">
                          <w:pPr>
                            <w:pStyle w:val="25"/>
                          </w:pPr>
                          <w:r>
                            <w:fldChar w:fldCharType="begin"/>
                          </w:r>
                          <w:r>
                            <w:instrText xml:space="preserve"> PAGE  \* MERGEFORMAT </w:instrText>
                          </w:r>
                          <w:r>
                            <w:fldChar w:fldCharType="separate"/>
                          </w:r>
                          <w:r>
                            <w:t>179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NuWI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dNuWIzAgAAYwQAAA4AAAAAAAAAAQAgAAAAHwEAAGRycy9lMm9Eb2MueG1sUEsF&#10;BgAAAAAGAAYAWQEAAMQFAAAAAA==&#10;">
              <v:fill on="f" focussize="0,0"/>
              <v:stroke on="f" weight="0.5pt"/>
              <v:imagedata o:title=""/>
              <o:lock v:ext="edit" aspectratio="f"/>
              <v:textbox inset="0mm,0mm,0mm,0mm" style="mso-fit-shape-to-text:t;">
                <w:txbxContent>
                  <w:p w14:paraId="5EF553AB">
                    <w:pPr>
                      <w:pStyle w:val="25"/>
                    </w:pPr>
                    <w:r>
                      <w:fldChar w:fldCharType="begin"/>
                    </w:r>
                    <w:r>
                      <w:instrText xml:space="preserve"> PAGE  \* MERGEFORMAT </w:instrText>
                    </w:r>
                    <w:r>
                      <w:fldChar w:fldCharType="separate"/>
                    </w:r>
                    <w:r>
                      <w:t>179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4D15F2">
    <w:pPr>
      <w:widowControl w:val="0"/>
      <w:pBdr>
        <w:bottom w:val="none" w:color="auto" w:sz="0" w:space="0"/>
      </w:pBdr>
      <w:tabs>
        <w:tab w:val="center" w:pos="4153"/>
        <w:tab w:val="right" w:pos="8306"/>
      </w:tabs>
      <w:snapToGrid w:val="0"/>
      <w:spacing w:line="360" w:lineRule="auto"/>
      <w:ind w:firstLine="360" w:firstLineChars="200"/>
      <w:jc w:val="center"/>
      <w:rPr>
        <w:rFonts w:ascii="Times New Roman" w:hAnsi="Times New Roman" w:eastAsia="宋体" w:cs="Times New Roman"/>
        <w:kern w:val="2"/>
        <w:sz w:val="18"/>
        <w:szCs w:val="18"/>
        <w:lang w:val="en-US" w:eastAsia="zh-CN"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14B868">
    <w:pPr>
      <w:pStyle w:val="2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264F2B"/>
    <w:multiLevelType w:val="multilevel"/>
    <w:tmpl w:val="AD264F2B"/>
    <w:lvl w:ilvl="0" w:tentative="0">
      <w:start w:val="1"/>
      <w:numFmt w:val="decimal"/>
      <w:suff w:val="nothing"/>
      <w:lvlText w:val="%1"/>
      <w:lvlJc w:val="left"/>
      <w:pPr>
        <w:tabs>
          <w:tab w:val="left" w:pos="0"/>
        </w:tabs>
        <w:ind w:left="0" w:firstLine="0"/>
      </w:pPr>
      <w:rPr>
        <w:rFonts w:hint="default" w:eastAsia="黑体"/>
        <w:b/>
        <w:bCs/>
        <w:sz w:val="30"/>
        <w:szCs w:val="30"/>
      </w:rPr>
    </w:lvl>
    <w:lvl w:ilvl="1" w:tentative="0">
      <w:start w:val="1"/>
      <w:numFmt w:val="decimal"/>
      <w:suff w:val="space"/>
      <w:lvlText w:val="%1.%2"/>
      <w:lvlJc w:val="left"/>
      <w:pPr>
        <w:tabs>
          <w:tab w:val="left" w:pos="0"/>
        </w:tabs>
        <w:ind w:left="240" w:firstLine="0"/>
      </w:pPr>
      <w:rPr>
        <w:rFonts w:hint="default" w:eastAsia="黑体"/>
        <w:b/>
        <w:bCs/>
        <w:sz w:val="28"/>
        <w:szCs w:val="28"/>
      </w:rPr>
    </w:lvl>
    <w:lvl w:ilvl="2" w:tentative="0">
      <w:start w:val="1"/>
      <w:numFmt w:val="decimal"/>
      <w:suff w:val="space"/>
      <w:lvlText w:val="%1.%2.%3"/>
      <w:lvlJc w:val="left"/>
      <w:pPr>
        <w:tabs>
          <w:tab w:val="left" w:pos="0"/>
        </w:tabs>
        <w:ind w:left="0" w:firstLine="480"/>
      </w:pPr>
      <w:rPr>
        <w:rFonts w:hint="default" w:eastAsia="黑体"/>
        <w:b/>
        <w:bCs/>
        <w:sz w:val="24"/>
        <w:szCs w:val="24"/>
      </w:rPr>
    </w:lvl>
    <w:lvl w:ilvl="3" w:tentative="0">
      <w:start w:val="1"/>
      <w:numFmt w:val="decimal"/>
      <w:suff w:val="space"/>
      <w:lvlText w:val="%1.%2.%3.%4"/>
      <w:lvlJc w:val="left"/>
      <w:pPr>
        <w:ind w:left="0" w:firstLine="0"/>
      </w:pPr>
      <w:rPr>
        <w:rFonts w:hint="default"/>
        <w:b/>
        <w:bCs/>
        <w:sz w:val="24"/>
        <w:szCs w:val="24"/>
      </w:rPr>
    </w:lvl>
    <w:lvl w:ilvl="4" w:tentative="0">
      <w:start w:val="1"/>
      <w:numFmt w:val="decimal"/>
      <w:lvlRestart w:val="2"/>
      <w:suff w:val="space"/>
      <w:lvlText w:val="表%1.%2-%5"/>
      <w:lvlJc w:val="center"/>
      <w:pPr>
        <w:tabs>
          <w:tab w:val="left" w:pos="420"/>
        </w:tabs>
        <w:ind w:left="0" w:firstLine="0"/>
      </w:pPr>
      <w:rPr>
        <w:rFonts w:hint="default" w:ascii="Times New Roman" w:hAnsi="Times New Roman" w:cs="Times New Roman"/>
        <w:b/>
        <w:bCs/>
        <w:sz w:val="21"/>
        <w:szCs w:val="21"/>
      </w:rPr>
    </w:lvl>
    <w:lvl w:ilvl="5" w:tentative="0">
      <w:start w:val="1"/>
      <w:numFmt w:val="decimal"/>
      <w:lvlRestart w:val="2"/>
      <w:suff w:val="space"/>
      <w:lvlText w:val="图%1.%2-%6"/>
      <w:lvlJc w:val="center"/>
      <w:pPr>
        <w:tabs>
          <w:tab w:val="left" w:pos="420"/>
        </w:tabs>
        <w:ind w:left="0" w:firstLine="0"/>
      </w:pPr>
      <w:rPr>
        <w:rFonts w:hint="default" w:ascii="Times New Roman" w:hAnsi="Times New Roman" w:cs="Times New Roman"/>
        <w:b/>
        <w:bCs/>
        <w:sz w:val="21"/>
        <w:szCs w:val="21"/>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
    <w:nsid w:val="D8FBFD37"/>
    <w:multiLevelType w:val="multilevel"/>
    <w:tmpl w:val="D8FBFD37"/>
    <w:lvl w:ilvl="0" w:tentative="0">
      <w:start w:val="1"/>
      <w:numFmt w:val="decimal"/>
      <w:pStyle w:val="2"/>
      <w:suff w:val="space"/>
      <w:lvlText w:val="%1"/>
      <w:lvlJc w:val="left"/>
      <w:pPr>
        <w:tabs>
          <w:tab w:val="left" w:pos="420"/>
        </w:tabs>
        <w:ind w:left="432" w:hanging="432"/>
      </w:pPr>
      <w:rPr>
        <w:rFonts w:hint="default"/>
      </w:rPr>
    </w:lvl>
    <w:lvl w:ilvl="1" w:tentative="0">
      <w:start w:val="1"/>
      <w:numFmt w:val="decimal"/>
      <w:pStyle w:val="3"/>
      <w:suff w:val="space"/>
      <w:lvlText w:val="%1.%2"/>
      <w:lvlJc w:val="left"/>
      <w:pPr>
        <w:tabs>
          <w:tab w:val="left" w:pos="420"/>
        </w:tabs>
        <w:ind w:left="0" w:leftChars="0" w:firstLine="0" w:firstLineChars="0"/>
      </w:pPr>
      <w:rPr>
        <w:rFonts w:hint="default"/>
      </w:rPr>
    </w:lvl>
    <w:lvl w:ilvl="2" w:tentative="0">
      <w:start w:val="1"/>
      <w:numFmt w:val="decimal"/>
      <w:pStyle w:val="4"/>
      <w:suff w:val="space"/>
      <w:lvlText w:val="%1.%2.%3"/>
      <w:lvlJc w:val="left"/>
      <w:pPr>
        <w:tabs>
          <w:tab w:val="left" w:pos="420"/>
        </w:tabs>
        <w:ind w:left="0" w:leftChars="0" w:firstLine="0" w:firstLineChars="0"/>
      </w:pPr>
      <w:rPr>
        <w:rFonts w:hint="default"/>
      </w:rPr>
    </w:lvl>
    <w:lvl w:ilvl="3" w:tentative="0">
      <w:start w:val="1"/>
      <w:numFmt w:val="decimal"/>
      <w:pStyle w:val="5"/>
      <w:suff w:val="space"/>
      <w:lvlText w:val="%1.%2.%3.%4"/>
      <w:lvlJc w:val="left"/>
      <w:pPr>
        <w:tabs>
          <w:tab w:val="left" w:pos="420"/>
        </w:tabs>
        <w:ind w:left="0" w:leftChars="0" w:firstLine="0" w:firstLineChars="0"/>
      </w:pPr>
      <w:rPr>
        <w:rFonts w:hint="default"/>
      </w:rPr>
    </w:lvl>
    <w:lvl w:ilvl="4" w:tentative="0">
      <w:start w:val="1"/>
      <w:numFmt w:val="decimal"/>
      <w:lvlRestart w:val="2"/>
      <w:pStyle w:val="6"/>
      <w:suff w:val="space"/>
      <w:lvlText w:val="表%1.%2-%5"/>
      <w:lvlJc w:val="center"/>
      <w:pPr>
        <w:tabs>
          <w:tab w:val="left" w:pos="420"/>
        </w:tabs>
        <w:ind w:left="0" w:leftChars="0" w:firstLine="0" w:firstLineChars="0"/>
      </w:pPr>
      <w:rPr>
        <w:rFonts w:hint="default"/>
      </w:rPr>
    </w:lvl>
    <w:lvl w:ilvl="5" w:tentative="0">
      <w:start w:val="1"/>
      <w:numFmt w:val="decimal"/>
      <w:lvlRestart w:val="2"/>
      <w:pStyle w:val="7"/>
      <w:suff w:val="space"/>
      <w:lvlText w:val="图%1.%2-%6"/>
      <w:lvlJc w:val="center"/>
      <w:pPr>
        <w:tabs>
          <w:tab w:val="left" w:pos="420"/>
        </w:tabs>
        <w:ind w:left="0" w:leftChars="0" w:firstLine="0" w:firstLineChars="0"/>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2">
    <w:nsid w:val="D95F7332"/>
    <w:multiLevelType w:val="singleLevel"/>
    <w:tmpl w:val="D95F7332"/>
    <w:lvl w:ilvl="0" w:tentative="0">
      <w:start w:val="1"/>
      <w:numFmt w:val="decimal"/>
      <w:suff w:val="nothing"/>
      <w:lvlText w:val="（%1）"/>
      <w:lvlJc w:val="left"/>
    </w:lvl>
  </w:abstractNum>
  <w:abstractNum w:abstractNumId="3">
    <w:nsid w:val="E74E26A4"/>
    <w:multiLevelType w:val="singleLevel"/>
    <w:tmpl w:val="E74E26A4"/>
    <w:lvl w:ilvl="0" w:tentative="0">
      <w:start w:val="1"/>
      <w:numFmt w:val="decimal"/>
      <w:suff w:val="nothing"/>
      <w:lvlText w:val="（%1）"/>
      <w:lvlJc w:val="left"/>
    </w:lvl>
  </w:abstractNum>
  <w:abstractNum w:abstractNumId="4">
    <w:nsid w:val="00000022"/>
    <w:multiLevelType w:val="multilevel"/>
    <w:tmpl w:val="00000022"/>
    <w:lvl w:ilvl="0" w:tentative="0">
      <w:start w:val="1"/>
      <w:numFmt w:val="decimal"/>
      <w:pStyle w:val="87"/>
      <w:lvlText w:val="%1."/>
      <w:lvlJc w:val="center"/>
      <w:pPr>
        <w:tabs>
          <w:tab w:val="left" w:pos="480"/>
        </w:tabs>
        <w:ind w:left="764" w:firstLine="0"/>
      </w:pPr>
      <w:rPr>
        <w:rFonts w:hint="eastAsia"/>
        <w:spacing w:val="0"/>
        <w:w w:val="100"/>
        <w:position w:val="0"/>
      </w:rPr>
    </w:lvl>
    <w:lvl w:ilvl="1" w:tentative="0">
      <w:start w:val="1"/>
      <w:numFmt w:val="decimal"/>
      <w:lvlText w:val="%2."/>
      <w:lvlJc w:val="left"/>
      <w:pPr>
        <w:tabs>
          <w:tab w:val="left" w:pos="561"/>
        </w:tabs>
        <w:ind w:left="845" w:hanging="420"/>
      </w:pPr>
      <w:rPr>
        <w:rFonts w:hint="eastAsia"/>
        <w:color w:val="000000"/>
        <w:spacing w:val="0"/>
        <w:w w:val="100"/>
        <w:position w:val="0"/>
      </w:rPr>
    </w:lvl>
    <w:lvl w:ilvl="2" w:tentative="0">
      <w:start w:val="1"/>
      <w:numFmt w:val="lowerRoman"/>
      <w:lvlText w:val="%3."/>
      <w:lvlJc w:val="right"/>
      <w:pPr>
        <w:tabs>
          <w:tab w:val="left" w:pos="1260"/>
        </w:tabs>
        <w:ind w:left="1260" w:hanging="420"/>
      </w:pPr>
      <w:rPr>
        <w:rFonts w:hint="eastAsia"/>
      </w:rPr>
    </w:lvl>
    <w:lvl w:ilvl="3" w:tentative="0">
      <w:start w:val="1"/>
      <w:numFmt w:val="decimal"/>
      <w:lvlText w:val="%4."/>
      <w:lvlJc w:val="left"/>
      <w:pPr>
        <w:tabs>
          <w:tab w:val="left" w:pos="1680"/>
        </w:tabs>
        <w:ind w:left="1680" w:hanging="420"/>
      </w:pPr>
      <w:rPr>
        <w:rFonts w:hint="eastAsia"/>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abstractNum w:abstractNumId="5">
    <w:nsid w:val="02EA7DE5"/>
    <w:multiLevelType w:val="multilevel"/>
    <w:tmpl w:val="02EA7DE5"/>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8F13A3D"/>
    <w:multiLevelType w:val="multilevel"/>
    <w:tmpl w:val="08F13A3D"/>
    <w:lvl w:ilvl="0" w:tentative="0">
      <w:start w:val="1"/>
      <w:numFmt w:val="decimal"/>
      <w:pStyle w:val="105"/>
      <w:lvlText w:val="表8-%1"/>
      <w:lvlJc w:val="center"/>
      <w:pPr>
        <w:ind w:left="902" w:hanging="420"/>
      </w:pPr>
      <w:rPr>
        <w:rFonts w:hint="default" w:ascii="Times New Roman" w:hAnsi="Times New Roman" w:cs="Times New Roman"/>
        <w:b/>
        <w:sz w:val="21"/>
        <w:szCs w:val="21"/>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7">
    <w:nsid w:val="0BE372EC"/>
    <w:multiLevelType w:val="multilevel"/>
    <w:tmpl w:val="0BE372EC"/>
    <w:lvl w:ilvl="0" w:tentative="0">
      <w:start w:val="1"/>
      <w:numFmt w:val="decimal"/>
      <w:suff w:val="space"/>
      <w:lvlText w:val="%1"/>
      <w:lvlJc w:val="left"/>
      <w:pPr>
        <w:ind w:left="0" w:firstLine="0"/>
      </w:pPr>
      <w:rPr>
        <w:rFonts w:hint="eastAsia" w:ascii="Times New Roman" w:hAnsi="Times New Roman"/>
        <w:b w:val="0"/>
        <w:bCs w:val="0"/>
        <w:i w:val="0"/>
        <w:iCs w:val="0"/>
        <w:caps w:val="0"/>
        <w:smallCaps w:val="0"/>
        <w:strike w:val="0"/>
        <w:dstrike w:val="0"/>
        <w:vanish w:val="0"/>
        <w:color w:val="000000"/>
        <w:spacing w:val="0"/>
        <w:position w:val="0"/>
        <w:u w:val="none"/>
        <w:vertAlign w:val="baseline"/>
      </w:rPr>
    </w:lvl>
    <w:lvl w:ilvl="1" w:tentative="0">
      <w:start w:val="1"/>
      <w:numFmt w:val="decimal"/>
      <w:suff w:val="space"/>
      <w:lvlText w:val="%1.%2"/>
      <w:lvlJc w:val="left"/>
      <w:pPr>
        <w:ind w:left="709" w:firstLine="0"/>
      </w:pPr>
      <w:rPr>
        <w:rFonts w:hint="eastAsia" w:ascii="Times New Roman" w:hAnsi="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426" w:firstLine="0"/>
      </w:pPr>
      <w:rPr>
        <w:rFonts w:hint="eastAsia" w:ascii="Times New Roman" w:hAnsi="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suff w:val="space"/>
      <w:lvlText w:val="%1.%2.%3.%4"/>
      <w:lvlJc w:val="left"/>
      <w:pPr>
        <w:ind w:left="0" w:firstLine="0"/>
      </w:pPr>
      <w:rPr>
        <w:rFonts w:hint="eastAsia" w:ascii="Times New Roman" w:hAnsi="Times New Roman"/>
        <w:b w:val="0"/>
        <w:bCs w:val="0"/>
        <w:i w:val="0"/>
        <w:iCs w:val="0"/>
        <w:caps w:val="0"/>
        <w:smallCaps w:val="0"/>
        <w:strike w:val="0"/>
        <w:dstrike w:val="0"/>
        <w:vanish w:val="0"/>
        <w:color w:val="000000"/>
        <w:spacing w:val="0"/>
        <w:position w:val="0"/>
        <w:sz w:val="24"/>
        <w:szCs w:val="24"/>
        <w:u w:val="none"/>
        <w:vertAlign w:val="baseline"/>
      </w:rPr>
    </w:lvl>
    <w:lvl w:ilvl="4" w:tentative="0">
      <w:start w:val="1"/>
      <w:numFmt w:val="decimal"/>
      <w:lvlRestart w:val="2"/>
      <w:pStyle w:val="55"/>
      <w:suff w:val="space"/>
      <w:lvlText w:val="表%1.%2-%5"/>
      <w:lvlJc w:val="center"/>
      <w:pPr>
        <w:ind w:left="5280" w:firstLine="0"/>
      </w:pPr>
      <w:rPr>
        <w:rFonts w:hint="default" w:ascii="Times New Roman" w:hAnsi="Times New Roman" w:eastAsia="宋体" w:cs="Times New Roman"/>
        <w:b/>
        <w:bCs w:val="0"/>
        <w:i w:val="0"/>
        <w:iCs w:val="0"/>
        <w:caps w:val="0"/>
        <w:smallCaps w:val="0"/>
        <w:strike w:val="0"/>
        <w:dstrike w:val="0"/>
        <w:vanish w:val="0"/>
        <w:color w:val="000000"/>
        <w:spacing w:val="0"/>
        <w:position w:val="0"/>
        <w:sz w:val="21"/>
        <w:u w:val="none"/>
        <w:vertAlign w:val="baseline"/>
        <w:lang w:val="en-US"/>
      </w:rPr>
    </w:lvl>
    <w:lvl w:ilvl="5" w:tentative="0">
      <w:start w:val="1"/>
      <w:numFmt w:val="decimal"/>
      <w:lvlRestart w:val="2"/>
      <w:suff w:val="space"/>
      <w:lvlText w:val="图%1.%2-%6"/>
      <w:lvlJc w:val="center"/>
      <w:pPr>
        <w:ind w:left="5104" w:firstLine="0"/>
      </w:pPr>
      <w:rPr>
        <w:rFonts w:hint="default" w:ascii="Times New Roman" w:hAnsi="Times New Roman" w:eastAsia="宋体"/>
        <w:b/>
        <w:bCs w:val="0"/>
        <w:i w:val="0"/>
        <w:iCs w:val="0"/>
        <w:caps w:val="0"/>
        <w:smallCaps w:val="0"/>
        <w:strike w:val="0"/>
        <w:dstrike w:val="0"/>
        <w:vanish w:val="0"/>
        <w:color w:val="000000"/>
        <w:spacing w:val="0"/>
        <w:position w:val="0"/>
        <w:sz w:val="21"/>
        <w:u w:val="none"/>
        <w:vertAlign w:val="baseline"/>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1E224804"/>
    <w:multiLevelType w:val="multilevel"/>
    <w:tmpl w:val="1E224804"/>
    <w:lvl w:ilvl="0" w:tentative="0">
      <w:start w:val="1"/>
      <w:numFmt w:val="decimal"/>
      <w:lvlText w:val="%1."/>
      <w:lvlJc w:val="center"/>
      <w:pPr>
        <w:tabs>
          <w:tab w:val="left" w:pos="480"/>
        </w:tabs>
        <w:ind w:left="764" w:firstLine="0"/>
      </w:pPr>
      <w:rPr>
        <w:rFonts w:hint="eastAsia"/>
        <w:spacing w:val="0"/>
        <w:w w:val="100"/>
        <w:position w:val="0"/>
      </w:rPr>
    </w:lvl>
    <w:lvl w:ilvl="1" w:tentative="0">
      <w:start w:val="1"/>
      <w:numFmt w:val="decimal"/>
      <w:lvlText w:val="%2."/>
      <w:lvlJc w:val="left"/>
      <w:pPr>
        <w:tabs>
          <w:tab w:val="left" w:pos="561"/>
        </w:tabs>
        <w:ind w:left="845" w:hanging="420"/>
      </w:pPr>
      <w:rPr>
        <w:rFonts w:hint="eastAsia"/>
        <w:color w:val="000000"/>
        <w:spacing w:val="0"/>
        <w:w w:val="100"/>
        <w:position w:val="0"/>
      </w:rPr>
    </w:lvl>
    <w:lvl w:ilvl="2" w:tentative="0">
      <w:start w:val="1"/>
      <w:numFmt w:val="lowerRoman"/>
      <w:lvlText w:val="%3."/>
      <w:lvlJc w:val="right"/>
      <w:pPr>
        <w:tabs>
          <w:tab w:val="left" w:pos="1260"/>
        </w:tabs>
        <w:ind w:left="1260" w:hanging="420"/>
      </w:pPr>
      <w:rPr>
        <w:rFonts w:hint="eastAsia"/>
      </w:rPr>
    </w:lvl>
    <w:lvl w:ilvl="3" w:tentative="0">
      <w:start w:val="1"/>
      <w:numFmt w:val="decimal"/>
      <w:lvlText w:val="%4."/>
      <w:lvlJc w:val="left"/>
      <w:pPr>
        <w:tabs>
          <w:tab w:val="left" w:pos="1680"/>
        </w:tabs>
        <w:ind w:left="1680" w:hanging="420"/>
      </w:pPr>
      <w:rPr>
        <w:rFonts w:hint="eastAsia"/>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abstractNum w:abstractNumId="9">
    <w:nsid w:val="3433A1C4"/>
    <w:multiLevelType w:val="singleLevel"/>
    <w:tmpl w:val="3433A1C4"/>
    <w:lvl w:ilvl="0" w:tentative="0">
      <w:start w:val="1"/>
      <w:numFmt w:val="decimal"/>
      <w:suff w:val="nothing"/>
      <w:lvlText w:val="（%1）"/>
      <w:lvlJc w:val="left"/>
    </w:lvl>
  </w:abstractNum>
  <w:abstractNum w:abstractNumId="10">
    <w:nsid w:val="40D8538F"/>
    <w:multiLevelType w:val="multilevel"/>
    <w:tmpl w:val="40D8538F"/>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E130287"/>
    <w:multiLevelType w:val="multilevel"/>
    <w:tmpl w:val="4E130287"/>
    <w:lvl w:ilvl="0" w:tentative="0">
      <w:start w:val="1"/>
      <w:numFmt w:val="decimal"/>
      <w:lvlText w:val="图4.2-%1"/>
      <w:lvlJc w:val="left"/>
      <w:pPr>
        <w:ind w:left="420" w:hanging="420"/>
      </w:pPr>
      <w:rPr>
        <w:rFonts w:hint="default" w:ascii="Arial" w:hAnsi="Arial" w:cs="Arial" w:eastAsiaTheme="minorEastAsia"/>
        <w:b/>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4FA36465"/>
    <w:multiLevelType w:val="multilevel"/>
    <w:tmpl w:val="4FA36465"/>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57103C94"/>
    <w:multiLevelType w:val="multilevel"/>
    <w:tmpl w:val="57103C94"/>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4">
    <w:nsid w:val="575E026D"/>
    <w:multiLevelType w:val="multilevel"/>
    <w:tmpl w:val="575E026D"/>
    <w:lvl w:ilvl="0" w:tentative="0">
      <w:start w:val="1"/>
      <w:numFmt w:val="decimal"/>
      <w:lvlText w:val="%1"/>
      <w:lvlJc w:val="left"/>
      <w:pPr>
        <w:ind w:left="426" w:hanging="284"/>
      </w:pPr>
      <w:rPr>
        <w:rFonts w:hint="eastAsia"/>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5">
    <w:nsid w:val="5A527AC6"/>
    <w:multiLevelType w:val="multilevel"/>
    <w:tmpl w:val="5A527AC6"/>
    <w:lvl w:ilvl="0" w:tentative="0">
      <w:start w:val="1"/>
      <w:numFmt w:val="decimal"/>
      <w:lvlText w:val="%1."/>
      <w:lvlJc w:val="center"/>
      <w:pPr>
        <w:tabs>
          <w:tab w:val="left" w:pos="480"/>
        </w:tabs>
        <w:ind w:left="764" w:firstLine="0"/>
      </w:pPr>
      <w:rPr>
        <w:rFonts w:hint="eastAsia"/>
        <w:spacing w:val="0"/>
        <w:w w:val="100"/>
        <w:position w:val="0"/>
      </w:rPr>
    </w:lvl>
    <w:lvl w:ilvl="1" w:tentative="0">
      <w:start w:val="1"/>
      <w:numFmt w:val="decimal"/>
      <w:lvlText w:val="%2."/>
      <w:lvlJc w:val="left"/>
      <w:pPr>
        <w:tabs>
          <w:tab w:val="left" w:pos="561"/>
        </w:tabs>
        <w:ind w:left="845" w:hanging="420"/>
      </w:pPr>
      <w:rPr>
        <w:rFonts w:hint="eastAsia"/>
        <w:color w:val="000000"/>
        <w:spacing w:val="0"/>
        <w:w w:val="100"/>
        <w:position w:val="0"/>
      </w:rPr>
    </w:lvl>
    <w:lvl w:ilvl="2" w:tentative="0">
      <w:start w:val="1"/>
      <w:numFmt w:val="lowerRoman"/>
      <w:lvlText w:val="%3."/>
      <w:lvlJc w:val="right"/>
      <w:pPr>
        <w:tabs>
          <w:tab w:val="left" w:pos="1260"/>
        </w:tabs>
        <w:ind w:left="1260" w:hanging="420"/>
      </w:pPr>
      <w:rPr>
        <w:rFonts w:hint="eastAsia"/>
      </w:rPr>
    </w:lvl>
    <w:lvl w:ilvl="3" w:tentative="0">
      <w:start w:val="1"/>
      <w:numFmt w:val="decimal"/>
      <w:lvlText w:val="%4."/>
      <w:lvlJc w:val="left"/>
      <w:pPr>
        <w:tabs>
          <w:tab w:val="left" w:pos="1680"/>
        </w:tabs>
        <w:ind w:left="1680" w:hanging="420"/>
      </w:pPr>
      <w:rPr>
        <w:rFonts w:hint="eastAsia"/>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abstractNum w:abstractNumId="16">
    <w:nsid w:val="5F8F334E"/>
    <w:multiLevelType w:val="multilevel"/>
    <w:tmpl w:val="5F8F334E"/>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60CF02E2"/>
    <w:multiLevelType w:val="singleLevel"/>
    <w:tmpl w:val="60CF02E2"/>
    <w:lvl w:ilvl="0" w:tentative="0">
      <w:start w:val="1"/>
      <w:numFmt w:val="decimal"/>
      <w:suff w:val="nothing"/>
      <w:lvlText w:val="（%1）"/>
      <w:lvlJc w:val="left"/>
      <w:pPr>
        <w:ind w:left="-60"/>
      </w:pPr>
    </w:lvl>
  </w:abstractNum>
  <w:abstractNum w:abstractNumId="18">
    <w:nsid w:val="7D09127E"/>
    <w:multiLevelType w:val="multilevel"/>
    <w:tmpl w:val="7D09127E"/>
    <w:lvl w:ilvl="0" w:tentative="0">
      <w:start w:val="1"/>
      <w:numFmt w:val="decimal"/>
      <w:lvlText w:val="%1."/>
      <w:lvlJc w:val="center"/>
      <w:pPr>
        <w:tabs>
          <w:tab w:val="left" w:pos="480"/>
        </w:tabs>
        <w:ind w:left="764" w:firstLine="0"/>
      </w:pPr>
      <w:rPr>
        <w:rFonts w:hint="eastAsia"/>
        <w:spacing w:val="0"/>
        <w:w w:val="100"/>
        <w:position w:val="0"/>
      </w:rPr>
    </w:lvl>
    <w:lvl w:ilvl="1" w:tentative="0">
      <w:start w:val="1"/>
      <w:numFmt w:val="decimal"/>
      <w:lvlText w:val="%2."/>
      <w:lvlJc w:val="left"/>
      <w:pPr>
        <w:tabs>
          <w:tab w:val="left" w:pos="561"/>
        </w:tabs>
        <w:ind w:left="845" w:hanging="420"/>
      </w:pPr>
      <w:rPr>
        <w:rFonts w:hint="eastAsia"/>
        <w:color w:val="000000"/>
        <w:spacing w:val="0"/>
        <w:w w:val="100"/>
        <w:position w:val="0"/>
      </w:rPr>
    </w:lvl>
    <w:lvl w:ilvl="2" w:tentative="0">
      <w:start w:val="1"/>
      <w:numFmt w:val="lowerRoman"/>
      <w:lvlText w:val="%3."/>
      <w:lvlJc w:val="right"/>
      <w:pPr>
        <w:tabs>
          <w:tab w:val="left" w:pos="1260"/>
        </w:tabs>
        <w:ind w:left="1260" w:hanging="420"/>
      </w:pPr>
      <w:rPr>
        <w:rFonts w:hint="eastAsia"/>
      </w:rPr>
    </w:lvl>
    <w:lvl w:ilvl="3" w:tentative="0">
      <w:start w:val="1"/>
      <w:numFmt w:val="decimal"/>
      <w:lvlText w:val="%4."/>
      <w:lvlJc w:val="left"/>
      <w:pPr>
        <w:tabs>
          <w:tab w:val="left" w:pos="1680"/>
        </w:tabs>
        <w:ind w:left="1680" w:hanging="420"/>
      </w:pPr>
      <w:rPr>
        <w:rFonts w:hint="eastAsia"/>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num w:numId="1">
    <w:abstractNumId w:val="1"/>
  </w:num>
  <w:num w:numId="2">
    <w:abstractNumId w:val="7"/>
  </w:num>
  <w:num w:numId="3">
    <w:abstractNumId w:val="4"/>
  </w:num>
  <w:num w:numId="4">
    <w:abstractNumId w:val="6"/>
  </w:num>
  <w:num w:numId="5">
    <w:abstractNumId w:val="8"/>
  </w:num>
  <w:num w:numId="6">
    <w:abstractNumId w:val="15"/>
  </w:num>
  <w:num w:numId="7">
    <w:abstractNumId w:val="18"/>
  </w:num>
  <w:num w:numId="8">
    <w:abstractNumId w:val="14"/>
  </w:num>
  <w:num w:numId="9">
    <w:abstractNumId w:val="5"/>
  </w:num>
  <w:num w:numId="10">
    <w:abstractNumId w:val="17"/>
  </w:num>
  <w:num w:numId="11">
    <w:abstractNumId w:val="9"/>
  </w:num>
  <w:num w:numId="12">
    <w:abstractNumId w:val="13"/>
  </w:num>
  <w:num w:numId="13">
    <w:abstractNumId w:val="11"/>
  </w:num>
  <w:num w:numId="14">
    <w:abstractNumId w:val="2"/>
  </w:num>
  <w:num w:numId="15">
    <w:abstractNumId w:val="12"/>
  </w:num>
  <w:num w:numId="16">
    <w:abstractNumId w:val="16"/>
  </w:num>
  <w:num w:numId="17">
    <w:abstractNumId w:val="10"/>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footnoteLayoutLikeWW8/>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ViY2JkMjU3NGYzZTEwMzZmMGFkZWViYmNkYWU3NDIifQ=="/>
  </w:docVars>
  <w:rsids>
    <w:rsidRoot w:val="00172A27"/>
    <w:rsid w:val="00001C0F"/>
    <w:rsid w:val="00001C36"/>
    <w:rsid w:val="00001DD1"/>
    <w:rsid w:val="000045E7"/>
    <w:rsid w:val="00005048"/>
    <w:rsid w:val="00005534"/>
    <w:rsid w:val="00007829"/>
    <w:rsid w:val="0001065E"/>
    <w:rsid w:val="000118EE"/>
    <w:rsid w:val="00012445"/>
    <w:rsid w:val="0001286E"/>
    <w:rsid w:val="00012B75"/>
    <w:rsid w:val="00013478"/>
    <w:rsid w:val="000165DE"/>
    <w:rsid w:val="00017A68"/>
    <w:rsid w:val="00020A4D"/>
    <w:rsid w:val="000221E5"/>
    <w:rsid w:val="00023E30"/>
    <w:rsid w:val="00023FB2"/>
    <w:rsid w:val="00024CF2"/>
    <w:rsid w:val="00024D2B"/>
    <w:rsid w:val="00033096"/>
    <w:rsid w:val="000332D7"/>
    <w:rsid w:val="0003366D"/>
    <w:rsid w:val="00034D2B"/>
    <w:rsid w:val="000367AA"/>
    <w:rsid w:val="000371CC"/>
    <w:rsid w:val="00037786"/>
    <w:rsid w:val="0004021B"/>
    <w:rsid w:val="00040785"/>
    <w:rsid w:val="00040E7A"/>
    <w:rsid w:val="00043DF2"/>
    <w:rsid w:val="00044AC7"/>
    <w:rsid w:val="000456D0"/>
    <w:rsid w:val="00046901"/>
    <w:rsid w:val="00046EB6"/>
    <w:rsid w:val="0004751D"/>
    <w:rsid w:val="000475D3"/>
    <w:rsid w:val="0005369F"/>
    <w:rsid w:val="00053967"/>
    <w:rsid w:val="0005413B"/>
    <w:rsid w:val="00055FBA"/>
    <w:rsid w:val="0005627D"/>
    <w:rsid w:val="0005635E"/>
    <w:rsid w:val="0005744D"/>
    <w:rsid w:val="000659B5"/>
    <w:rsid w:val="00066683"/>
    <w:rsid w:val="00067DA9"/>
    <w:rsid w:val="0007052A"/>
    <w:rsid w:val="00070AE0"/>
    <w:rsid w:val="0007244D"/>
    <w:rsid w:val="000726B4"/>
    <w:rsid w:val="00074338"/>
    <w:rsid w:val="000768AF"/>
    <w:rsid w:val="00076BA1"/>
    <w:rsid w:val="00077138"/>
    <w:rsid w:val="00077989"/>
    <w:rsid w:val="00077BC1"/>
    <w:rsid w:val="00077CA0"/>
    <w:rsid w:val="00080552"/>
    <w:rsid w:val="00080B5D"/>
    <w:rsid w:val="00080B77"/>
    <w:rsid w:val="00080EE4"/>
    <w:rsid w:val="00081156"/>
    <w:rsid w:val="00081309"/>
    <w:rsid w:val="000824E2"/>
    <w:rsid w:val="000826F9"/>
    <w:rsid w:val="000859DA"/>
    <w:rsid w:val="0008706A"/>
    <w:rsid w:val="00087FB4"/>
    <w:rsid w:val="0009035B"/>
    <w:rsid w:val="00093590"/>
    <w:rsid w:val="00094B63"/>
    <w:rsid w:val="00095660"/>
    <w:rsid w:val="000A1307"/>
    <w:rsid w:val="000A415B"/>
    <w:rsid w:val="000A4DC6"/>
    <w:rsid w:val="000A4E34"/>
    <w:rsid w:val="000A4E7B"/>
    <w:rsid w:val="000A6103"/>
    <w:rsid w:val="000B0932"/>
    <w:rsid w:val="000B2D7B"/>
    <w:rsid w:val="000B35DC"/>
    <w:rsid w:val="000B3EF4"/>
    <w:rsid w:val="000B5ED8"/>
    <w:rsid w:val="000B76C7"/>
    <w:rsid w:val="000C0FB2"/>
    <w:rsid w:val="000C1034"/>
    <w:rsid w:val="000C10D8"/>
    <w:rsid w:val="000C1339"/>
    <w:rsid w:val="000C1517"/>
    <w:rsid w:val="000C3E0B"/>
    <w:rsid w:val="000C4BE1"/>
    <w:rsid w:val="000C4CB0"/>
    <w:rsid w:val="000C53DF"/>
    <w:rsid w:val="000C5A9C"/>
    <w:rsid w:val="000C7578"/>
    <w:rsid w:val="000D0FC4"/>
    <w:rsid w:val="000D1D19"/>
    <w:rsid w:val="000D324C"/>
    <w:rsid w:val="000D356D"/>
    <w:rsid w:val="000D44E3"/>
    <w:rsid w:val="000D51A0"/>
    <w:rsid w:val="000D5F72"/>
    <w:rsid w:val="000D65EB"/>
    <w:rsid w:val="000D6784"/>
    <w:rsid w:val="000D6B23"/>
    <w:rsid w:val="000D767D"/>
    <w:rsid w:val="000D7E64"/>
    <w:rsid w:val="000E0F71"/>
    <w:rsid w:val="000E4EDC"/>
    <w:rsid w:val="000E62EF"/>
    <w:rsid w:val="000F0790"/>
    <w:rsid w:val="000F190E"/>
    <w:rsid w:val="000F357D"/>
    <w:rsid w:val="000F3FD8"/>
    <w:rsid w:val="000F55A1"/>
    <w:rsid w:val="000F6FF1"/>
    <w:rsid w:val="00100464"/>
    <w:rsid w:val="0010207F"/>
    <w:rsid w:val="00102096"/>
    <w:rsid w:val="0010335A"/>
    <w:rsid w:val="001035A4"/>
    <w:rsid w:val="001042A6"/>
    <w:rsid w:val="001050D4"/>
    <w:rsid w:val="00110520"/>
    <w:rsid w:val="00111CDF"/>
    <w:rsid w:val="00112A8C"/>
    <w:rsid w:val="00113369"/>
    <w:rsid w:val="00113919"/>
    <w:rsid w:val="00114A54"/>
    <w:rsid w:val="00114C2C"/>
    <w:rsid w:val="00115CD2"/>
    <w:rsid w:val="00116415"/>
    <w:rsid w:val="00116C0E"/>
    <w:rsid w:val="00117C35"/>
    <w:rsid w:val="00121F66"/>
    <w:rsid w:val="00123555"/>
    <w:rsid w:val="00125527"/>
    <w:rsid w:val="0012586C"/>
    <w:rsid w:val="001260E3"/>
    <w:rsid w:val="00126476"/>
    <w:rsid w:val="00126D0C"/>
    <w:rsid w:val="00127F97"/>
    <w:rsid w:val="001307BB"/>
    <w:rsid w:val="00130ED1"/>
    <w:rsid w:val="00131973"/>
    <w:rsid w:val="00131D1B"/>
    <w:rsid w:val="00132E6E"/>
    <w:rsid w:val="001337B2"/>
    <w:rsid w:val="001339C3"/>
    <w:rsid w:val="00134065"/>
    <w:rsid w:val="0013666F"/>
    <w:rsid w:val="00136E2B"/>
    <w:rsid w:val="001377CB"/>
    <w:rsid w:val="001408A2"/>
    <w:rsid w:val="001408E0"/>
    <w:rsid w:val="00140B86"/>
    <w:rsid w:val="0014239B"/>
    <w:rsid w:val="00142696"/>
    <w:rsid w:val="001426EB"/>
    <w:rsid w:val="00144042"/>
    <w:rsid w:val="001442C6"/>
    <w:rsid w:val="001442FF"/>
    <w:rsid w:val="00144C4E"/>
    <w:rsid w:val="001468B5"/>
    <w:rsid w:val="00147075"/>
    <w:rsid w:val="00150097"/>
    <w:rsid w:val="00150795"/>
    <w:rsid w:val="00151E38"/>
    <w:rsid w:val="0015227E"/>
    <w:rsid w:val="00153D75"/>
    <w:rsid w:val="0015433C"/>
    <w:rsid w:val="00155B55"/>
    <w:rsid w:val="00156B09"/>
    <w:rsid w:val="0016154F"/>
    <w:rsid w:val="00161819"/>
    <w:rsid w:val="0016193E"/>
    <w:rsid w:val="00161C56"/>
    <w:rsid w:val="00162E01"/>
    <w:rsid w:val="0016340A"/>
    <w:rsid w:val="001638BA"/>
    <w:rsid w:val="00163B18"/>
    <w:rsid w:val="001641D3"/>
    <w:rsid w:val="00166044"/>
    <w:rsid w:val="00167167"/>
    <w:rsid w:val="00170E1F"/>
    <w:rsid w:val="0017239F"/>
    <w:rsid w:val="001726BF"/>
    <w:rsid w:val="00172A27"/>
    <w:rsid w:val="0017372B"/>
    <w:rsid w:val="0017607F"/>
    <w:rsid w:val="001761B0"/>
    <w:rsid w:val="0017640D"/>
    <w:rsid w:val="00176F27"/>
    <w:rsid w:val="001772E1"/>
    <w:rsid w:val="00177365"/>
    <w:rsid w:val="0017788C"/>
    <w:rsid w:val="001779C8"/>
    <w:rsid w:val="00180DC4"/>
    <w:rsid w:val="001812C0"/>
    <w:rsid w:val="00181B05"/>
    <w:rsid w:val="001821D7"/>
    <w:rsid w:val="001836E4"/>
    <w:rsid w:val="00184027"/>
    <w:rsid w:val="00185CDF"/>
    <w:rsid w:val="0018616B"/>
    <w:rsid w:val="001876D9"/>
    <w:rsid w:val="0018780F"/>
    <w:rsid w:val="00187EE4"/>
    <w:rsid w:val="001900DA"/>
    <w:rsid w:val="001902D5"/>
    <w:rsid w:val="0019032E"/>
    <w:rsid w:val="00191AE9"/>
    <w:rsid w:val="0019311E"/>
    <w:rsid w:val="001940A3"/>
    <w:rsid w:val="0019461A"/>
    <w:rsid w:val="00196482"/>
    <w:rsid w:val="001A0229"/>
    <w:rsid w:val="001A08A0"/>
    <w:rsid w:val="001A1BD6"/>
    <w:rsid w:val="001A1D23"/>
    <w:rsid w:val="001A2065"/>
    <w:rsid w:val="001A4ADE"/>
    <w:rsid w:val="001A6A59"/>
    <w:rsid w:val="001B1051"/>
    <w:rsid w:val="001B1173"/>
    <w:rsid w:val="001B14FD"/>
    <w:rsid w:val="001B2ED1"/>
    <w:rsid w:val="001B528F"/>
    <w:rsid w:val="001B6EE0"/>
    <w:rsid w:val="001C1909"/>
    <w:rsid w:val="001C578A"/>
    <w:rsid w:val="001C5D93"/>
    <w:rsid w:val="001C6095"/>
    <w:rsid w:val="001C6977"/>
    <w:rsid w:val="001C6EEA"/>
    <w:rsid w:val="001C7C44"/>
    <w:rsid w:val="001D216D"/>
    <w:rsid w:val="001D37FB"/>
    <w:rsid w:val="001D4876"/>
    <w:rsid w:val="001D48C2"/>
    <w:rsid w:val="001D572B"/>
    <w:rsid w:val="001D5CCF"/>
    <w:rsid w:val="001D670A"/>
    <w:rsid w:val="001E1FBD"/>
    <w:rsid w:val="001E2C39"/>
    <w:rsid w:val="001E3322"/>
    <w:rsid w:val="001E3737"/>
    <w:rsid w:val="001E3DE2"/>
    <w:rsid w:val="001E4B5A"/>
    <w:rsid w:val="001E4FD6"/>
    <w:rsid w:val="001E5F5B"/>
    <w:rsid w:val="001E713A"/>
    <w:rsid w:val="001F0092"/>
    <w:rsid w:val="001F1B8E"/>
    <w:rsid w:val="001F350B"/>
    <w:rsid w:val="001F3CD4"/>
    <w:rsid w:val="001F3D26"/>
    <w:rsid w:val="001F48E7"/>
    <w:rsid w:val="001F533F"/>
    <w:rsid w:val="001F5D86"/>
    <w:rsid w:val="001F6066"/>
    <w:rsid w:val="001F6267"/>
    <w:rsid w:val="001F6EC1"/>
    <w:rsid w:val="002008AA"/>
    <w:rsid w:val="002011E3"/>
    <w:rsid w:val="00203AEA"/>
    <w:rsid w:val="00206092"/>
    <w:rsid w:val="00207D7F"/>
    <w:rsid w:val="002104FF"/>
    <w:rsid w:val="002106E2"/>
    <w:rsid w:val="0021223A"/>
    <w:rsid w:val="00213A0C"/>
    <w:rsid w:val="00213AFF"/>
    <w:rsid w:val="00213FE1"/>
    <w:rsid w:val="002153CE"/>
    <w:rsid w:val="00215408"/>
    <w:rsid w:val="00216ED2"/>
    <w:rsid w:val="0021745A"/>
    <w:rsid w:val="00217BBF"/>
    <w:rsid w:val="00220C6A"/>
    <w:rsid w:val="002222E8"/>
    <w:rsid w:val="00226DE9"/>
    <w:rsid w:val="00226FD2"/>
    <w:rsid w:val="00227398"/>
    <w:rsid w:val="002320C8"/>
    <w:rsid w:val="00232102"/>
    <w:rsid w:val="00232E6F"/>
    <w:rsid w:val="002339AF"/>
    <w:rsid w:val="00234B92"/>
    <w:rsid w:val="00237741"/>
    <w:rsid w:val="0024475F"/>
    <w:rsid w:val="00245E9E"/>
    <w:rsid w:val="002462E6"/>
    <w:rsid w:val="00251207"/>
    <w:rsid w:val="002512CC"/>
    <w:rsid w:val="002543C9"/>
    <w:rsid w:val="002544DC"/>
    <w:rsid w:val="00257329"/>
    <w:rsid w:val="00260C95"/>
    <w:rsid w:val="002624C2"/>
    <w:rsid w:val="00262501"/>
    <w:rsid w:val="0026407A"/>
    <w:rsid w:val="00264803"/>
    <w:rsid w:val="0026536D"/>
    <w:rsid w:val="0026683C"/>
    <w:rsid w:val="00266FEF"/>
    <w:rsid w:val="002672F2"/>
    <w:rsid w:val="00267375"/>
    <w:rsid w:val="00267AD6"/>
    <w:rsid w:val="00267DE6"/>
    <w:rsid w:val="002728D2"/>
    <w:rsid w:val="00273053"/>
    <w:rsid w:val="00273C0B"/>
    <w:rsid w:val="00273C51"/>
    <w:rsid w:val="00275918"/>
    <w:rsid w:val="00277115"/>
    <w:rsid w:val="0028008E"/>
    <w:rsid w:val="002849E0"/>
    <w:rsid w:val="00284D1D"/>
    <w:rsid w:val="00284F65"/>
    <w:rsid w:val="0028661A"/>
    <w:rsid w:val="002866A1"/>
    <w:rsid w:val="002869DE"/>
    <w:rsid w:val="00286E49"/>
    <w:rsid w:val="00291606"/>
    <w:rsid w:val="0029290C"/>
    <w:rsid w:val="00292F15"/>
    <w:rsid w:val="00295949"/>
    <w:rsid w:val="00295B50"/>
    <w:rsid w:val="00297310"/>
    <w:rsid w:val="00297351"/>
    <w:rsid w:val="002A18DE"/>
    <w:rsid w:val="002A21D5"/>
    <w:rsid w:val="002A2FC5"/>
    <w:rsid w:val="002A346B"/>
    <w:rsid w:val="002A57D8"/>
    <w:rsid w:val="002A5D3F"/>
    <w:rsid w:val="002A5EF7"/>
    <w:rsid w:val="002A63E6"/>
    <w:rsid w:val="002A6E35"/>
    <w:rsid w:val="002A758B"/>
    <w:rsid w:val="002B1F84"/>
    <w:rsid w:val="002B2FCA"/>
    <w:rsid w:val="002B3E2E"/>
    <w:rsid w:val="002B70B6"/>
    <w:rsid w:val="002B70F6"/>
    <w:rsid w:val="002B78C7"/>
    <w:rsid w:val="002C0741"/>
    <w:rsid w:val="002C07B0"/>
    <w:rsid w:val="002C134C"/>
    <w:rsid w:val="002C2D0A"/>
    <w:rsid w:val="002C2D9A"/>
    <w:rsid w:val="002C382F"/>
    <w:rsid w:val="002C5A1F"/>
    <w:rsid w:val="002C5ADE"/>
    <w:rsid w:val="002C6647"/>
    <w:rsid w:val="002C70E6"/>
    <w:rsid w:val="002C75A6"/>
    <w:rsid w:val="002D3DEB"/>
    <w:rsid w:val="002D4E24"/>
    <w:rsid w:val="002D50DC"/>
    <w:rsid w:val="002D57B7"/>
    <w:rsid w:val="002D6D82"/>
    <w:rsid w:val="002D7772"/>
    <w:rsid w:val="002E0D4C"/>
    <w:rsid w:val="002E259A"/>
    <w:rsid w:val="002E274C"/>
    <w:rsid w:val="002E2A2E"/>
    <w:rsid w:val="002E3773"/>
    <w:rsid w:val="002E46A1"/>
    <w:rsid w:val="002E5C9D"/>
    <w:rsid w:val="002E6582"/>
    <w:rsid w:val="002E796A"/>
    <w:rsid w:val="002F1019"/>
    <w:rsid w:val="002F127F"/>
    <w:rsid w:val="002F13B1"/>
    <w:rsid w:val="002F2FBA"/>
    <w:rsid w:val="002F333A"/>
    <w:rsid w:val="002F3CBF"/>
    <w:rsid w:val="002F4C5D"/>
    <w:rsid w:val="002F5A5A"/>
    <w:rsid w:val="00300287"/>
    <w:rsid w:val="003009A6"/>
    <w:rsid w:val="003009D9"/>
    <w:rsid w:val="00301FF0"/>
    <w:rsid w:val="00303690"/>
    <w:rsid w:val="003037FE"/>
    <w:rsid w:val="00305367"/>
    <w:rsid w:val="0030562A"/>
    <w:rsid w:val="00305A90"/>
    <w:rsid w:val="00306170"/>
    <w:rsid w:val="003062FE"/>
    <w:rsid w:val="00307BAB"/>
    <w:rsid w:val="00310C5F"/>
    <w:rsid w:val="00311AB9"/>
    <w:rsid w:val="00311F5D"/>
    <w:rsid w:val="00311F99"/>
    <w:rsid w:val="00311FCF"/>
    <w:rsid w:val="00311FF5"/>
    <w:rsid w:val="00313994"/>
    <w:rsid w:val="00314021"/>
    <w:rsid w:val="0031424E"/>
    <w:rsid w:val="003159F4"/>
    <w:rsid w:val="0032096B"/>
    <w:rsid w:val="003219BC"/>
    <w:rsid w:val="003233EB"/>
    <w:rsid w:val="00324B12"/>
    <w:rsid w:val="00324F2D"/>
    <w:rsid w:val="00326EF0"/>
    <w:rsid w:val="00330080"/>
    <w:rsid w:val="00335BC6"/>
    <w:rsid w:val="003361AE"/>
    <w:rsid w:val="0033674E"/>
    <w:rsid w:val="00336E73"/>
    <w:rsid w:val="0033778A"/>
    <w:rsid w:val="003407F9"/>
    <w:rsid w:val="0034115B"/>
    <w:rsid w:val="00341535"/>
    <w:rsid w:val="00341E1E"/>
    <w:rsid w:val="0034287A"/>
    <w:rsid w:val="0034287C"/>
    <w:rsid w:val="0034622D"/>
    <w:rsid w:val="003463A9"/>
    <w:rsid w:val="003468AB"/>
    <w:rsid w:val="0034709E"/>
    <w:rsid w:val="00351CED"/>
    <w:rsid w:val="00353767"/>
    <w:rsid w:val="00353ED2"/>
    <w:rsid w:val="00356316"/>
    <w:rsid w:val="0035688B"/>
    <w:rsid w:val="00356C66"/>
    <w:rsid w:val="00357EA7"/>
    <w:rsid w:val="00361181"/>
    <w:rsid w:val="00363C6F"/>
    <w:rsid w:val="0036474A"/>
    <w:rsid w:val="00366458"/>
    <w:rsid w:val="0036645C"/>
    <w:rsid w:val="00367837"/>
    <w:rsid w:val="0037062F"/>
    <w:rsid w:val="00370FF0"/>
    <w:rsid w:val="003714A0"/>
    <w:rsid w:val="00371A6E"/>
    <w:rsid w:val="0037249A"/>
    <w:rsid w:val="00373A18"/>
    <w:rsid w:val="00374D88"/>
    <w:rsid w:val="00374E07"/>
    <w:rsid w:val="00375633"/>
    <w:rsid w:val="00375BE5"/>
    <w:rsid w:val="003769DA"/>
    <w:rsid w:val="00377D53"/>
    <w:rsid w:val="00380532"/>
    <w:rsid w:val="00381EA0"/>
    <w:rsid w:val="00383E90"/>
    <w:rsid w:val="003849E9"/>
    <w:rsid w:val="00390494"/>
    <w:rsid w:val="00390FF8"/>
    <w:rsid w:val="00391CBB"/>
    <w:rsid w:val="00391E19"/>
    <w:rsid w:val="00392AEC"/>
    <w:rsid w:val="00392FF6"/>
    <w:rsid w:val="00394E44"/>
    <w:rsid w:val="003959FE"/>
    <w:rsid w:val="003A0F25"/>
    <w:rsid w:val="003A1FB2"/>
    <w:rsid w:val="003A349A"/>
    <w:rsid w:val="003A4B92"/>
    <w:rsid w:val="003A542B"/>
    <w:rsid w:val="003A6C67"/>
    <w:rsid w:val="003B10EF"/>
    <w:rsid w:val="003B189F"/>
    <w:rsid w:val="003B1BF1"/>
    <w:rsid w:val="003B394C"/>
    <w:rsid w:val="003B3A52"/>
    <w:rsid w:val="003B5D80"/>
    <w:rsid w:val="003B5DD2"/>
    <w:rsid w:val="003B6992"/>
    <w:rsid w:val="003B77C4"/>
    <w:rsid w:val="003C131F"/>
    <w:rsid w:val="003C24A3"/>
    <w:rsid w:val="003C29AB"/>
    <w:rsid w:val="003C2CC3"/>
    <w:rsid w:val="003C3246"/>
    <w:rsid w:val="003C3656"/>
    <w:rsid w:val="003C3FA7"/>
    <w:rsid w:val="003C5EA6"/>
    <w:rsid w:val="003C60AA"/>
    <w:rsid w:val="003C7F26"/>
    <w:rsid w:val="003D0DEC"/>
    <w:rsid w:val="003D1012"/>
    <w:rsid w:val="003D331D"/>
    <w:rsid w:val="003D348F"/>
    <w:rsid w:val="003D373A"/>
    <w:rsid w:val="003D443C"/>
    <w:rsid w:val="003D5FBE"/>
    <w:rsid w:val="003D745F"/>
    <w:rsid w:val="003D7C6F"/>
    <w:rsid w:val="003E14C7"/>
    <w:rsid w:val="003E1669"/>
    <w:rsid w:val="003E2855"/>
    <w:rsid w:val="003E28F4"/>
    <w:rsid w:val="003E2F35"/>
    <w:rsid w:val="003E4849"/>
    <w:rsid w:val="003E4F6F"/>
    <w:rsid w:val="003F231A"/>
    <w:rsid w:val="003F2921"/>
    <w:rsid w:val="003F37D6"/>
    <w:rsid w:val="003F450D"/>
    <w:rsid w:val="003F53DF"/>
    <w:rsid w:val="003F66E0"/>
    <w:rsid w:val="00400071"/>
    <w:rsid w:val="00401431"/>
    <w:rsid w:val="00402AFC"/>
    <w:rsid w:val="00402F9D"/>
    <w:rsid w:val="004031A7"/>
    <w:rsid w:val="004038AF"/>
    <w:rsid w:val="004041B0"/>
    <w:rsid w:val="00404D7F"/>
    <w:rsid w:val="00405AC0"/>
    <w:rsid w:val="00406360"/>
    <w:rsid w:val="0040725A"/>
    <w:rsid w:val="0040785D"/>
    <w:rsid w:val="004078FB"/>
    <w:rsid w:val="00410977"/>
    <w:rsid w:val="00411C7B"/>
    <w:rsid w:val="00412FB8"/>
    <w:rsid w:val="00413C72"/>
    <w:rsid w:val="00417734"/>
    <w:rsid w:val="004178A0"/>
    <w:rsid w:val="00420852"/>
    <w:rsid w:val="00421760"/>
    <w:rsid w:val="004217F5"/>
    <w:rsid w:val="00422699"/>
    <w:rsid w:val="004227A8"/>
    <w:rsid w:val="00423C27"/>
    <w:rsid w:val="00424CD7"/>
    <w:rsid w:val="00425866"/>
    <w:rsid w:val="00427BFE"/>
    <w:rsid w:val="00430120"/>
    <w:rsid w:val="0043078B"/>
    <w:rsid w:val="0043084D"/>
    <w:rsid w:val="0043110A"/>
    <w:rsid w:val="004339CD"/>
    <w:rsid w:val="0043428E"/>
    <w:rsid w:val="004342BE"/>
    <w:rsid w:val="004354E7"/>
    <w:rsid w:val="00436E48"/>
    <w:rsid w:val="00437047"/>
    <w:rsid w:val="0044004F"/>
    <w:rsid w:val="0044031A"/>
    <w:rsid w:val="00440A26"/>
    <w:rsid w:val="00441467"/>
    <w:rsid w:val="00442F08"/>
    <w:rsid w:val="004431A2"/>
    <w:rsid w:val="00443DEA"/>
    <w:rsid w:val="004447B8"/>
    <w:rsid w:val="00444A7E"/>
    <w:rsid w:val="00444BD3"/>
    <w:rsid w:val="00446013"/>
    <w:rsid w:val="00446626"/>
    <w:rsid w:val="00447121"/>
    <w:rsid w:val="004471A6"/>
    <w:rsid w:val="004503E4"/>
    <w:rsid w:val="00450B53"/>
    <w:rsid w:val="00450ED8"/>
    <w:rsid w:val="00451F81"/>
    <w:rsid w:val="00452DA3"/>
    <w:rsid w:val="004533C9"/>
    <w:rsid w:val="00453E9F"/>
    <w:rsid w:val="004540B4"/>
    <w:rsid w:val="00454B33"/>
    <w:rsid w:val="00455822"/>
    <w:rsid w:val="00456E52"/>
    <w:rsid w:val="004571C7"/>
    <w:rsid w:val="00460455"/>
    <w:rsid w:val="004604FE"/>
    <w:rsid w:val="00460AD8"/>
    <w:rsid w:val="004623D7"/>
    <w:rsid w:val="00463884"/>
    <w:rsid w:val="00465F0A"/>
    <w:rsid w:val="00466A7B"/>
    <w:rsid w:val="00466AC1"/>
    <w:rsid w:val="004677F7"/>
    <w:rsid w:val="00467D79"/>
    <w:rsid w:val="00471862"/>
    <w:rsid w:val="004731CD"/>
    <w:rsid w:val="00473B43"/>
    <w:rsid w:val="004762C1"/>
    <w:rsid w:val="00477D23"/>
    <w:rsid w:val="004820EA"/>
    <w:rsid w:val="00483005"/>
    <w:rsid w:val="00484AD0"/>
    <w:rsid w:val="004904EA"/>
    <w:rsid w:val="004933A0"/>
    <w:rsid w:val="004948B2"/>
    <w:rsid w:val="00496D8A"/>
    <w:rsid w:val="004973D3"/>
    <w:rsid w:val="004A431D"/>
    <w:rsid w:val="004A4CF3"/>
    <w:rsid w:val="004A52FE"/>
    <w:rsid w:val="004A79EE"/>
    <w:rsid w:val="004B031E"/>
    <w:rsid w:val="004B0C64"/>
    <w:rsid w:val="004B1085"/>
    <w:rsid w:val="004B2F65"/>
    <w:rsid w:val="004B3CE2"/>
    <w:rsid w:val="004B5479"/>
    <w:rsid w:val="004B6AF9"/>
    <w:rsid w:val="004B7B67"/>
    <w:rsid w:val="004C09E8"/>
    <w:rsid w:val="004C12A6"/>
    <w:rsid w:val="004C1442"/>
    <w:rsid w:val="004C184E"/>
    <w:rsid w:val="004C18E6"/>
    <w:rsid w:val="004C33A0"/>
    <w:rsid w:val="004C3486"/>
    <w:rsid w:val="004C36F6"/>
    <w:rsid w:val="004C4B45"/>
    <w:rsid w:val="004C4ECC"/>
    <w:rsid w:val="004C66D5"/>
    <w:rsid w:val="004D0EC7"/>
    <w:rsid w:val="004D2409"/>
    <w:rsid w:val="004D2E46"/>
    <w:rsid w:val="004D32B3"/>
    <w:rsid w:val="004D3BE4"/>
    <w:rsid w:val="004D3E7A"/>
    <w:rsid w:val="004D54C7"/>
    <w:rsid w:val="004D686A"/>
    <w:rsid w:val="004D6CC9"/>
    <w:rsid w:val="004D6F05"/>
    <w:rsid w:val="004D7FC3"/>
    <w:rsid w:val="004E0785"/>
    <w:rsid w:val="004E1401"/>
    <w:rsid w:val="004E1877"/>
    <w:rsid w:val="004E2C49"/>
    <w:rsid w:val="004E4EB4"/>
    <w:rsid w:val="004E520E"/>
    <w:rsid w:val="004E522D"/>
    <w:rsid w:val="004E6DBE"/>
    <w:rsid w:val="004E6DC6"/>
    <w:rsid w:val="004F0491"/>
    <w:rsid w:val="004F179B"/>
    <w:rsid w:val="004F1F78"/>
    <w:rsid w:val="004F2FFF"/>
    <w:rsid w:val="004F3723"/>
    <w:rsid w:val="004F3B76"/>
    <w:rsid w:val="004F4D51"/>
    <w:rsid w:val="004F52C2"/>
    <w:rsid w:val="004F6A3F"/>
    <w:rsid w:val="004F70C3"/>
    <w:rsid w:val="004F79BC"/>
    <w:rsid w:val="005000BB"/>
    <w:rsid w:val="005000BE"/>
    <w:rsid w:val="00500152"/>
    <w:rsid w:val="00500F39"/>
    <w:rsid w:val="00501965"/>
    <w:rsid w:val="00501992"/>
    <w:rsid w:val="00501AB2"/>
    <w:rsid w:val="0050214E"/>
    <w:rsid w:val="005031FC"/>
    <w:rsid w:val="00503369"/>
    <w:rsid w:val="00503673"/>
    <w:rsid w:val="00503963"/>
    <w:rsid w:val="00505DE5"/>
    <w:rsid w:val="00505F35"/>
    <w:rsid w:val="00506F95"/>
    <w:rsid w:val="00510370"/>
    <w:rsid w:val="005105BA"/>
    <w:rsid w:val="00510FB1"/>
    <w:rsid w:val="00512F45"/>
    <w:rsid w:val="00513098"/>
    <w:rsid w:val="00513717"/>
    <w:rsid w:val="00515E81"/>
    <w:rsid w:val="00516603"/>
    <w:rsid w:val="00516978"/>
    <w:rsid w:val="00520C67"/>
    <w:rsid w:val="00521431"/>
    <w:rsid w:val="00521FDE"/>
    <w:rsid w:val="005235AE"/>
    <w:rsid w:val="005239A5"/>
    <w:rsid w:val="00525019"/>
    <w:rsid w:val="0052541C"/>
    <w:rsid w:val="00525A1A"/>
    <w:rsid w:val="005261A5"/>
    <w:rsid w:val="00526496"/>
    <w:rsid w:val="00526A76"/>
    <w:rsid w:val="00526B9D"/>
    <w:rsid w:val="00526CD9"/>
    <w:rsid w:val="00526CDB"/>
    <w:rsid w:val="00526D0D"/>
    <w:rsid w:val="005274A9"/>
    <w:rsid w:val="00527A13"/>
    <w:rsid w:val="00530D98"/>
    <w:rsid w:val="00531E8D"/>
    <w:rsid w:val="00531FA6"/>
    <w:rsid w:val="005355F8"/>
    <w:rsid w:val="00535958"/>
    <w:rsid w:val="00536C5B"/>
    <w:rsid w:val="00536D71"/>
    <w:rsid w:val="005375F9"/>
    <w:rsid w:val="00537CBD"/>
    <w:rsid w:val="00540C4F"/>
    <w:rsid w:val="005418A0"/>
    <w:rsid w:val="00541E51"/>
    <w:rsid w:val="00541FD4"/>
    <w:rsid w:val="00542AEB"/>
    <w:rsid w:val="00543A8D"/>
    <w:rsid w:val="00543E45"/>
    <w:rsid w:val="005440E7"/>
    <w:rsid w:val="00544333"/>
    <w:rsid w:val="00544823"/>
    <w:rsid w:val="00544A1E"/>
    <w:rsid w:val="00545260"/>
    <w:rsid w:val="00550AD0"/>
    <w:rsid w:val="00550CF4"/>
    <w:rsid w:val="00550DFD"/>
    <w:rsid w:val="00550EA1"/>
    <w:rsid w:val="0055182C"/>
    <w:rsid w:val="00552875"/>
    <w:rsid w:val="00554E46"/>
    <w:rsid w:val="0055554B"/>
    <w:rsid w:val="00556581"/>
    <w:rsid w:val="00556780"/>
    <w:rsid w:val="00557A5A"/>
    <w:rsid w:val="005609D5"/>
    <w:rsid w:val="00562D35"/>
    <w:rsid w:val="005637FB"/>
    <w:rsid w:val="005648E0"/>
    <w:rsid w:val="00565240"/>
    <w:rsid w:val="005663E9"/>
    <w:rsid w:val="00566572"/>
    <w:rsid w:val="00566828"/>
    <w:rsid w:val="00566B4C"/>
    <w:rsid w:val="00566F10"/>
    <w:rsid w:val="0056745A"/>
    <w:rsid w:val="005675A6"/>
    <w:rsid w:val="00567782"/>
    <w:rsid w:val="005709B5"/>
    <w:rsid w:val="00571142"/>
    <w:rsid w:val="00571C5A"/>
    <w:rsid w:val="005724FA"/>
    <w:rsid w:val="0057444E"/>
    <w:rsid w:val="00574722"/>
    <w:rsid w:val="00575741"/>
    <w:rsid w:val="00576946"/>
    <w:rsid w:val="00576EA0"/>
    <w:rsid w:val="00577C89"/>
    <w:rsid w:val="00580AE2"/>
    <w:rsid w:val="0058109A"/>
    <w:rsid w:val="00582399"/>
    <w:rsid w:val="0058246D"/>
    <w:rsid w:val="00582788"/>
    <w:rsid w:val="00583047"/>
    <w:rsid w:val="00583C48"/>
    <w:rsid w:val="00585141"/>
    <w:rsid w:val="005872AC"/>
    <w:rsid w:val="00591419"/>
    <w:rsid w:val="005918C3"/>
    <w:rsid w:val="005927C2"/>
    <w:rsid w:val="005944ED"/>
    <w:rsid w:val="00594997"/>
    <w:rsid w:val="005953C7"/>
    <w:rsid w:val="005969C7"/>
    <w:rsid w:val="00596F09"/>
    <w:rsid w:val="0059759C"/>
    <w:rsid w:val="00597633"/>
    <w:rsid w:val="00597EF0"/>
    <w:rsid w:val="00597F70"/>
    <w:rsid w:val="005A1BAB"/>
    <w:rsid w:val="005A1D5A"/>
    <w:rsid w:val="005A217B"/>
    <w:rsid w:val="005A2C03"/>
    <w:rsid w:val="005A2E6B"/>
    <w:rsid w:val="005A3CC1"/>
    <w:rsid w:val="005A4F0E"/>
    <w:rsid w:val="005A550D"/>
    <w:rsid w:val="005A692C"/>
    <w:rsid w:val="005A6C90"/>
    <w:rsid w:val="005A75AE"/>
    <w:rsid w:val="005A7C42"/>
    <w:rsid w:val="005B0D15"/>
    <w:rsid w:val="005B10D6"/>
    <w:rsid w:val="005B154F"/>
    <w:rsid w:val="005B33E5"/>
    <w:rsid w:val="005B452B"/>
    <w:rsid w:val="005B4E3D"/>
    <w:rsid w:val="005B5023"/>
    <w:rsid w:val="005B7AF3"/>
    <w:rsid w:val="005C0788"/>
    <w:rsid w:val="005C1E26"/>
    <w:rsid w:val="005C31B0"/>
    <w:rsid w:val="005C3BF2"/>
    <w:rsid w:val="005C5B78"/>
    <w:rsid w:val="005C6A94"/>
    <w:rsid w:val="005D06A7"/>
    <w:rsid w:val="005D090B"/>
    <w:rsid w:val="005D0FBE"/>
    <w:rsid w:val="005D153C"/>
    <w:rsid w:val="005D5648"/>
    <w:rsid w:val="005D57E9"/>
    <w:rsid w:val="005D59FF"/>
    <w:rsid w:val="005D7EAC"/>
    <w:rsid w:val="005E00B3"/>
    <w:rsid w:val="005E03FA"/>
    <w:rsid w:val="005E082A"/>
    <w:rsid w:val="005E1403"/>
    <w:rsid w:val="005E2131"/>
    <w:rsid w:val="005E3D48"/>
    <w:rsid w:val="005E4927"/>
    <w:rsid w:val="005E522E"/>
    <w:rsid w:val="005E5D0B"/>
    <w:rsid w:val="005E694A"/>
    <w:rsid w:val="005E7302"/>
    <w:rsid w:val="005E7731"/>
    <w:rsid w:val="005E7C4A"/>
    <w:rsid w:val="005F0692"/>
    <w:rsid w:val="005F06F2"/>
    <w:rsid w:val="005F0A60"/>
    <w:rsid w:val="005F14D4"/>
    <w:rsid w:val="005F21AF"/>
    <w:rsid w:val="005F22BC"/>
    <w:rsid w:val="005F2491"/>
    <w:rsid w:val="005F30B2"/>
    <w:rsid w:val="005F48FE"/>
    <w:rsid w:val="005F6F75"/>
    <w:rsid w:val="005F6FB5"/>
    <w:rsid w:val="0060033C"/>
    <w:rsid w:val="006009E1"/>
    <w:rsid w:val="00601A7A"/>
    <w:rsid w:val="00603346"/>
    <w:rsid w:val="006035FB"/>
    <w:rsid w:val="00603C36"/>
    <w:rsid w:val="006067C5"/>
    <w:rsid w:val="0060756C"/>
    <w:rsid w:val="006108EC"/>
    <w:rsid w:val="00610AD4"/>
    <w:rsid w:val="00611225"/>
    <w:rsid w:val="006112B6"/>
    <w:rsid w:val="00611A9B"/>
    <w:rsid w:val="0061287E"/>
    <w:rsid w:val="006137F4"/>
    <w:rsid w:val="00613851"/>
    <w:rsid w:val="006141AA"/>
    <w:rsid w:val="006144D5"/>
    <w:rsid w:val="006164BC"/>
    <w:rsid w:val="00616B43"/>
    <w:rsid w:val="00617779"/>
    <w:rsid w:val="00620B52"/>
    <w:rsid w:val="00621AB4"/>
    <w:rsid w:val="00621F90"/>
    <w:rsid w:val="006238E9"/>
    <w:rsid w:val="00623CC3"/>
    <w:rsid w:val="00624CC3"/>
    <w:rsid w:val="00627A90"/>
    <w:rsid w:val="00631B45"/>
    <w:rsid w:val="00632D69"/>
    <w:rsid w:val="00633F08"/>
    <w:rsid w:val="006342D8"/>
    <w:rsid w:val="00636A83"/>
    <w:rsid w:val="00637301"/>
    <w:rsid w:val="0064053B"/>
    <w:rsid w:val="00641EA5"/>
    <w:rsid w:val="006427EB"/>
    <w:rsid w:val="006437BB"/>
    <w:rsid w:val="00644217"/>
    <w:rsid w:val="006445CD"/>
    <w:rsid w:val="00645314"/>
    <w:rsid w:val="00645B61"/>
    <w:rsid w:val="00646F81"/>
    <w:rsid w:val="006474F5"/>
    <w:rsid w:val="00647765"/>
    <w:rsid w:val="00647DD4"/>
    <w:rsid w:val="00647FAB"/>
    <w:rsid w:val="0065025B"/>
    <w:rsid w:val="00650446"/>
    <w:rsid w:val="00650B98"/>
    <w:rsid w:val="00650C0E"/>
    <w:rsid w:val="00650DFD"/>
    <w:rsid w:val="00650E5E"/>
    <w:rsid w:val="006528F8"/>
    <w:rsid w:val="0065526D"/>
    <w:rsid w:val="006552F9"/>
    <w:rsid w:val="00655387"/>
    <w:rsid w:val="006556EE"/>
    <w:rsid w:val="00655AB6"/>
    <w:rsid w:val="00656425"/>
    <w:rsid w:val="006577C0"/>
    <w:rsid w:val="00660F1E"/>
    <w:rsid w:val="00661746"/>
    <w:rsid w:val="0066357C"/>
    <w:rsid w:val="006643C8"/>
    <w:rsid w:val="00664BBE"/>
    <w:rsid w:val="00666384"/>
    <w:rsid w:val="006675B4"/>
    <w:rsid w:val="006679AF"/>
    <w:rsid w:val="00672E6F"/>
    <w:rsid w:val="0067353A"/>
    <w:rsid w:val="00673C64"/>
    <w:rsid w:val="00673CF7"/>
    <w:rsid w:val="00674232"/>
    <w:rsid w:val="00675CA0"/>
    <w:rsid w:val="0067697F"/>
    <w:rsid w:val="00676B6A"/>
    <w:rsid w:val="006806BE"/>
    <w:rsid w:val="006821F9"/>
    <w:rsid w:val="006825CE"/>
    <w:rsid w:val="00682870"/>
    <w:rsid w:val="00682E5A"/>
    <w:rsid w:val="006831D9"/>
    <w:rsid w:val="00683622"/>
    <w:rsid w:val="006849BA"/>
    <w:rsid w:val="00684FDC"/>
    <w:rsid w:val="00685126"/>
    <w:rsid w:val="0068564C"/>
    <w:rsid w:val="0068584E"/>
    <w:rsid w:val="00686C3A"/>
    <w:rsid w:val="00690F76"/>
    <w:rsid w:val="0069108B"/>
    <w:rsid w:val="00691B28"/>
    <w:rsid w:val="00691B7E"/>
    <w:rsid w:val="00691C33"/>
    <w:rsid w:val="00693461"/>
    <w:rsid w:val="0069369F"/>
    <w:rsid w:val="00694D11"/>
    <w:rsid w:val="006974EF"/>
    <w:rsid w:val="00697597"/>
    <w:rsid w:val="00697C08"/>
    <w:rsid w:val="006A07E9"/>
    <w:rsid w:val="006A28BA"/>
    <w:rsid w:val="006A597A"/>
    <w:rsid w:val="006A7879"/>
    <w:rsid w:val="006B0A66"/>
    <w:rsid w:val="006B0ABE"/>
    <w:rsid w:val="006B1FD7"/>
    <w:rsid w:val="006B473B"/>
    <w:rsid w:val="006B5E59"/>
    <w:rsid w:val="006B5FBB"/>
    <w:rsid w:val="006B5FDC"/>
    <w:rsid w:val="006C1AE0"/>
    <w:rsid w:val="006C44BC"/>
    <w:rsid w:val="006C4F2C"/>
    <w:rsid w:val="006D0857"/>
    <w:rsid w:val="006D1B75"/>
    <w:rsid w:val="006D1BD3"/>
    <w:rsid w:val="006D242B"/>
    <w:rsid w:val="006D37E4"/>
    <w:rsid w:val="006D57C7"/>
    <w:rsid w:val="006D5DF3"/>
    <w:rsid w:val="006D6D3A"/>
    <w:rsid w:val="006D767D"/>
    <w:rsid w:val="006E1CDB"/>
    <w:rsid w:val="006E23B0"/>
    <w:rsid w:val="006E2B62"/>
    <w:rsid w:val="006E3687"/>
    <w:rsid w:val="006E393F"/>
    <w:rsid w:val="006E3A9F"/>
    <w:rsid w:val="006E56BB"/>
    <w:rsid w:val="006E58DC"/>
    <w:rsid w:val="006E59C8"/>
    <w:rsid w:val="006E675B"/>
    <w:rsid w:val="006E75FC"/>
    <w:rsid w:val="006E7682"/>
    <w:rsid w:val="006E79D5"/>
    <w:rsid w:val="006F052B"/>
    <w:rsid w:val="006F0EEE"/>
    <w:rsid w:val="006F1BB9"/>
    <w:rsid w:val="006F2DF6"/>
    <w:rsid w:val="006F42B2"/>
    <w:rsid w:val="006F4D03"/>
    <w:rsid w:val="007002F1"/>
    <w:rsid w:val="00700E25"/>
    <w:rsid w:val="00701A7D"/>
    <w:rsid w:val="00701E82"/>
    <w:rsid w:val="00702051"/>
    <w:rsid w:val="00702D82"/>
    <w:rsid w:val="00702ED7"/>
    <w:rsid w:val="00703F81"/>
    <w:rsid w:val="0070477B"/>
    <w:rsid w:val="00704E75"/>
    <w:rsid w:val="007061E5"/>
    <w:rsid w:val="00707244"/>
    <w:rsid w:val="0070747E"/>
    <w:rsid w:val="00710A06"/>
    <w:rsid w:val="00711298"/>
    <w:rsid w:val="00711973"/>
    <w:rsid w:val="0071330D"/>
    <w:rsid w:val="00713BE6"/>
    <w:rsid w:val="0071420F"/>
    <w:rsid w:val="00714CB4"/>
    <w:rsid w:val="00714FBD"/>
    <w:rsid w:val="00715030"/>
    <w:rsid w:val="00716193"/>
    <w:rsid w:val="007165A4"/>
    <w:rsid w:val="00716721"/>
    <w:rsid w:val="00716C97"/>
    <w:rsid w:val="00716F70"/>
    <w:rsid w:val="00717308"/>
    <w:rsid w:val="00724435"/>
    <w:rsid w:val="007248F9"/>
    <w:rsid w:val="007259C7"/>
    <w:rsid w:val="00732030"/>
    <w:rsid w:val="00732039"/>
    <w:rsid w:val="00732667"/>
    <w:rsid w:val="00732CAD"/>
    <w:rsid w:val="00732F2E"/>
    <w:rsid w:val="00733671"/>
    <w:rsid w:val="00734357"/>
    <w:rsid w:val="00735E8F"/>
    <w:rsid w:val="00736194"/>
    <w:rsid w:val="0074014B"/>
    <w:rsid w:val="007406FD"/>
    <w:rsid w:val="0074394C"/>
    <w:rsid w:val="007446CD"/>
    <w:rsid w:val="00747AB2"/>
    <w:rsid w:val="00750649"/>
    <w:rsid w:val="007506FC"/>
    <w:rsid w:val="00750DDC"/>
    <w:rsid w:val="00751272"/>
    <w:rsid w:val="00751341"/>
    <w:rsid w:val="0075244D"/>
    <w:rsid w:val="00752688"/>
    <w:rsid w:val="00752E6C"/>
    <w:rsid w:val="00756CCB"/>
    <w:rsid w:val="00757E27"/>
    <w:rsid w:val="00757E6A"/>
    <w:rsid w:val="00760FE5"/>
    <w:rsid w:val="007611A6"/>
    <w:rsid w:val="00762032"/>
    <w:rsid w:val="00765BBB"/>
    <w:rsid w:val="0076671D"/>
    <w:rsid w:val="00766C1D"/>
    <w:rsid w:val="007673D6"/>
    <w:rsid w:val="00767BA6"/>
    <w:rsid w:val="007704ED"/>
    <w:rsid w:val="007710D2"/>
    <w:rsid w:val="0077147B"/>
    <w:rsid w:val="00771A48"/>
    <w:rsid w:val="00776210"/>
    <w:rsid w:val="00776742"/>
    <w:rsid w:val="007774F7"/>
    <w:rsid w:val="007775A5"/>
    <w:rsid w:val="00777A0C"/>
    <w:rsid w:val="00777D64"/>
    <w:rsid w:val="00777E30"/>
    <w:rsid w:val="00780E67"/>
    <w:rsid w:val="007819FE"/>
    <w:rsid w:val="00781C88"/>
    <w:rsid w:val="0078300A"/>
    <w:rsid w:val="00783292"/>
    <w:rsid w:val="00783322"/>
    <w:rsid w:val="0078340F"/>
    <w:rsid w:val="00784369"/>
    <w:rsid w:val="00784DDA"/>
    <w:rsid w:val="00786ED9"/>
    <w:rsid w:val="00787572"/>
    <w:rsid w:val="0079087E"/>
    <w:rsid w:val="00790B1D"/>
    <w:rsid w:val="00792963"/>
    <w:rsid w:val="007934DB"/>
    <w:rsid w:val="0079408D"/>
    <w:rsid w:val="00794229"/>
    <w:rsid w:val="00796F98"/>
    <w:rsid w:val="00797D00"/>
    <w:rsid w:val="007A1469"/>
    <w:rsid w:val="007A49B8"/>
    <w:rsid w:val="007A61F5"/>
    <w:rsid w:val="007B0FE4"/>
    <w:rsid w:val="007B1B44"/>
    <w:rsid w:val="007B2EF5"/>
    <w:rsid w:val="007B3305"/>
    <w:rsid w:val="007B3EF5"/>
    <w:rsid w:val="007B4CE9"/>
    <w:rsid w:val="007B65B3"/>
    <w:rsid w:val="007B6EE6"/>
    <w:rsid w:val="007B76B2"/>
    <w:rsid w:val="007B78C7"/>
    <w:rsid w:val="007C1D43"/>
    <w:rsid w:val="007C321A"/>
    <w:rsid w:val="007C5137"/>
    <w:rsid w:val="007C5924"/>
    <w:rsid w:val="007C63A7"/>
    <w:rsid w:val="007C7956"/>
    <w:rsid w:val="007D070B"/>
    <w:rsid w:val="007D07CE"/>
    <w:rsid w:val="007D35C8"/>
    <w:rsid w:val="007D39B8"/>
    <w:rsid w:val="007D462C"/>
    <w:rsid w:val="007D5FE3"/>
    <w:rsid w:val="007E03D1"/>
    <w:rsid w:val="007E0943"/>
    <w:rsid w:val="007E11B4"/>
    <w:rsid w:val="007E19D0"/>
    <w:rsid w:val="007E49EE"/>
    <w:rsid w:val="007F0C4D"/>
    <w:rsid w:val="007F1C03"/>
    <w:rsid w:val="007F3113"/>
    <w:rsid w:val="007F45FC"/>
    <w:rsid w:val="007F4E05"/>
    <w:rsid w:val="007F7B1D"/>
    <w:rsid w:val="00800911"/>
    <w:rsid w:val="00801A44"/>
    <w:rsid w:val="00802D30"/>
    <w:rsid w:val="00803B13"/>
    <w:rsid w:val="00804081"/>
    <w:rsid w:val="0080586B"/>
    <w:rsid w:val="00806095"/>
    <w:rsid w:val="008076C2"/>
    <w:rsid w:val="0081034D"/>
    <w:rsid w:val="00810A7E"/>
    <w:rsid w:val="008129E5"/>
    <w:rsid w:val="00812A17"/>
    <w:rsid w:val="00812B4D"/>
    <w:rsid w:val="008130CC"/>
    <w:rsid w:val="00813E68"/>
    <w:rsid w:val="00816F80"/>
    <w:rsid w:val="00820C63"/>
    <w:rsid w:val="00820F17"/>
    <w:rsid w:val="00821556"/>
    <w:rsid w:val="008215EB"/>
    <w:rsid w:val="00821F52"/>
    <w:rsid w:val="00822510"/>
    <w:rsid w:val="00822CDF"/>
    <w:rsid w:val="00824647"/>
    <w:rsid w:val="00824F45"/>
    <w:rsid w:val="00832837"/>
    <w:rsid w:val="00834646"/>
    <w:rsid w:val="008346B2"/>
    <w:rsid w:val="00835715"/>
    <w:rsid w:val="0083598E"/>
    <w:rsid w:val="00835C13"/>
    <w:rsid w:val="00835F69"/>
    <w:rsid w:val="00836C04"/>
    <w:rsid w:val="008372CA"/>
    <w:rsid w:val="008376E4"/>
    <w:rsid w:val="008377FF"/>
    <w:rsid w:val="00841614"/>
    <w:rsid w:val="00841752"/>
    <w:rsid w:val="00843675"/>
    <w:rsid w:val="00844F49"/>
    <w:rsid w:val="008450B7"/>
    <w:rsid w:val="00845626"/>
    <w:rsid w:val="00845834"/>
    <w:rsid w:val="00846307"/>
    <w:rsid w:val="0084721D"/>
    <w:rsid w:val="00850219"/>
    <w:rsid w:val="00852068"/>
    <w:rsid w:val="00852152"/>
    <w:rsid w:val="00852DC3"/>
    <w:rsid w:val="00853564"/>
    <w:rsid w:val="00853F1A"/>
    <w:rsid w:val="0085626B"/>
    <w:rsid w:val="00856DCF"/>
    <w:rsid w:val="00860144"/>
    <w:rsid w:val="00860271"/>
    <w:rsid w:val="008614DA"/>
    <w:rsid w:val="0086150C"/>
    <w:rsid w:val="00862FB2"/>
    <w:rsid w:val="00863531"/>
    <w:rsid w:val="00864A7E"/>
    <w:rsid w:val="00866238"/>
    <w:rsid w:val="008670D9"/>
    <w:rsid w:val="008671A9"/>
    <w:rsid w:val="00867E66"/>
    <w:rsid w:val="008701BB"/>
    <w:rsid w:val="0087098D"/>
    <w:rsid w:val="00870D0B"/>
    <w:rsid w:val="008712AB"/>
    <w:rsid w:val="008723FC"/>
    <w:rsid w:val="00874639"/>
    <w:rsid w:val="00875609"/>
    <w:rsid w:val="00875650"/>
    <w:rsid w:val="00875EDF"/>
    <w:rsid w:val="00877ACE"/>
    <w:rsid w:val="00882EF2"/>
    <w:rsid w:val="00883BE3"/>
    <w:rsid w:val="0088540F"/>
    <w:rsid w:val="008865FD"/>
    <w:rsid w:val="00890513"/>
    <w:rsid w:val="008906EA"/>
    <w:rsid w:val="00891211"/>
    <w:rsid w:val="00892FA6"/>
    <w:rsid w:val="008933F5"/>
    <w:rsid w:val="008934AA"/>
    <w:rsid w:val="00894361"/>
    <w:rsid w:val="0089462E"/>
    <w:rsid w:val="00894B77"/>
    <w:rsid w:val="00895BAA"/>
    <w:rsid w:val="00896B8A"/>
    <w:rsid w:val="00896CE6"/>
    <w:rsid w:val="00897ADE"/>
    <w:rsid w:val="008A049E"/>
    <w:rsid w:val="008A183D"/>
    <w:rsid w:val="008A2272"/>
    <w:rsid w:val="008A2442"/>
    <w:rsid w:val="008A29E7"/>
    <w:rsid w:val="008A3CBE"/>
    <w:rsid w:val="008A4374"/>
    <w:rsid w:val="008A4409"/>
    <w:rsid w:val="008A5007"/>
    <w:rsid w:val="008A6553"/>
    <w:rsid w:val="008A66BC"/>
    <w:rsid w:val="008A75ED"/>
    <w:rsid w:val="008B1EC0"/>
    <w:rsid w:val="008B3E73"/>
    <w:rsid w:val="008B58C4"/>
    <w:rsid w:val="008B6076"/>
    <w:rsid w:val="008B611B"/>
    <w:rsid w:val="008B66A5"/>
    <w:rsid w:val="008B7216"/>
    <w:rsid w:val="008C34F8"/>
    <w:rsid w:val="008C3CA3"/>
    <w:rsid w:val="008C3E00"/>
    <w:rsid w:val="008C3F98"/>
    <w:rsid w:val="008C5797"/>
    <w:rsid w:val="008C779A"/>
    <w:rsid w:val="008D1B68"/>
    <w:rsid w:val="008D311D"/>
    <w:rsid w:val="008D32F4"/>
    <w:rsid w:val="008D3477"/>
    <w:rsid w:val="008D3AAC"/>
    <w:rsid w:val="008D3FF1"/>
    <w:rsid w:val="008D45E8"/>
    <w:rsid w:val="008D5F3E"/>
    <w:rsid w:val="008D5F5D"/>
    <w:rsid w:val="008D762B"/>
    <w:rsid w:val="008D7995"/>
    <w:rsid w:val="008D7E97"/>
    <w:rsid w:val="008E0D84"/>
    <w:rsid w:val="008E108D"/>
    <w:rsid w:val="008E1991"/>
    <w:rsid w:val="008E2D90"/>
    <w:rsid w:val="008E3265"/>
    <w:rsid w:val="008E39F3"/>
    <w:rsid w:val="008E4C7E"/>
    <w:rsid w:val="008E587B"/>
    <w:rsid w:val="008E5DCE"/>
    <w:rsid w:val="008E6ABA"/>
    <w:rsid w:val="008E6D71"/>
    <w:rsid w:val="008F0253"/>
    <w:rsid w:val="008F1072"/>
    <w:rsid w:val="008F478C"/>
    <w:rsid w:val="008F4B5E"/>
    <w:rsid w:val="008F6AE4"/>
    <w:rsid w:val="008F6BF4"/>
    <w:rsid w:val="008F759C"/>
    <w:rsid w:val="009024C2"/>
    <w:rsid w:val="0090295E"/>
    <w:rsid w:val="00905A42"/>
    <w:rsid w:val="009071EF"/>
    <w:rsid w:val="00907454"/>
    <w:rsid w:val="009103CB"/>
    <w:rsid w:val="009140C7"/>
    <w:rsid w:val="00914923"/>
    <w:rsid w:val="00915DE9"/>
    <w:rsid w:val="0091625A"/>
    <w:rsid w:val="0091646C"/>
    <w:rsid w:val="00917B6B"/>
    <w:rsid w:val="00920017"/>
    <w:rsid w:val="0092050A"/>
    <w:rsid w:val="009208A6"/>
    <w:rsid w:val="009214EE"/>
    <w:rsid w:val="00922B5F"/>
    <w:rsid w:val="00922B91"/>
    <w:rsid w:val="00922E20"/>
    <w:rsid w:val="009235E8"/>
    <w:rsid w:val="009244C0"/>
    <w:rsid w:val="009255F4"/>
    <w:rsid w:val="009259B4"/>
    <w:rsid w:val="00925DB7"/>
    <w:rsid w:val="00926A09"/>
    <w:rsid w:val="00930301"/>
    <w:rsid w:val="00930E0E"/>
    <w:rsid w:val="00932433"/>
    <w:rsid w:val="00932991"/>
    <w:rsid w:val="00933055"/>
    <w:rsid w:val="009332CC"/>
    <w:rsid w:val="00934159"/>
    <w:rsid w:val="00934814"/>
    <w:rsid w:val="00934E7F"/>
    <w:rsid w:val="00935119"/>
    <w:rsid w:val="00936754"/>
    <w:rsid w:val="009367D6"/>
    <w:rsid w:val="009370DA"/>
    <w:rsid w:val="00940500"/>
    <w:rsid w:val="00941241"/>
    <w:rsid w:val="0094212C"/>
    <w:rsid w:val="00942423"/>
    <w:rsid w:val="00942AE9"/>
    <w:rsid w:val="00942B7F"/>
    <w:rsid w:val="009435F2"/>
    <w:rsid w:val="00944469"/>
    <w:rsid w:val="00944539"/>
    <w:rsid w:val="00944E1B"/>
    <w:rsid w:val="00945331"/>
    <w:rsid w:val="00945372"/>
    <w:rsid w:val="009462E6"/>
    <w:rsid w:val="009476EC"/>
    <w:rsid w:val="00947DC4"/>
    <w:rsid w:val="00951904"/>
    <w:rsid w:val="00951A4A"/>
    <w:rsid w:val="009529C9"/>
    <w:rsid w:val="0095443A"/>
    <w:rsid w:val="00954E4B"/>
    <w:rsid w:val="0095624F"/>
    <w:rsid w:val="0095683C"/>
    <w:rsid w:val="00956EAD"/>
    <w:rsid w:val="00957CAB"/>
    <w:rsid w:val="009606AB"/>
    <w:rsid w:val="00960D41"/>
    <w:rsid w:val="00961573"/>
    <w:rsid w:val="00962251"/>
    <w:rsid w:val="00962812"/>
    <w:rsid w:val="00962F93"/>
    <w:rsid w:val="00966A89"/>
    <w:rsid w:val="009678A5"/>
    <w:rsid w:val="00971809"/>
    <w:rsid w:val="00972525"/>
    <w:rsid w:val="00972528"/>
    <w:rsid w:val="0097359F"/>
    <w:rsid w:val="0097689A"/>
    <w:rsid w:val="009804C5"/>
    <w:rsid w:val="009812FE"/>
    <w:rsid w:val="009844DC"/>
    <w:rsid w:val="00984C39"/>
    <w:rsid w:val="00985698"/>
    <w:rsid w:val="00987839"/>
    <w:rsid w:val="00992210"/>
    <w:rsid w:val="00993F50"/>
    <w:rsid w:val="0099439D"/>
    <w:rsid w:val="00994997"/>
    <w:rsid w:val="00995166"/>
    <w:rsid w:val="009954DA"/>
    <w:rsid w:val="00996C8D"/>
    <w:rsid w:val="009A09C4"/>
    <w:rsid w:val="009A2397"/>
    <w:rsid w:val="009A6DC9"/>
    <w:rsid w:val="009A7D27"/>
    <w:rsid w:val="009A7EE0"/>
    <w:rsid w:val="009B2830"/>
    <w:rsid w:val="009B3991"/>
    <w:rsid w:val="009B3B11"/>
    <w:rsid w:val="009B4AFC"/>
    <w:rsid w:val="009B5A6E"/>
    <w:rsid w:val="009B6C6E"/>
    <w:rsid w:val="009C0AC6"/>
    <w:rsid w:val="009C0C12"/>
    <w:rsid w:val="009C0DAC"/>
    <w:rsid w:val="009C1BAA"/>
    <w:rsid w:val="009C3F47"/>
    <w:rsid w:val="009C43F9"/>
    <w:rsid w:val="009C61FA"/>
    <w:rsid w:val="009D031C"/>
    <w:rsid w:val="009D0344"/>
    <w:rsid w:val="009D072D"/>
    <w:rsid w:val="009D1875"/>
    <w:rsid w:val="009D2004"/>
    <w:rsid w:val="009D2DA7"/>
    <w:rsid w:val="009D2F90"/>
    <w:rsid w:val="009D33CF"/>
    <w:rsid w:val="009D3427"/>
    <w:rsid w:val="009D40BB"/>
    <w:rsid w:val="009D45E3"/>
    <w:rsid w:val="009D46AB"/>
    <w:rsid w:val="009D5269"/>
    <w:rsid w:val="009D5644"/>
    <w:rsid w:val="009D5E39"/>
    <w:rsid w:val="009D696B"/>
    <w:rsid w:val="009D717B"/>
    <w:rsid w:val="009D7731"/>
    <w:rsid w:val="009E01C3"/>
    <w:rsid w:val="009E16D8"/>
    <w:rsid w:val="009E1815"/>
    <w:rsid w:val="009E2BC2"/>
    <w:rsid w:val="009E306D"/>
    <w:rsid w:val="009E349D"/>
    <w:rsid w:val="009E400B"/>
    <w:rsid w:val="009E4077"/>
    <w:rsid w:val="009E7125"/>
    <w:rsid w:val="009E768A"/>
    <w:rsid w:val="009E7A03"/>
    <w:rsid w:val="009E7A8F"/>
    <w:rsid w:val="009F2806"/>
    <w:rsid w:val="009F7FE8"/>
    <w:rsid w:val="00A035EB"/>
    <w:rsid w:val="00A049EC"/>
    <w:rsid w:val="00A0751A"/>
    <w:rsid w:val="00A07650"/>
    <w:rsid w:val="00A0767B"/>
    <w:rsid w:val="00A10925"/>
    <w:rsid w:val="00A10943"/>
    <w:rsid w:val="00A10E0E"/>
    <w:rsid w:val="00A10EB8"/>
    <w:rsid w:val="00A11422"/>
    <w:rsid w:val="00A12525"/>
    <w:rsid w:val="00A15F49"/>
    <w:rsid w:val="00A16A2D"/>
    <w:rsid w:val="00A20E9B"/>
    <w:rsid w:val="00A21C05"/>
    <w:rsid w:val="00A243B0"/>
    <w:rsid w:val="00A261A2"/>
    <w:rsid w:val="00A26DAF"/>
    <w:rsid w:val="00A271C1"/>
    <w:rsid w:val="00A2727B"/>
    <w:rsid w:val="00A278CA"/>
    <w:rsid w:val="00A27F6E"/>
    <w:rsid w:val="00A32948"/>
    <w:rsid w:val="00A332C7"/>
    <w:rsid w:val="00A34A00"/>
    <w:rsid w:val="00A3670B"/>
    <w:rsid w:val="00A36F76"/>
    <w:rsid w:val="00A37343"/>
    <w:rsid w:val="00A37AA7"/>
    <w:rsid w:val="00A409AC"/>
    <w:rsid w:val="00A413A5"/>
    <w:rsid w:val="00A426A2"/>
    <w:rsid w:val="00A43162"/>
    <w:rsid w:val="00A448BD"/>
    <w:rsid w:val="00A45E20"/>
    <w:rsid w:val="00A46E1A"/>
    <w:rsid w:val="00A50913"/>
    <w:rsid w:val="00A50C48"/>
    <w:rsid w:val="00A51EC2"/>
    <w:rsid w:val="00A520A7"/>
    <w:rsid w:val="00A52253"/>
    <w:rsid w:val="00A522D7"/>
    <w:rsid w:val="00A531D2"/>
    <w:rsid w:val="00A5400E"/>
    <w:rsid w:val="00A540D0"/>
    <w:rsid w:val="00A54CC3"/>
    <w:rsid w:val="00A60164"/>
    <w:rsid w:val="00A60FC4"/>
    <w:rsid w:val="00A611AD"/>
    <w:rsid w:val="00A6320E"/>
    <w:rsid w:val="00A6368C"/>
    <w:rsid w:val="00A63793"/>
    <w:rsid w:val="00A638E3"/>
    <w:rsid w:val="00A63DB0"/>
    <w:rsid w:val="00A6462E"/>
    <w:rsid w:val="00A650FC"/>
    <w:rsid w:val="00A65344"/>
    <w:rsid w:val="00A65742"/>
    <w:rsid w:val="00A663D6"/>
    <w:rsid w:val="00A7186C"/>
    <w:rsid w:val="00A72C60"/>
    <w:rsid w:val="00A73124"/>
    <w:rsid w:val="00A742A2"/>
    <w:rsid w:val="00A765F4"/>
    <w:rsid w:val="00A77662"/>
    <w:rsid w:val="00A80707"/>
    <w:rsid w:val="00A81A33"/>
    <w:rsid w:val="00A81C34"/>
    <w:rsid w:val="00A82192"/>
    <w:rsid w:val="00A8442A"/>
    <w:rsid w:val="00A848BC"/>
    <w:rsid w:val="00A85335"/>
    <w:rsid w:val="00A85917"/>
    <w:rsid w:val="00A85BA7"/>
    <w:rsid w:val="00A864E6"/>
    <w:rsid w:val="00A87AF1"/>
    <w:rsid w:val="00A908DC"/>
    <w:rsid w:val="00A92C00"/>
    <w:rsid w:val="00A943ED"/>
    <w:rsid w:val="00A950B6"/>
    <w:rsid w:val="00A9519F"/>
    <w:rsid w:val="00A97226"/>
    <w:rsid w:val="00AA11CD"/>
    <w:rsid w:val="00AA1EE7"/>
    <w:rsid w:val="00AA2113"/>
    <w:rsid w:val="00AA30FB"/>
    <w:rsid w:val="00AA341A"/>
    <w:rsid w:val="00AA3DAB"/>
    <w:rsid w:val="00AA4272"/>
    <w:rsid w:val="00AA4B0F"/>
    <w:rsid w:val="00AA5D2E"/>
    <w:rsid w:val="00AB08C0"/>
    <w:rsid w:val="00AB0DF7"/>
    <w:rsid w:val="00AB0E4D"/>
    <w:rsid w:val="00AB28C8"/>
    <w:rsid w:val="00AB337C"/>
    <w:rsid w:val="00AB5890"/>
    <w:rsid w:val="00AB64C3"/>
    <w:rsid w:val="00AB7C26"/>
    <w:rsid w:val="00AB7C5A"/>
    <w:rsid w:val="00AC0144"/>
    <w:rsid w:val="00AC0BA3"/>
    <w:rsid w:val="00AC1E7F"/>
    <w:rsid w:val="00AC3A26"/>
    <w:rsid w:val="00AC54A1"/>
    <w:rsid w:val="00AC6036"/>
    <w:rsid w:val="00AC62C5"/>
    <w:rsid w:val="00AC681D"/>
    <w:rsid w:val="00AD0048"/>
    <w:rsid w:val="00AD154E"/>
    <w:rsid w:val="00AD3352"/>
    <w:rsid w:val="00AD379B"/>
    <w:rsid w:val="00AD3FEC"/>
    <w:rsid w:val="00AD4545"/>
    <w:rsid w:val="00AD4D7B"/>
    <w:rsid w:val="00AD567A"/>
    <w:rsid w:val="00AD66EB"/>
    <w:rsid w:val="00AE1536"/>
    <w:rsid w:val="00AE186D"/>
    <w:rsid w:val="00AE20A7"/>
    <w:rsid w:val="00AE2A27"/>
    <w:rsid w:val="00AE2AB1"/>
    <w:rsid w:val="00AE2D0D"/>
    <w:rsid w:val="00AE35CA"/>
    <w:rsid w:val="00AE4E25"/>
    <w:rsid w:val="00AE5B86"/>
    <w:rsid w:val="00AE610C"/>
    <w:rsid w:val="00AE720F"/>
    <w:rsid w:val="00AF14E8"/>
    <w:rsid w:val="00AF1848"/>
    <w:rsid w:val="00AF22B8"/>
    <w:rsid w:val="00AF6443"/>
    <w:rsid w:val="00B01A72"/>
    <w:rsid w:val="00B023C8"/>
    <w:rsid w:val="00B037BA"/>
    <w:rsid w:val="00B03B79"/>
    <w:rsid w:val="00B03BD7"/>
    <w:rsid w:val="00B03F34"/>
    <w:rsid w:val="00B06818"/>
    <w:rsid w:val="00B06D94"/>
    <w:rsid w:val="00B109BB"/>
    <w:rsid w:val="00B117A4"/>
    <w:rsid w:val="00B126F4"/>
    <w:rsid w:val="00B1321B"/>
    <w:rsid w:val="00B16606"/>
    <w:rsid w:val="00B17C31"/>
    <w:rsid w:val="00B207F1"/>
    <w:rsid w:val="00B21304"/>
    <w:rsid w:val="00B221FF"/>
    <w:rsid w:val="00B22E47"/>
    <w:rsid w:val="00B22E69"/>
    <w:rsid w:val="00B2360E"/>
    <w:rsid w:val="00B23AE7"/>
    <w:rsid w:val="00B24506"/>
    <w:rsid w:val="00B261F8"/>
    <w:rsid w:val="00B30B19"/>
    <w:rsid w:val="00B328E3"/>
    <w:rsid w:val="00B331A7"/>
    <w:rsid w:val="00B34730"/>
    <w:rsid w:val="00B348D9"/>
    <w:rsid w:val="00B357D6"/>
    <w:rsid w:val="00B35820"/>
    <w:rsid w:val="00B3775D"/>
    <w:rsid w:val="00B37A63"/>
    <w:rsid w:val="00B40135"/>
    <w:rsid w:val="00B40DED"/>
    <w:rsid w:val="00B41419"/>
    <w:rsid w:val="00B42810"/>
    <w:rsid w:val="00B42867"/>
    <w:rsid w:val="00B429E6"/>
    <w:rsid w:val="00B42EB1"/>
    <w:rsid w:val="00B43383"/>
    <w:rsid w:val="00B43DAA"/>
    <w:rsid w:val="00B43FE4"/>
    <w:rsid w:val="00B44B00"/>
    <w:rsid w:val="00B450BC"/>
    <w:rsid w:val="00B46164"/>
    <w:rsid w:val="00B4653B"/>
    <w:rsid w:val="00B472FF"/>
    <w:rsid w:val="00B47D0B"/>
    <w:rsid w:val="00B50019"/>
    <w:rsid w:val="00B517D7"/>
    <w:rsid w:val="00B522AF"/>
    <w:rsid w:val="00B52B40"/>
    <w:rsid w:val="00B533FF"/>
    <w:rsid w:val="00B5399B"/>
    <w:rsid w:val="00B53A6E"/>
    <w:rsid w:val="00B53DBA"/>
    <w:rsid w:val="00B5590E"/>
    <w:rsid w:val="00B563A8"/>
    <w:rsid w:val="00B56A6D"/>
    <w:rsid w:val="00B605C7"/>
    <w:rsid w:val="00B61D3E"/>
    <w:rsid w:val="00B6272D"/>
    <w:rsid w:val="00B6286C"/>
    <w:rsid w:val="00B62896"/>
    <w:rsid w:val="00B62A9F"/>
    <w:rsid w:val="00B63C77"/>
    <w:rsid w:val="00B63EB8"/>
    <w:rsid w:val="00B66356"/>
    <w:rsid w:val="00B66EBE"/>
    <w:rsid w:val="00B67425"/>
    <w:rsid w:val="00B705BB"/>
    <w:rsid w:val="00B707D9"/>
    <w:rsid w:val="00B73B26"/>
    <w:rsid w:val="00B740FF"/>
    <w:rsid w:val="00B74440"/>
    <w:rsid w:val="00B7478C"/>
    <w:rsid w:val="00B74DBC"/>
    <w:rsid w:val="00B75F87"/>
    <w:rsid w:val="00B770D2"/>
    <w:rsid w:val="00B80A92"/>
    <w:rsid w:val="00B8215E"/>
    <w:rsid w:val="00B826CD"/>
    <w:rsid w:val="00B827F6"/>
    <w:rsid w:val="00B84E95"/>
    <w:rsid w:val="00B871EF"/>
    <w:rsid w:val="00B87C8E"/>
    <w:rsid w:val="00B9072A"/>
    <w:rsid w:val="00B920E5"/>
    <w:rsid w:val="00B921C8"/>
    <w:rsid w:val="00B92737"/>
    <w:rsid w:val="00B92B8F"/>
    <w:rsid w:val="00B93D1C"/>
    <w:rsid w:val="00B94E25"/>
    <w:rsid w:val="00B95718"/>
    <w:rsid w:val="00B960D7"/>
    <w:rsid w:val="00B96CBA"/>
    <w:rsid w:val="00B973AC"/>
    <w:rsid w:val="00BA1D3F"/>
    <w:rsid w:val="00BA500F"/>
    <w:rsid w:val="00BA58A3"/>
    <w:rsid w:val="00BA633D"/>
    <w:rsid w:val="00BA694B"/>
    <w:rsid w:val="00BB08CB"/>
    <w:rsid w:val="00BB1680"/>
    <w:rsid w:val="00BB2007"/>
    <w:rsid w:val="00BB25D9"/>
    <w:rsid w:val="00BB298C"/>
    <w:rsid w:val="00BB3DCD"/>
    <w:rsid w:val="00BB3F87"/>
    <w:rsid w:val="00BB4653"/>
    <w:rsid w:val="00BC27EE"/>
    <w:rsid w:val="00BC298A"/>
    <w:rsid w:val="00BC2C7E"/>
    <w:rsid w:val="00BC4295"/>
    <w:rsid w:val="00BC5340"/>
    <w:rsid w:val="00BC59E9"/>
    <w:rsid w:val="00BC63E7"/>
    <w:rsid w:val="00BC676F"/>
    <w:rsid w:val="00BC6898"/>
    <w:rsid w:val="00BC6939"/>
    <w:rsid w:val="00BC6DE4"/>
    <w:rsid w:val="00BD07BC"/>
    <w:rsid w:val="00BD0ACD"/>
    <w:rsid w:val="00BD2B24"/>
    <w:rsid w:val="00BD32C7"/>
    <w:rsid w:val="00BD6A9E"/>
    <w:rsid w:val="00BD7342"/>
    <w:rsid w:val="00BD7874"/>
    <w:rsid w:val="00BE0818"/>
    <w:rsid w:val="00BE09E7"/>
    <w:rsid w:val="00BE0E4C"/>
    <w:rsid w:val="00BE19CF"/>
    <w:rsid w:val="00BE4654"/>
    <w:rsid w:val="00BE5AF7"/>
    <w:rsid w:val="00BE6AD3"/>
    <w:rsid w:val="00BE71DF"/>
    <w:rsid w:val="00BF0D27"/>
    <w:rsid w:val="00BF2C38"/>
    <w:rsid w:val="00BF30F6"/>
    <w:rsid w:val="00BF3452"/>
    <w:rsid w:val="00BF3491"/>
    <w:rsid w:val="00BF384B"/>
    <w:rsid w:val="00BF3EDE"/>
    <w:rsid w:val="00BF4E1C"/>
    <w:rsid w:val="00BF5435"/>
    <w:rsid w:val="00BF5F1B"/>
    <w:rsid w:val="00BF7E81"/>
    <w:rsid w:val="00C00C97"/>
    <w:rsid w:val="00C00F80"/>
    <w:rsid w:val="00C00FEF"/>
    <w:rsid w:val="00C021CC"/>
    <w:rsid w:val="00C02D07"/>
    <w:rsid w:val="00C03016"/>
    <w:rsid w:val="00C04275"/>
    <w:rsid w:val="00C0473E"/>
    <w:rsid w:val="00C048FD"/>
    <w:rsid w:val="00C0571C"/>
    <w:rsid w:val="00C05EBF"/>
    <w:rsid w:val="00C10423"/>
    <w:rsid w:val="00C12753"/>
    <w:rsid w:val="00C13A9E"/>
    <w:rsid w:val="00C13DA3"/>
    <w:rsid w:val="00C13F61"/>
    <w:rsid w:val="00C14E49"/>
    <w:rsid w:val="00C156C4"/>
    <w:rsid w:val="00C16AFB"/>
    <w:rsid w:val="00C16F6D"/>
    <w:rsid w:val="00C17358"/>
    <w:rsid w:val="00C17E76"/>
    <w:rsid w:val="00C20372"/>
    <w:rsid w:val="00C20869"/>
    <w:rsid w:val="00C211B1"/>
    <w:rsid w:val="00C213A9"/>
    <w:rsid w:val="00C237C1"/>
    <w:rsid w:val="00C24EA7"/>
    <w:rsid w:val="00C25266"/>
    <w:rsid w:val="00C25F78"/>
    <w:rsid w:val="00C27EEC"/>
    <w:rsid w:val="00C3070F"/>
    <w:rsid w:val="00C30858"/>
    <w:rsid w:val="00C31417"/>
    <w:rsid w:val="00C34448"/>
    <w:rsid w:val="00C35136"/>
    <w:rsid w:val="00C3544C"/>
    <w:rsid w:val="00C3569B"/>
    <w:rsid w:val="00C35D58"/>
    <w:rsid w:val="00C36343"/>
    <w:rsid w:val="00C364A1"/>
    <w:rsid w:val="00C36B1E"/>
    <w:rsid w:val="00C37666"/>
    <w:rsid w:val="00C40401"/>
    <w:rsid w:val="00C41542"/>
    <w:rsid w:val="00C4304E"/>
    <w:rsid w:val="00C43CA0"/>
    <w:rsid w:val="00C4442F"/>
    <w:rsid w:val="00C45604"/>
    <w:rsid w:val="00C457F9"/>
    <w:rsid w:val="00C45A2F"/>
    <w:rsid w:val="00C46086"/>
    <w:rsid w:val="00C463AA"/>
    <w:rsid w:val="00C468EB"/>
    <w:rsid w:val="00C469F3"/>
    <w:rsid w:val="00C477FD"/>
    <w:rsid w:val="00C47F45"/>
    <w:rsid w:val="00C5092A"/>
    <w:rsid w:val="00C50AAD"/>
    <w:rsid w:val="00C50B67"/>
    <w:rsid w:val="00C5288F"/>
    <w:rsid w:val="00C52EE7"/>
    <w:rsid w:val="00C55BA3"/>
    <w:rsid w:val="00C55EED"/>
    <w:rsid w:val="00C57F7F"/>
    <w:rsid w:val="00C60714"/>
    <w:rsid w:val="00C60DA9"/>
    <w:rsid w:val="00C611CE"/>
    <w:rsid w:val="00C61438"/>
    <w:rsid w:val="00C622B5"/>
    <w:rsid w:val="00C622B8"/>
    <w:rsid w:val="00C62530"/>
    <w:rsid w:val="00C62BA9"/>
    <w:rsid w:val="00C63188"/>
    <w:rsid w:val="00C63641"/>
    <w:rsid w:val="00C6468A"/>
    <w:rsid w:val="00C6586E"/>
    <w:rsid w:val="00C66CB2"/>
    <w:rsid w:val="00C71C16"/>
    <w:rsid w:val="00C720ED"/>
    <w:rsid w:val="00C75605"/>
    <w:rsid w:val="00C75B84"/>
    <w:rsid w:val="00C77286"/>
    <w:rsid w:val="00C8128C"/>
    <w:rsid w:val="00C82E5D"/>
    <w:rsid w:val="00C83275"/>
    <w:rsid w:val="00C83B3F"/>
    <w:rsid w:val="00C84846"/>
    <w:rsid w:val="00C84CC5"/>
    <w:rsid w:val="00C84D76"/>
    <w:rsid w:val="00C85419"/>
    <w:rsid w:val="00C856F7"/>
    <w:rsid w:val="00C85DB2"/>
    <w:rsid w:val="00C8684B"/>
    <w:rsid w:val="00C873F0"/>
    <w:rsid w:val="00C876D6"/>
    <w:rsid w:val="00C90DEE"/>
    <w:rsid w:val="00C93F55"/>
    <w:rsid w:val="00C949E4"/>
    <w:rsid w:val="00C95D74"/>
    <w:rsid w:val="00C960CA"/>
    <w:rsid w:val="00C962BD"/>
    <w:rsid w:val="00C96622"/>
    <w:rsid w:val="00CA0690"/>
    <w:rsid w:val="00CA1EC1"/>
    <w:rsid w:val="00CA25BC"/>
    <w:rsid w:val="00CA356D"/>
    <w:rsid w:val="00CA3CBB"/>
    <w:rsid w:val="00CA42EB"/>
    <w:rsid w:val="00CA4F80"/>
    <w:rsid w:val="00CA545D"/>
    <w:rsid w:val="00CA72C6"/>
    <w:rsid w:val="00CA772B"/>
    <w:rsid w:val="00CB3524"/>
    <w:rsid w:val="00CB40E3"/>
    <w:rsid w:val="00CB4174"/>
    <w:rsid w:val="00CB4342"/>
    <w:rsid w:val="00CB527F"/>
    <w:rsid w:val="00CB58A0"/>
    <w:rsid w:val="00CB5E7B"/>
    <w:rsid w:val="00CB6842"/>
    <w:rsid w:val="00CB7089"/>
    <w:rsid w:val="00CB75B5"/>
    <w:rsid w:val="00CC01F4"/>
    <w:rsid w:val="00CC0472"/>
    <w:rsid w:val="00CC145D"/>
    <w:rsid w:val="00CC1DC2"/>
    <w:rsid w:val="00CC27F7"/>
    <w:rsid w:val="00CC29AC"/>
    <w:rsid w:val="00CC31D8"/>
    <w:rsid w:val="00CC4125"/>
    <w:rsid w:val="00CC48D3"/>
    <w:rsid w:val="00CC5D4E"/>
    <w:rsid w:val="00CC77A9"/>
    <w:rsid w:val="00CD2F53"/>
    <w:rsid w:val="00CD533C"/>
    <w:rsid w:val="00CD62C4"/>
    <w:rsid w:val="00CD69D0"/>
    <w:rsid w:val="00CD7706"/>
    <w:rsid w:val="00CD77B1"/>
    <w:rsid w:val="00CE0214"/>
    <w:rsid w:val="00CE1843"/>
    <w:rsid w:val="00CE1AF2"/>
    <w:rsid w:val="00CE2CAE"/>
    <w:rsid w:val="00CE3C06"/>
    <w:rsid w:val="00CE50A8"/>
    <w:rsid w:val="00CE543F"/>
    <w:rsid w:val="00CE65B3"/>
    <w:rsid w:val="00CE6AF7"/>
    <w:rsid w:val="00CE78E2"/>
    <w:rsid w:val="00CE7FE9"/>
    <w:rsid w:val="00CF0831"/>
    <w:rsid w:val="00CF09AF"/>
    <w:rsid w:val="00CF0B80"/>
    <w:rsid w:val="00CF0E43"/>
    <w:rsid w:val="00CF0EA9"/>
    <w:rsid w:val="00CF1352"/>
    <w:rsid w:val="00CF15F8"/>
    <w:rsid w:val="00CF29AB"/>
    <w:rsid w:val="00CF3094"/>
    <w:rsid w:val="00CF33D2"/>
    <w:rsid w:val="00CF42EC"/>
    <w:rsid w:val="00CF510F"/>
    <w:rsid w:val="00CF5A41"/>
    <w:rsid w:val="00CF5AF0"/>
    <w:rsid w:val="00CF764D"/>
    <w:rsid w:val="00CF772A"/>
    <w:rsid w:val="00CF7E6A"/>
    <w:rsid w:val="00D00CE3"/>
    <w:rsid w:val="00D0120E"/>
    <w:rsid w:val="00D025CB"/>
    <w:rsid w:val="00D02811"/>
    <w:rsid w:val="00D032A0"/>
    <w:rsid w:val="00D03CE8"/>
    <w:rsid w:val="00D040AF"/>
    <w:rsid w:val="00D058F5"/>
    <w:rsid w:val="00D060FF"/>
    <w:rsid w:val="00D067D4"/>
    <w:rsid w:val="00D1193F"/>
    <w:rsid w:val="00D12F50"/>
    <w:rsid w:val="00D13988"/>
    <w:rsid w:val="00D143BD"/>
    <w:rsid w:val="00D148C0"/>
    <w:rsid w:val="00D14B6D"/>
    <w:rsid w:val="00D1675F"/>
    <w:rsid w:val="00D17BE0"/>
    <w:rsid w:val="00D20D36"/>
    <w:rsid w:val="00D23BF9"/>
    <w:rsid w:val="00D23EC8"/>
    <w:rsid w:val="00D246D6"/>
    <w:rsid w:val="00D25695"/>
    <w:rsid w:val="00D26273"/>
    <w:rsid w:val="00D2665A"/>
    <w:rsid w:val="00D26F65"/>
    <w:rsid w:val="00D27B09"/>
    <w:rsid w:val="00D3061F"/>
    <w:rsid w:val="00D306A2"/>
    <w:rsid w:val="00D30AA8"/>
    <w:rsid w:val="00D30BBD"/>
    <w:rsid w:val="00D31796"/>
    <w:rsid w:val="00D318B1"/>
    <w:rsid w:val="00D33B49"/>
    <w:rsid w:val="00D33E1B"/>
    <w:rsid w:val="00D350D1"/>
    <w:rsid w:val="00D35EC3"/>
    <w:rsid w:val="00D3629D"/>
    <w:rsid w:val="00D36839"/>
    <w:rsid w:val="00D36E64"/>
    <w:rsid w:val="00D4199D"/>
    <w:rsid w:val="00D4375E"/>
    <w:rsid w:val="00D43CC0"/>
    <w:rsid w:val="00D442EF"/>
    <w:rsid w:val="00D45627"/>
    <w:rsid w:val="00D46329"/>
    <w:rsid w:val="00D46AC9"/>
    <w:rsid w:val="00D473BF"/>
    <w:rsid w:val="00D4753E"/>
    <w:rsid w:val="00D5195B"/>
    <w:rsid w:val="00D52685"/>
    <w:rsid w:val="00D543FF"/>
    <w:rsid w:val="00D60A9A"/>
    <w:rsid w:val="00D64618"/>
    <w:rsid w:val="00D66451"/>
    <w:rsid w:val="00D6647D"/>
    <w:rsid w:val="00D67275"/>
    <w:rsid w:val="00D674A9"/>
    <w:rsid w:val="00D6766D"/>
    <w:rsid w:val="00D67A4C"/>
    <w:rsid w:val="00D67E1E"/>
    <w:rsid w:val="00D70E80"/>
    <w:rsid w:val="00D716DC"/>
    <w:rsid w:val="00D71833"/>
    <w:rsid w:val="00D72170"/>
    <w:rsid w:val="00D72343"/>
    <w:rsid w:val="00D73CA3"/>
    <w:rsid w:val="00D748FC"/>
    <w:rsid w:val="00D753C6"/>
    <w:rsid w:val="00D75A57"/>
    <w:rsid w:val="00D77360"/>
    <w:rsid w:val="00D77494"/>
    <w:rsid w:val="00D77CD7"/>
    <w:rsid w:val="00D77F11"/>
    <w:rsid w:val="00D810C9"/>
    <w:rsid w:val="00D822A8"/>
    <w:rsid w:val="00D8417D"/>
    <w:rsid w:val="00D84F17"/>
    <w:rsid w:val="00D84FAE"/>
    <w:rsid w:val="00D86176"/>
    <w:rsid w:val="00D87D89"/>
    <w:rsid w:val="00D91954"/>
    <w:rsid w:val="00D92789"/>
    <w:rsid w:val="00D9416F"/>
    <w:rsid w:val="00D96056"/>
    <w:rsid w:val="00D974CF"/>
    <w:rsid w:val="00D97B4D"/>
    <w:rsid w:val="00D97BAF"/>
    <w:rsid w:val="00D97C2A"/>
    <w:rsid w:val="00DA11C7"/>
    <w:rsid w:val="00DA2C12"/>
    <w:rsid w:val="00DA4875"/>
    <w:rsid w:val="00DA5E2A"/>
    <w:rsid w:val="00DA6496"/>
    <w:rsid w:val="00DA7729"/>
    <w:rsid w:val="00DB12D2"/>
    <w:rsid w:val="00DB2511"/>
    <w:rsid w:val="00DB2755"/>
    <w:rsid w:val="00DB2C34"/>
    <w:rsid w:val="00DB3787"/>
    <w:rsid w:val="00DB43D8"/>
    <w:rsid w:val="00DB596B"/>
    <w:rsid w:val="00DB5BC7"/>
    <w:rsid w:val="00DB6940"/>
    <w:rsid w:val="00DB6C01"/>
    <w:rsid w:val="00DB6DA8"/>
    <w:rsid w:val="00DB71A2"/>
    <w:rsid w:val="00DB791F"/>
    <w:rsid w:val="00DC02CB"/>
    <w:rsid w:val="00DC2714"/>
    <w:rsid w:val="00DC2AC6"/>
    <w:rsid w:val="00DC32F2"/>
    <w:rsid w:val="00DC34A6"/>
    <w:rsid w:val="00DC35FA"/>
    <w:rsid w:val="00DC59F8"/>
    <w:rsid w:val="00DC6978"/>
    <w:rsid w:val="00DC6B1E"/>
    <w:rsid w:val="00DD15C1"/>
    <w:rsid w:val="00DD1934"/>
    <w:rsid w:val="00DD1A1A"/>
    <w:rsid w:val="00DD1AEF"/>
    <w:rsid w:val="00DD277C"/>
    <w:rsid w:val="00DD2A0A"/>
    <w:rsid w:val="00DD306D"/>
    <w:rsid w:val="00DD320A"/>
    <w:rsid w:val="00DD34F0"/>
    <w:rsid w:val="00DD53A4"/>
    <w:rsid w:val="00DD7B9B"/>
    <w:rsid w:val="00DD7D8F"/>
    <w:rsid w:val="00DE0541"/>
    <w:rsid w:val="00DE27F1"/>
    <w:rsid w:val="00DE2ED4"/>
    <w:rsid w:val="00DE4B71"/>
    <w:rsid w:val="00DE4E37"/>
    <w:rsid w:val="00DE53E8"/>
    <w:rsid w:val="00DE64B0"/>
    <w:rsid w:val="00DF03B3"/>
    <w:rsid w:val="00DF1C4B"/>
    <w:rsid w:val="00DF25D8"/>
    <w:rsid w:val="00DF399D"/>
    <w:rsid w:val="00DF3BCD"/>
    <w:rsid w:val="00DF4A8A"/>
    <w:rsid w:val="00DF4FBA"/>
    <w:rsid w:val="00DF52E8"/>
    <w:rsid w:val="00DF6744"/>
    <w:rsid w:val="00DF7296"/>
    <w:rsid w:val="00E00133"/>
    <w:rsid w:val="00E00B08"/>
    <w:rsid w:val="00E00BE7"/>
    <w:rsid w:val="00E01A9F"/>
    <w:rsid w:val="00E02DD8"/>
    <w:rsid w:val="00E04ADF"/>
    <w:rsid w:val="00E05417"/>
    <w:rsid w:val="00E059C3"/>
    <w:rsid w:val="00E12531"/>
    <w:rsid w:val="00E12567"/>
    <w:rsid w:val="00E13215"/>
    <w:rsid w:val="00E13C53"/>
    <w:rsid w:val="00E13F34"/>
    <w:rsid w:val="00E14FAF"/>
    <w:rsid w:val="00E15B5F"/>
    <w:rsid w:val="00E2028D"/>
    <w:rsid w:val="00E21ABC"/>
    <w:rsid w:val="00E23E42"/>
    <w:rsid w:val="00E248D1"/>
    <w:rsid w:val="00E249B8"/>
    <w:rsid w:val="00E25331"/>
    <w:rsid w:val="00E26531"/>
    <w:rsid w:val="00E26816"/>
    <w:rsid w:val="00E27ED0"/>
    <w:rsid w:val="00E30072"/>
    <w:rsid w:val="00E30F25"/>
    <w:rsid w:val="00E31168"/>
    <w:rsid w:val="00E31BF1"/>
    <w:rsid w:val="00E3227C"/>
    <w:rsid w:val="00E33629"/>
    <w:rsid w:val="00E33A9B"/>
    <w:rsid w:val="00E34191"/>
    <w:rsid w:val="00E34606"/>
    <w:rsid w:val="00E34AA4"/>
    <w:rsid w:val="00E3689B"/>
    <w:rsid w:val="00E37D1B"/>
    <w:rsid w:val="00E43D2C"/>
    <w:rsid w:val="00E44664"/>
    <w:rsid w:val="00E452BC"/>
    <w:rsid w:val="00E47367"/>
    <w:rsid w:val="00E47B51"/>
    <w:rsid w:val="00E50894"/>
    <w:rsid w:val="00E522DE"/>
    <w:rsid w:val="00E53D02"/>
    <w:rsid w:val="00E54BB2"/>
    <w:rsid w:val="00E54C9A"/>
    <w:rsid w:val="00E55A44"/>
    <w:rsid w:val="00E56D68"/>
    <w:rsid w:val="00E60B2B"/>
    <w:rsid w:val="00E61CB3"/>
    <w:rsid w:val="00E646BD"/>
    <w:rsid w:val="00E6532C"/>
    <w:rsid w:val="00E663FD"/>
    <w:rsid w:val="00E677E5"/>
    <w:rsid w:val="00E67D0B"/>
    <w:rsid w:val="00E70319"/>
    <w:rsid w:val="00E718E0"/>
    <w:rsid w:val="00E71C2B"/>
    <w:rsid w:val="00E7213A"/>
    <w:rsid w:val="00E72C4D"/>
    <w:rsid w:val="00E73553"/>
    <w:rsid w:val="00E73938"/>
    <w:rsid w:val="00E74966"/>
    <w:rsid w:val="00E74E51"/>
    <w:rsid w:val="00E756A3"/>
    <w:rsid w:val="00E80B6E"/>
    <w:rsid w:val="00E8195F"/>
    <w:rsid w:val="00E81A10"/>
    <w:rsid w:val="00E824E1"/>
    <w:rsid w:val="00E82952"/>
    <w:rsid w:val="00E82C28"/>
    <w:rsid w:val="00E8308B"/>
    <w:rsid w:val="00E83A04"/>
    <w:rsid w:val="00E84AB0"/>
    <w:rsid w:val="00E858D6"/>
    <w:rsid w:val="00E860C0"/>
    <w:rsid w:val="00E86931"/>
    <w:rsid w:val="00E86DE9"/>
    <w:rsid w:val="00E86E25"/>
    <w:rsid w:val="00E906FC"/>
    <w:rsid w:val="00E90AAD"/>
    <w:rsid w:val="00E90B24"/>
    <w:rsid w:val="00E91059"/>
    <w:rsid w:val="00E915DE"/>
    <w:rsid w:val="00E92625"/>
    <w:rsid w:val="00E947C3"/>
    <w:rsid w:val="00E95C58"/>
    <w:rsid w:val="00E96600"/>
    <w:rsid w:val="00E969C8"/>
    <w:rsid w:val="00E97EF7"/>
    <w:rsid w:val="00EA03E8"/>
    <w:rsid w:val="00EA1E6D"/>
    <w:rsid w:val="00EA24D7"/>
    <w:rsid w:val="00EA3245"/>
    <w:rsid w:val="00EA3F65"/>
    <w:rsid w:val="00EA4EF7"/>
    <w:rsid w:val="00EA71A6"/>
    <w:rsid w:val="00EB29EF"/>
    <w:rsid w:val="00EB4214"/>
    <w:rsid w:val="00EB4251"/>
    <w:rsid w:val="00EB55D1"/>
    <w:rsid w:val="00EB5A36"/>
    <w:rsid w:val="00EB62C1"/>
    <w:rsid w:val="00EB76DD"/>
    <w:rsid w:val="00EB7A42"/>
    <w:rsid w:val="00EC0D76"/>
    <w:rsid w:val="00EC1439"/>
    <w:rsid w:val="00EC24DC"/>
    <w:rsid w:val="00EC32A8"/>
    <w:rsid w:val="00EC4711"/>
    <w:rsid w:val="00EC4C34"/>
    <w:rsid w:val="00EC53A2"/>
    <w:rsid w:val="00EC6C38"/>
    <w:rsid w:val="00EC7335"/>
    <w:rsid w:val="00ED01FE"/>
    <w:rsid w:val="00ED1A18"/>
    <w:rsid w:val="00ED327B"/>
    <w:rsid w:val="00ED382B"/>
    <w:rsid w:val="00ED4013"/>
    <w:rsid w:val="00ED530D"/>
    <w:rsid w:val="00ED56D1"/>
    <w:rsid w:val="00ED669C"/>
    <w:rsid w:val="00EE0268"/>
    <w:rsid w:val="00EE1B54"/>
    <w:rsid w:val="00EE221C"/>
    <w:rsid w:val="00EE292C"/>
    <w:rsid w:val="00EE3BB8"/>
    <w:rsid w:val="00EE46E4"/>
    <w:rsid w:val="00EE54F1"/>
    <w:rsid w:val="00EE5822"/>
    <w:rsid w:val="00EE5F74"/>
    <w:rsid w:val="00EE7619"/>
    <w:rsid w:val="00EF0FA3"/>
    <w:rsid w:val="00EF47F5"/>
    <w:rsid w:val="00EF5EAF"/>
    <w:rsid w:val="00EF61E1"/>
    <w:rsid w:val="00EF63DB"/>
    <w:rsid w:val="00EF746E"/>
    <w:rsid w:val="00F00D2B"/>
    <w:rsid w:val="00F01812"/>
    <w:rsid w:val="00F01A65"/>
    <w:rsid w:val="00F01CE4"/>
    <w:rsid w:val="00F01D22"/>
    <w:rsid w:val="00F033A2"/>
    <w:rsid w:val="00F03F8A"/>
    <w:rsid w:val="00F0459C"/>
    <w:rsid w:val="00F0737F"/>
    <w:rsid w:val="00F1032F"/>
    <w:rsid w:val="00F10E32"/>
    <w:rsid w:val="00F11559"/>
    <w:rsid w:val="00F12C3E"/>
    <w:rsid w:val="00F1318E"/>
    <w:rsid w:val="00F14024"/>
    <w:rsid w:val="00F14184"/>
    <w:rsid w:val="00F15BA5"/>
    <w:rsid w:val="00F15C1D"/>
    <w:rsid w:val="00F16024"/>
    <w:rsid w:val="00F175FD"/>
    <w:rsid w:val="00F21090"/>
    <w:rsid w:val="00F23D22"/>
    <w:rsid w:val="00F24560"/>
    <w:rsid w:val="00F2466E"/>
    <w:rsid w:val="00F24880"/>
    <w:rsid w:val="00F2523E"/>
    <w:rsid w:val="00F25FBA"/>
    <w:rsid w:val="00F264AB"/>
    <w:rsid w:val="00F264E5"/>
    <w:rsid w:val="00F269A0"/>
    <w:rsid w:val="00F271BC"/>
    <w:rsid w:val="00F27579"/>
    <w:rsid w:val="00F31EF9"/>
    <w:rsid w:val="00F32482"/>
    <w:rsid w:val="00F339A6"/>
    <w:rsid w:val="00F339CC"/>
    <w:rsid w:val="00F33BED"/>
    <w:rsid w:val="00F34536"/>
    <w:rsid w:val="00F35848"/>
    <w:rsid w:val="00F376AC"/>
    <w:rsid w:val="00F377DF"/>
    <w:rsid w:val="00F41702"/>
    <w:rsid w:val="00F41870"/>
    <w:rsid w:val="00F41970"/>
    <w:rsid w:val="00F41F56"/>
    <w:rsid w:val="00F43D0B"/>
    <w:rsid w:val="00F43DCD"/>
    <w:rsid w:val="00F43F1B"/>
    <w:rsid w:val="00F44121"/>
    <w:rsid w:val="00F44161"/>
    <w:rsid w:val="00F449F9"/>
    <w:rsid w:val="00F44D0B"/>
    <w:rsid w:val="00F45850"/>
    <w:rsid w:val="00F47B93"/>
    <w:rsid w:val="00F5357F"/>
    <w:rsid w:val="00F5526B"/>
    <w:rsid w:val="00F55671"/>
    <w:rsid w:val="00F55C2B"/>
    <w:rsid w:val="00F571E9"/>
    <w:rsid w:val="00F5730D"/>
    <w:rsid w:val="00F6085B"/>
    <w:rsid w:val="00F619CD"/>
    <w:rsid w:val="00F64179"/>
    <w:rsid w:val="00F65C07"/>
    <w:rsid w:val="00F670C4"/>
    <w:rsid w:val="00F7004C"/>
    <w:rsid w:val="00F70ED9"/>
    <w:rsid w:val="00F720F3"/>
    <w:rsid w:val="00F73B2C"/>
    <w:rsid w:val="00F750EF"/>
    <w:rsid w:val="00F763F0"/>
    <w:rsid w:val="00F76BBA"/>
    <w:rsid w:val="00F778F6"/>
    <w:rsid w:val="00F77EFF"/>
    <w:rsid w:val="00F808DD"/>
    <w:rsid w:val="00F851A1"/>
    <w:rsid w:val="00F85D3F"/>
    <w:rsid w:val="00F87559"/>
    <w:rsid w:val="00F87E8E"/>
    <w:rsid w:val="00F93797"/>
    <w:rsid w:val="00F956D7"/>
    <w:rsid w:val="00F963AD"/>
    <w:rsid w:val="00F970AD"/>
    <w:rsid w:val="00F970CD"/>
    <w:rsid w:val="00F97623"/>
    <w:rsid w:val="00FA0BCF"/>
    <w:rsid w:val="00FA1597"/>
    <w:rsid w:val="00FA28C6"/>
    <w:rsid w:val="00FA379F"/>
    <w:rsid w:val="00FA5056"/>
    <w:rsid w:val="00FA7FAB"/>
    <w:rsid w:val="00FB079B"/>
    <w:rsid w:val="00FB2BA4"/>
    <w:rsid w:val="00FB345E"/>
    <w:rsid w:val="00FB354C"/>
    <w:rsid w:val="00FB3556"/>
    <w:rsid w:val="00FB4CC7"/>
    <w:rsid w:val="00FC3D81"/>
    <w:rsid w:val="00FC48B5"/>
    <w:rsid w:val="00FC4BEF"/>
    <w:rsid w:val="00FC4BF5"/>
    <w:rsid w:val="00FC53F2"/>
    <w:rsid w:val="00FC5574"/>
    <w:rsid w:val="00FC6182"/>
    <w:rsid w:val="00FC74B2"/>
    <w:rsid w:val="00FC7663"/>
    <w:rsid w:val="00FD1771"/>
    <w:rsid w:val="00FD1ADF"/>
    <w:rsid w:val="00FD2032"/>
    <w:rsid w:val="00FD3E71"/>
    <w:rsid w:val="00FD4C6F"/>
    <w:rsid w:val="00FD4C9A"/>
    <w:rsid w:val="00FD5544"/>
    <w:rsid w:val="00FD556D"/>
    <w:rsid w:val="00FD60FB"/>
    <w:rsid w:val="00FD6A6B"/>
    <w:rsid w:val="00FE073D"/>
    <w:rsid w:val="00FE140B"/>
    <w:rsid w:val="00FE20D2"/>
    <w:rsid w:val="00FE2503"/>
    <w:rsid w:val="00FE2ABC"/>
    <w:rsid w:val="00FE2BD5"/>
    <w:rsid w:val="00FE32DA"/>
    <w:rsid w:val="00FE4C50"/>
    <w:rsid w:val="00FE5376"/>
    <w:rsid w:val="00FE577E"/>
    <w:rsid w:val="00FE5A71"/>
    <w:rsid w:val="00FE6D43"/>
    <w:rsid w:val="00FE6DFC"/>
    <w:rsid w:val="00FE792C"/>
    <w:rsid w:val="00FF0367"/>
    <w:rsid w:val="00FF06C8"/>
    <w:rsid w:val="00FF1C73"/>
    <w:rsid w:val="00FF28E9"/>
    <w:rsid w:val="00FF4302"/>
    <w:rsid w:val="00FF4F4B"/>
    <w:rsid w:val="00FF556E"/>
    <w:rsid w:val="00FF5E2E"/>
    <w:rsid w:val="00FF61C2"/>
    <w:rsid w:val="00FF6761"/>
    <w:rsid w:val="00FF7A97"/>
    <w:rsid w:val="0161647F"/>
    <w:rsid w:val="01C666E5"/>
    <w:rsid w:val="01CF67AD"/>
    <w:rsid w:val="024732B0"/>
    <w:rsid w:val="028A0D60"/>
    <w:rsid w:val="035E1F96"/>
    <w:rsid w:val="03645BB4"/>
    <w:rsid w:val="03760E3B"/>
    <w:rsid w:val="03A61800"/>
    <w:rsid w:val="03AC7793"/>
    <w:rsid w:val="03DC3038"/>
    <w:rsid w:val="041F39B5"/>
    <w:rsid w:val="047269ED"/>
    <w:rsid w:val="04771A9A"/>
    <w:rsid w:val="04862322"/>
    <w:rsid w:val="04893620"/>
    <w:rsid w:val="04F6572A"/>
    <w:rsid w:val="050C00C1"/>
    <w:rsid w:val="058C739B"/>
    <w:rsid w:val="05B67476"/>
    <w:rsid w:val="05C15024"/>
    <w:rsid w:val="06865980"/>
    <w:rsid w:val="06CE610E"/>
    <w:rsid w:val="073D056E"/>
    <w:rsid w:val="078379A5"/>
    <w:rsid w:val="079D7B01"/>
    <w:rsid w:val="08262A58"/>
    <w:rsid w:val="08784FAA"/>
    <w:rsid w:val="08CC6CE6"/>
    <w:rsid w:val="08F36520"/>
    <w:rsid w:val="093C378A"/>
    <w:rsid w:val="09A97827"/>
    <w:rsid w:val="09B16153"/>
    <w:rsid w:val="0A1C62D7"/>
    <w:rsid w:val="0A29104E"/>
    <w:rsid w:val="0A682522"/>
    <w:rsid w:val="0AE272F5"/>
    <w:rsid w:val="0B1966FC"/>
    <w:rsid w:val="0B2B4681"/>
    <w:rsid w:val="0B736347"/>
    <w:rsid w:val="0C2C119D"/>
    <w:rsid w:val="0C60338E"/>
    <w:rsid w:val="0C68281C"/>
    <w:rsid w:val="0C75178C"/>
    <w:rsid w:val="0C92764E"/>
    <w:rsid w:val="0CD51D27"/>
    <w:rsid w:val="0CDA7BD0"/>
    <w:rsid w:val="0D463F65"/>
    <w:rsid w:val="0DDF5B69"/>
    <w:rsid w:val="0EC26D2C"/>
    <w:rsid w:val="0F20786F"/>
    <w:rsid w:val="0FBD3BD7"/>
    <w:rsid w:val="101313EB"/>
    <w:rsid w:val="10831E63"/>
    <w:rsid w:val="1098775B"/>
    <w:rsid w:val="10DA2CFB"/>
    <w:rsid w:val="10E962BC"/>
    <w:rsid w:val="10EB3165"/>
    <w:rsid w:val="11023CB0"/>
    <w:rsid w:val="11306C3A"/>
    <w:rsid w:val="11454287"/>
    <w:rsid w:val="11A92FD0"/>
    <w:rsid w:val="11BA758E"/>
    <w:rsid w:val="11F52FDA"/>
    <w:rsid w:val="12180698"/>
    <w:rsid w:val="1279023D"/>
    <w:rsid w:val="129647CA"/>
    <w:rsid w:val="136B36E7"/>
    <w:rsid w:val="13E61AC0"/>
    <w:rsid w:val="14043D6B"/>
    <w:rsid w:val="14096B23"/>
    <w:rsid w:val="140B2B76"/>
    <w:rsid w:val="14782F75"/>
    <w:rsid w:val="149123DE"/>
    <w:rsid w:val="14A830B6"/>
    <w:rsid w:val="14A937D9"/>
    <w:rsid w:val="14B94964"/>
    <w:rsid w:val="14C11AAF"/>
    <w:rsid w:val="14C16F2D"/>
    <w:rsid w:val="151A3DCB"/>
    <w:rsid w:val="15230585"/>
    <w:rsid w:val="15805A79"/>
    <w:rsid w:val="15996375"/>
    <w:rsid w:val="15B8435E"/>
    <w:rsid w:val="160D0CD5"/>
    <w:rsid w:val="162E5C09"/>
    <w:rsid w:val="16386B3D"/>
    <w:rsid w:val="167E7B16"/>
    <w:rsid w:val="16894FEC"/>
    <w:rsid w:val="16BF245A"/>
    <w:rsid w:val="170B637F"/>
    <w:rsid w:val="171A404E"/>
    <w:rsid w:val="17246455"/>
    <w:rsid w:val="172756C9"/>
    <w:rsid w:val="174E2EE6"/>
    <w:rsid w:val="1769687E"/>
    <w:rsid w:val="17B71007"/>
    <w:rsid w:val="17F041D2"/>
    <w:rsid w:val="18372216"/>
    <w:rsid w:val="18554084"/>
    <w:rsid w:val="19084A78"/>
    <w:rsid w:val="190A4F6E"/>
    <w:rsid w:val="1937588E"/>
    <w:rsid w:val="19796130"/>
    <w:rsid w:val="197A10F3"/>
    <w:rsid w:val="19906082"/>
    <w:rsid w:val="19C6163D"/>
    <w:rsid w:val="19F7575D"/>
    <w:rsid w:val="19F84C2E"/>
    <w:rsid w:val="1A0A3CFC"/>
    <w:rsid w:val="1A2676CB"/>
    <w:rsid w:val="1A9B05CD"/>
    <w:rsid w:val="1AC85D3D"/>
    <w:rsid w:val="1AE04DB0"/>
    <w:rsid w:val="1AEA0639"/>
    <w:rsid w:val="1B1940ED"/>
    <w:rsid w:val="1B640551"/>
    <w:rsid w:val="1B895DF4"/>
    <w:rsid w:val="1B9E5584"/>
    <w:rsid w:val="1BF65B4F"/>
    <w:rsid w:val="1C41113A"/>
    <w:rsid w:val="1C8634D3"/>
    <w:rsid w:val="1CA80CDF"/>
    <w:rsid w:val="1CF80048"/>
    <w:rsid w:val="1D17073A"/>
    <w:rsid w:val="1D2E3D72"/>
    <w:rsid w:val="1D51549E"/>
    <w:rsid w:val="1D6048DD"/>
    <w:rsid w:val="1D6462B5"/>
    <w:rsid w:val="1DBD39DE"/>
    <w:rsid w:val="1E0A6AF9"/>
    <w:rsid w:val="1E0F29CB"/>
    <w:rsid w:val="1E7506B0"/>
    <w:rsid w:val="1E870D71"/>
    <w:rsid w:val="1E9004B2"/>
    <w:rsid w:val="1E917E41"/>
    <w:rsid w:val="1EE75517"/>
    <w:rsid w:val="1EEC7AF2"/>
    <w:rsid w:val="1F215940"/>
    <w:rsid w:val="1F672C2A"/>
    <w:rsid w:val="1FDF2621"/>
    <w:rsid w:val="20210CD3"/>
    <w:rsid w:val="205404CE"/>
    <w:rsid w:val="205E1FA5"/>
    <w:rsid w:val="20912E7A"/>
    <w:rsid w:val="20B51DF0"/>
    <w:rsid w:val="21302ED3"/>
    <w:rsid w:val="213C4797"/>
    <w:rsid w:val="21454C23"/>
    <w:rsid w:val="21456CFA"/>
    <w:rsid w:val="215461F0"/>
    <w:rsid w:val="218126D6"/>
    <w:rsid w:val="21A46299"/>
    <w:rsid w:val="22054AC1"/>
    <w:rsid w:val="2223345A"/>
    <w:rsid w:val="22257F39"/>
    <w:rsid w:val="22282252"/>
    <w:rsid w:val="22634933"/>
    <w:rsid w:val="22DE0D15"/>
    <w:rsid w:val="23037132"/>
    <w:rsid w:val="23B975FD"/>
    <w:rsid w:val="243E01C0"/>
    <w:rsid w:val="246C004D"/>
    <w:rsid w:val="24AF03DF"/>
    <w:rsid w:val="24D115AF"/>
    <w:rsid w:val="24E636C0"/>
    <w:rsid w:val="24F56F74"/>
    <w:rsid w:val="24FE72F5"/>
    <w:rsid w:val="2516588E"/>
    <w:rsid w:val="253D67DD"/>
    <w:rsid w:val="255B5E0B"/>
    <w:rsid w:val="255D3E0A"/>
    <w:rsid w:val="25834DD4"/>
    <w:rsid w:val="25971E89"/>
    <w:rsid w:val="25B23386"/>
    <w:rsid w:val="25F73229"/>
    <w:rsid w:val="26104BF7"/>
    <w:rsid w:val="266C67E4"/>
    <w:rsid w:val="26920F2B"/>
    <w:rsid w:val="26A91D72"/>
    <w:rsid w:val="27170171"/>
    <w:rsid w:val="27483067"/>
    <w:rsid w:val="278138B7"/>
    <w:rsid w:val="2793790F"/>
    <w:rsid w:val="2794142C"/>
    <w:rsid w:val="279B2F35"/>
    <w:rsid w:val="27A50801"/>
    <w:rsid w:val="27A97371"/>
    <w:rsid w:val="27F96A59"/>
    <w:rsid w:val="28776DBE"/>
    <w:rsid w:val="28AD400E"/>
    <w:rsid w:val="28C15387"/>
    <w:rsid w:val="28C2422B"/>
    <w:rsid w:val="28F60F0D"/>
    <w:rsid w:val="291063B2"/>
    <w:rsid w:val="29126174"/>
    <w:rsid w:val="29592AF5"/>
    <w:rsid w:val="297C5D46"/>
    <w:rsid w:val="29891E56"/>
    <w:rsid w:val="2A362EBD"/>
    <w:rsid w:val="2A98043E"/>
    <w:rsid w:val="2AB54EB7"/>
    <w:rsid w:val="2AE31B9D"/>
    <w:rsid w:val="2AEB217B"/>
    <w:rsid w:val="2AF077D1"/>
    <w:rsid w:val="2B132595"/>
    <w:rsid w:val="2B2B0548"/>
    <w:rsid w:val="2B416C49"/>
    <w:rsid w:val="2B4D7CED"/>
    <w:rsid w:val="2B7B0E5C"/>
    <w:rsid w:val="2BFC49DB"/>
    <w:rsid w:val="2C105976"/>
    <w:rsid w:val="2C337D96"/>
    <w:rsid w:val="2C565667"/>
    <w:rsid w:val="2C69251B"/>
    <w:rsid w:val="2CA7501D"/>
    <w:rsid w:val="2CCD0214"/>
    <w:rsid w:val="2CFE364E"/>
    <w:rsid w:val="2D112F7C"/>
    <w:rsid w:val="2D3B1727"/>
    <w:rsid w:val="2D524C40"/>
    <w:rsid w:val="2D646C45"/>
    <w:rsid w:val="2D7958A8"/>
    <w:rsid w:val="2D7F52E9"/>
    <w:rsid w:val="2D9A1D5C"/>
    <w:rsid w:val="2DA00DAA"/>
    <w:rsid w:val="2DE34E12"/>
    <w:rsid w:val="2E285857"/>
    <w:rsid w:val="2F72560D"/>
    <w:rsid w:val="2F9B1251"/>
    <w:rsid w:val="2FBF3981"/>
    <w:rsid w:val="30627F90"/>
    <w:rsid w:val="306F6160"/>
    <w:rsid w:val="312771EC"/>
    <w:rsid w:val="31886E82"/>
    <w:rsid w:val="318C55FD"/>
    <w:rsid w:val="322D0A52"/>
    <w:rsid w:val="32737086"/>
    <w:rsid w:val="32860735"/>
    <w:rsid w:val="32964712"/>
    <w:rsid w:val="33230BAA"/>
    <w:rsid w:val="33A55AB0"/>
    <w:rsid w:val="33AA5D83"/>
    <w:rsid w:val="33E37C2D"/>
    <w:rsid w:val="33F24A7F"/>
    <w:rsid w:val="33F72809"/>
    <w:rsid w:val="340227B8"/>
    <w:rsid w:val="34EF7078"/>
    <w:rsid w:val="351F7F0D"/>
    <w:rsid w:val="356E45E1"/>
    <w:rsid w:val="35D24FAA"/>
    <w:rsid w:val="35FE6119"/>
    <w:rsid w:val="360C6A15"/>
    <w:rsid w:val="36332C7A"/>
    <w:rsid w:val="364C54B9"/>
    <w:rsid w:val="365445AB"/>
    <w:rsid w:val="367F3ECF"/>
    <w:rsid w:val="368054F9"/>
    <w:rsid w:val="36B31654"/>
    <w:rsid w:val="37026A88"/>
    <w:rsid w:val="373B04F2"/>
    <w:rsid w:val="374437B3"/>
    <w:rsid w:val="37666778"/>
    <w:rsid w:val="37812F25"/>
    <w:rsid w:val="37B225D3"/>
    <w:rsid w:val="380E1352"/>
    <w:rsid w:val="38111D40"/>
    <w:rsid w:val="3868650F"/>
    <w:rsid w:val="38CD481F"/>
    <w:rsid w:val="38EE12B6"/>
    <w:rsid w:val="390504E7"/>
    <w:rsid w:val="397627EE"/>
    <w:rsid w:val="397A26A7"/>
    <w:rsid w:val="39BC417F"/>
    <w:rsid w:val="3A4715EA"/>
    <w:rsid w:val="3A6D7EB3"/>
    <w:rsid w:val="3A7D52CB"/>
    <w:rsid w:val="3A953740"/>
    <w:rsid w:val="3AA704E1"/>
    <w:rsid w:val="3AF814FA"/>
    <w:rsid w:val="3B217578"/>
    <w:rsid w:val="3B967E63"/>
    <w:rsid w:val="3BEB58E6"/>
    <w:rsid w:val="3C200397"/>
    <w:rsid w:val="3C3B28C6"/>
    <w:rsid w:val="3C7851C0"/>
    <w:rsid w:val="3C9F57D2"/>
    <w:rsid w:val="3CB426F2"/>
    <w:rsid w:val="3CC52006"/>
    <w:rsid w:val="3CCB0619"/>
    <w:rsid w:val="3CF51F10"/>
    <w:rsid w:val="3D0C4A8D"/>
    <w:rsid w:val="3D1A13B6"/>
    <w:rsid w:val="3D2072C7"/>
    <w:rsid w:val="3D6B3FBF"/>
    <w:rsid w:val="3DC51466"/>
    <w:rsid w:val="3DE33806"/>
    <w:rsid w:val="3E165938"/>
    <w:rsid w:val="3E68338C"/>
    <w:rsid w:val="3E8E0EBE"/>
    <w:rsid w:val="3E951504"/>
    <w:rsid w:val="3F280509"/>
    <w:rsid w:val="3FA575EF"/>
    <w:rsid w:val="3FA73C77"/>
    <w:rsid w:val="3FC05EED"/>
    <w:rsid w:val="3FD82E2C"/>
    <w:rsid w:val="40496AF2"/>
    <w:rsid w:val="405334A0"/>
    <w:rsid w:val="406156B2"/>
    <w:rsid w:val="408F1A42"/>
    <w:rsid w:val="40C8065F"/>
    <w:rsid w:val="40CA1718"/>
    <w:rsid w:val="40E041DB"/>
    <w:rsid w:val="410C78B7"/>
    <w:rsid w:val="419A4721"/>
    <w:rsid w:val="41F848CA"/>
    <w:rsid w:val="41FB0F1E"/>
    <w:rsid w:val="42167FF0"/>
    <w:rsid w:val="429239BA"/>
    <w:rsid w:val="42D45B3F"/>
    <w:rsid w:val="42E75F0A"/>
    <w:rsid w:val="42F6307C"/>
    <w:rsid w:val="43033A8B"/>
    <w:rsid w:val="43281D47"/>
    <w:rsid w:val="432C4941"/>
    <w:rsid w:val="433921C1"/>
    <w:rsid w:val="435019FA"/>
    <w:rsid w:val="438B5FB8"/>
    <w:rsid w:val="439738D6"/>
    <w:rsid w:val="43A3104D"/>
    <w:rsid w:val="43EF7248"/>
    <w:rsid w:val="443138FB"/>
    <w:rsid w:val="450A4108"/>
    <w:rsid w:val="450C7556"/>
    <w:rsid w:val="4540363F"/>
    <w:rsid w:val="454E7BF7"/>
    <w:rsid w:val="45811E77"/>
    <w:rsid w:val="458F502E"/>
    <w:rsid w:val="46005593"/>
    <w:rsid w:val="46284A11"/>
    <w:rsid w:val="463F1DAD"/>
    <w:rsid w:val="468135BB"/>
    <w:rsid w:val="470C6C36"/>
    <w:rsid w:val="47153E70"/>
    <w:rsid w:val="474B30D7"/>
    <w:rsid w:val="475C2E62"/>
    <w:rsid w:val="47B0114F"/>
    <w:rsid w:val="47D81F77"/>
    <w:rsid w:val="47F14BB9"/>
    <w:rsid w:val="483E665D"/>
    <w:rsid w:val="487E278C"/>
    <w:rsid w:val="48B82147"/>
    <w:rsid w:val="48CA7F80"/>
    <w:rsid w:val="48F5735B"/>
    <w:rsid w:val="49462AD6"/>
    <w:rsid w:val="49AD27C7"/>
    <w:rsid w:val="49F16311"/>
    <w:rsid w:val="4A1E5F3B"/>
    <w:rsid w:val="4A810A1A"/>
    <w:rsid w:val="4ABB46DE"/>
    <w:rsid w:val="4ABE23A8"/>
    <w:rsid w:val="4AE72B73"/>
    <w:rsid w:val="4BFC197E"/>
    <w:rsid w:val="4C104875"/>
    <w:rsid w:val="4CD8546A"/>
    <w:rsid w:val="4CE33283"/>
    <w:rsid w:val="4CF5088C"/>
    <w:rsid w:val="4D325A02"/>
    <w:rsid w:val="4D885826"/>
    <w:rsid w:val="4D9075F0"/>
    <w:rsid w:val="4DDC0C91"/>
    <w:rsid w:val="4E1572C4"/>
    <w:rsid w:val="4E554013"/>
    <w:rsid w:val="4EA17DEA"/>
    <w:rsid w:val="4EAF0A9F"/>
    <w:rsid w:val="4EF46E56"/>
    <w:rsid w:val="4F63652A"/>
    <w:rsid w:val="4F6C2A1F"/>
    <w:rsid w:val="4FA8559D"/>
    <w:rsid w:val="4FCE3E13"/>
    <w:rsid w:val="500E43EE"/>
    <w:rsid w:val="50176FEB"/>
    <w:rsid w:val="50845DF4"/>
    <w:rsid w:val="50F97F2C"/>
    <w:rsid w:val="516440B0"/>
    <w:rsid w:val="51660AA7"/>
    <w:rsid w:val="51A70F98"/>
    <w:rsid w:val="51CE43A7"/>
    <w:rsid w:val="51F32146"/>
    <w:rsid w:val="52B44CF5"/>
    <w:rsid w:val="52B638BC"/>
    <w:rsid w:val="53581ECC"/>
    <w:rsid w:val="536376ED"/>
    <w:rsid w:val="53BD397E"/>
    <w:rsid w:val="53C02545"/>
    <w:rsid w:val="54417C4D"/>
    <w:rsid w:val="54592D7B"/>
    <w:rsid w:val="54853D80"/>
    <w:rsid w:val="5505404E"/>
    <w:rsid w:val="55507E10"/>
    <w:rsid w:val="55AC44A7"/>
    <w:rsid w:val="55C4062E"/>
    <w:rsid w:val="55E2799B"/>
    <w:rsid w:val="56362344"/>
    <w:rsid w:val="56765B8A"/>
    <w:rsid w:val="56815ACA"/>
    <w:rsid w:val="56D60458"/>
    <w:rsid w:val="57183366"/>
    <w:rsid w:val="57DC37A8"/>
    <w:rsid w:val="58231EE9"/>
    <w:rsid w:val="587567AD"/>
    <w:rsid w:val="58876B99"/>
    <w:rsid w:val="58942919"/>
    <w:rsid w:val="597A383B"/>
    <w:rsid w:val="59B418C4"/>
    <w:rsid w:val="59CD17C0"/>
    <w:rsid w:val="59E66C62"/>
    <w:rsid w:val="5A5F54F7"/>
    <w:rsid w:val="5A5F572E"/>
    <w:rsid w:val="5AB80F47"/>
    <w:rsid w:val="5B4932DA"/>
    <w:rsid w:val="5B630680"/>
    <w:rsid w:val="5B711793"/>
    <w:rsid w:val="5B963A36"/>
    <w:rsid w:val="5BA10514"/>
    <w:rsid w:val="5BA12DF4"/>
    <w:rsid w:val="5C0B58EC"/>
    <w:rsid w:val="5C142626"/>
    <w:rsid w:val="5C6D3E3B"/>
    <w:rsid w:val="5CBC3C4E"/>
    <w:rsid w:val="5D08418D"/>
    <w:rsid w:val="5D266144"/>
    <w:rsid w:val="5D607D45"/>
    <w:rsid w:val="5D6C0AFE"/>
    <w:rsid w:val="5E645F0B"/>
    <w:rsid w:val="5ECF2978"/>
    <w:rsid w:val="5F5F31FB"/>
    <w:rsid w:val="5FD42590"/>
    <w:rsid w:val="5FDF3C6B"/>
    <w:rsid w:val="60B0386A"/>
    <w:rsid w:val="610E38DC"/>
    <w:rsid w:val="61124024"/>
    <w:rsid w:val="611611A3"/>
    <w:rsid w:val="61795860"/>
    <w:rsid w:val="619B2330"/>
    <w:rsid w:val="61B01B0E"/>
    <w:rsid w:val="61DB3608"/>
    <w:rsid w:val="61FB4416"/>
    <w:rsid w:val="62923020"/>
    <w:rsid w:val="6297452D"/>
    <w:rsid w:val="629C0134"/>
    <w:rsid w:val="62F31BF5"/>
    <w:rsid w:val="632E0F99"/>
    <w:rsid w:val="63767280"/>
    <w:rsid w:val="637E2D6F"/>
    <w:rsid w:val="63C57644"/>
    <w:rsid w:val="640E0302"/>
    <w:rsid w:val="64147E89"/>
    <w:rsid w:val="641C4ADF"/>
    <w:rsid w:val="64205992"/>
    <w:rsid w:val="643D6CC8"/>
    <w:rsid w:val="64B415FE"/>
    <w:rsid w:val="64DC03C6"/>
    <w:rsid w:val="650B1DB1"/>
    <w:rsid w:val="655B2B78"/>
    <w:rsid w:val="65621B5D"/>
    <w:rsid w:val="65F9433B"/>
    <w:rsid w:val="660331CF"/>
    <w:rsid w:val="661E10B4"/>
    <w:rsid w:val="662F34FB"/>
    <w:rsid w:val="66315F94"/>
    <w:rsid w:val="663A4FC0"/>
    <w:rsid w:val="66B443E8"/>
    <w:rsid w:val="66D84965"/>
    <w:rsid w:val="66E544B1"/>
    <w:rsid w:val="67644DF0"/>
    <w:rsid w:val="677E1DF1"/>
    <w:rsid w:val="678135B5"/>
    <w:rsid w:val="67B635F2"/>
    <w:rsid w:val="67E344A8"/>
    <w:rsid w:val="682D1F68"/>
    <w:rsid w:val="6844274D"/>
    <w:rsid w:val="687F763B"/>
    <w:rsid w:val="68800A5E"/>
    <w:rsid w:val="688B02AA"/>
    <w:rsid w:val="68A34FB4"/>
    <w:rsid w:val="68BF4738"/>
    <w:rsid w:val="68C6257B"/>
    <w:rsid w:val="68CF23E8"/>
    <w:rsid w:val="699E3AC0"/>
    <w:rsid w:val="69B431A2"/>
    <w:rsid w:val="69BE5A06"/>
    <w:rsid w:val="6A353441"/>
    <w:rsid w:val="6AAB029E"/>
    <w:rsid w:val="6AB04FD3"/>
    <w:rsid w:val="6B0227AC"/>
    <w:rsid w:val="6B044E61"/>
    <w:rsid w:val="6B2336A9"/>
    <w:rsid w:val="6B3C0C01"/>
    <w:rsid w:val="6B5D690C"/>
    <w:rsid w:val="6BB4719C"/>
    <w:rsid w:val="6BC70D89"/>
    <w:rsid w:val="6BD53012"/>
    <w:rsid w:val="6C931255"/>
    <w:rsid w:val="6C98643A"/>
    <w:rsid w:val="6CAA0BD3"/>
    <w:rsid w:val="6CBA40FA"/>
    <w:rsid w:val="6CDC3DB8"/>
    <w:rsid w:val="6CFB705D"/>
    <w:rsid w:val="6D0D258B"/>
    <w:rsid w:val="6D700988"/>
    <w:rsid w:val="6D731BFD"/>
    <w:rsid w:val="6DB336BD"/>
    <w:rsid w:val="6DC9567A"/>
    <w:rsid w:val="6E5D76E0"/>
    <w:rsid w:val="6EAF695B"/>
    <w:rsid w:val="6ECB5C83"/>
    <w:rsid w:val="6ECE4D56"/>
    <w:rsid w:val="6F3B1CCE"/>
    <w:rsid w:val="6F6B1DC7"/>
    <w:rsid w:val="6F795B10"/>
    <w:rsid w:val="6FE07722"/>
    <w:rsid w:val="6FEC710A"/>
    <w:rsid w:val="6FFB785C"/>
    <w:rsid w:val="70663C5B"/>
    <w:rsid w:val="70A45A92"/>
    <w:rsid w:val="70D06DB2"/>
    <w:rsid w:val="70F90C10"/>
    <w:rsid w:val="710D1DCE"/>
    <w:rsid w:val="711C3B35"/>
    <w:rsid w:val="714D7C48"/>
    <w:rsid w:val="718F6638"/>
    <w:rsid w:val="71A57A11"/>
    <w:rsid w:val="71C130E2"/>
    <w:rsid w:val="71DE49DC"/>
    <w:rsid w:val="720D23A8"/>
    <w:rsid w:val="729108E1"/>
    <w:rsid w:val="72AA19C8"/>
    <w:rsid w:val="72CA4D4E"/>
    <w:rsid w:val="72CB1A5C"/>
    <w:rsid w:val="73C13E41"/>
    <w:rsid w:val="73DD04F0"/>
    <w:rsid w:val="73FB1C22"/>
    <w:rsid w:val="742C32DC"/>
    <w:rsid w:val="743A286E"/>
    <w:rsid w:val="74536018"/>
    <w:rsid w:val="7455663A"/>
    <w:rsid w:val="745D239F"/>
    <w:rsid w:val="74712B4F"/>
    <w:rsid w:val="74847BF1"/>
    <w:rsid w:val="75114A85"/>
    <w:rsid w:val="753B419E"/>
    <w:rsid w:val="754F74E4"/>
    <w:rsid w:val="756D7E7B"/>
    <w:rsid w:val="75AE178C"/>
    <w:rsid w:val="764A1DB1"/>
    <w:rsid w:val="76884F1E"/>
    <w:rsid w:val="76CE2586"/>
    <w:rsid w:val="76EF5117"/>
    <w:rsid w:val="77630E4B"/>
    <w:rsid w:val="7781205C"/>
    <w:rsid w:val="77C10755"/>
    <w:rsid w:val="78397A42"/>
    <w:rsid w:val="785570C6"/>
    <w:rsid w:val="787A2BF5"/>
    <w:rsid w:val="789543AF"/>
    <w:rsid w:val="789D2FBA"/>
    <w:rsid w:val="789F3A25"/>
    <w:rsid w:val="78F869C7"/>
    <w:rsid w:val="79696C42"/>
    <w:rsid w:val="7983271A"/>
    <w:rsid w:val="79F712AB"/>
    <w:rsid w:val="7A22389E"/>
    <w:rsid w:val="7A310FC1"/>
    <w:rsid w:val="7A334AA7"/>
    <w:rsid w:val="7A3975C2"/>
    <w:rsid w:val="7AB832F2"/>
    <w:rsid w:val="7ADB5285"/>
    <w:rsid w:val="7B0E0181"/>
    <w:rsid w:val="7B5030D4"/>
    <w:rsid w:val="7BA00052"/>
    <w:rsid w:val="7BB277CE"/>
    <w:rsid w:val="7BB44338"/>
    <w:rsid w:val="7C0A4D9D"/>
    <w:rsid w:val="7C2F5F32"/>
    <w:rsid w:val="7C63075C"/>
    <w:rsid w:val="7CB56206"/>
    <w:rsid w:val="7CBB05CE"/>
    <w:rsid w:val="7CC51F8B"/>
    <w:rsid w:val="7D04138E"/>
    <w:rsid w:val="7D257CE9"/>
    <w:rsid w:val="7D4B4E63"/>
    <w:rsid w:val="7D5C0EED"/>
    <w:rsid w:val="7D781125"/>
    <w:rsid w:val="7D8C7F87"/>
    <w:rsid w:val="7DD012F1"/>
    <w:rsid w:val="7DE30A68"/>
    <w:rsid w:val="7E424EB4"/>
    <w:rsid w:val="7E854640"/>
    <w:rsid w:val="7EA35B94"/>
    <w:rsid w:val="7EAF06B0"/>
    <w:rsid w:val="7EC52803"/>
    <w:rsid w:val="7F01129C"/>
    <w:rsid w:val="7F103B24"/>
    <w:rsid w:val="7F1D164D"/>
    <w:rsid w:val="7F72445D"/>
    <w:rsid w:val="7F9C0275"/>
    <w:rsid w:val="7FB8559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FFF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semiHidden="0" w:name="heading 3"/>
    <w:lsdException w:qFormat="1" w:uiPriority="9" w:semiHidden="0" w:name="heading 4"/>
    <w:lsdException w:qFormat="1" w:unhideWhenUsed="0"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99" w:name="footnote text"/>
    <w:lsdException w:qFormat="1" w:unhideWhenUsed="0" w:uiPriority="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qFormat="1"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qFormat="1" w:unhideWhenUsed="0" w:uiPriority="0" w:semiHidden="0"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53"/>
    <w:qFormat/>
    <w:uiPriority w:val="0"/>
    <w:pPr>
      <w:keepNext/>
      <w:keepLines/>
      <w:numPr>
        <w:ilvl w:val="0"/>
        <w:numId w:val="1"/>
      </w:numPr>
      <w:spacing w:line="360" w:lineRule="auto"/>
      <w:ind w:left="0" w:firstLine="0"/>
      <w:outlineLvl w:val="0"/>
    </w:pPr>
    <w:rPr>
      <w:rFonts w:ascii="Times New Roman" w:hAnsi="Times New Roman" w:eastAsia="黑体" w:cs="Times New Roman"/>
      <w:b/>
      <w:bCs/>
      <w:kern w:val="44"/>
      <w:sz w:val="30"/>
      <w:szCs w:val="44"/>
    </w:rPr>
  </w:style>
  <w:style w:type="paragraph" w:styleId="3">
    <w:name w:val="heading 2"/>
    <w:basedOn w:val="1"/>
    <w:next w:val="1"/>
    <w:link w:val="52"/>
    <w:qFormat/>
    <w:uiPriority w:val="0"/>
    <w:pPr>
      <w:keepNext/>
      <w:keepLines/>
      <w:numPr>
        <w:ilvl w:val="1"/>
        <w:numId w:val="1"/>
      </w:numPr>
      <w:adjustRightInd w:val="0"/>
      <w:snapToGrid w:val="0"/>
      <w:spacing w:line="360" w:lineRule="auto"/>
      <w:ind w:left="0" w:firstLine="0"/>
      <w:outlineLvl w:val="1"/>
    </w:pPr>
    <w:rPr>
      <w:rFonts w:ascii="Times New Roman" w:hAnsi="Times New Roman" w:eastAsia="黑体" w:cs="Times New Roman"/>
      <w:b/>
      <w:spacing w:val="6"/>
      <w:sz w:val="28"/>
      <w:szCs w:val="28"/>
    </w:rPr>
  </w:style>
  <w:style w:type="paragraph" w:styleId="4">
    <w:name w:val="heading 3"/>
    <w:basedOn w:val="1"/>
    <w:next w:val="1"/>
    <w:link w:val="51"/>
    <w:unhideWhenUsed/>
    <w:qFormat/>
    <w:uiPriority w:val="9"/>
    <w:pPr>
      <w:keepNext/>
      <w:keepLines/>
      <w:numPr>
        <w:ilvl w:val="2"/>
        <w:numId w:val="1"/>
      </w:numPr>
      <w:spacing w:line="360" w:lineRule="auto"/>
      <w:ind w:left="0" w:firstLine="0"/>
      <w:outlineLvl w:val="2"/>
    </w:pPr>
    <w:rPr>
      <w:rFonts w:ascii="Times New Roman" w:hAnsi="Times New Roman" w:eastAsia="黑体"/>
      <w:b/>
      <w:bCs/>
      <w:sz w:val="24"/>
      <w:szCs w:val="32"/>
    </w:rPr>
  </w:style>
  <w:style w:type="paragraph" w:styleId="5">
    <w:name w:val="heading 4"/>
    <w:basedOn w:val="1"/>
    <w:next w:val="1"/>
    <w:link w:val="54"/>
    <w:unhideWhenUsed/>
    <w:qFormat/>
    <w:uiPriority w:val="9"/>
    <w:pPr>
      <w:keepNext/>
      <w:keepLines/>
      <w:numPr>
        <w:ilvl w:val="3"/>
        <w:numId w:val="1"/>
      </w:numPr>
      <w:spacing w:line="360" w:lineRule="auto"/>
      <w:ind w:left="0" w:firstLine="0"/>
      <w:outlineLvl w:val="3"/>
    </w:pPr>
    <w:rPr>
      <w:rFonts w:ascii="Times New Roman" w:hAnsi="Times New Roman" w:eastAsia="宋体" w:cstheme="majorBidi"/>
      <w:b/>
      <w:bCs/>
      <w:sz w:val="24"/>
      <w:szCs w:val="28"/>
    </w:rPr>
  </w:style>
  <w:style w:type="paragraph" w:styleId="6">
    <w:name w:val="heading 5"/>
    <w:basedOn w:val="1"/>
    <w:next w:val="1"/>
    <w:qFormat/>
    <w:uiPriority w:val="9"/>
    <w:pPr>
      <w:numPr>
        <w:ilvl w:val="4"/>
        <w:numId w:val="1"/>
      </w:numPr>
      <w:tabs>
        <w:tab w:val="left" w:pos="927"/>
        <w:tab w:val="clear" w:pos="420"/>
      </w:tabs>
      <w:autoSpaceDE w:val="0"/>
      <w:autoSpaceDN w:val="0"/>
      <w:adjustRightInd w:val="0"/>
      <w:snapToGrid w:val="0"/>
      <w:spacing w:line="360" w:lineRule="auto"/>
      <w:ind w:left="0" w:firstLine="0"/>
      <w:jc w:val="center"/>
      <w:textAlignment w:val="top"/>
      <w:outlineLvl w:val="4"/>
    </w:pPr>
    <w:rPr>
      <w:rFonts w:ascii="Times New Roman" w:hAnsi="Times New Roman" w:eastAsia="宋体"/>
      <w:b/>
      <w:szCs w:val="28"/>
    </w:rPr>
  </w:style>
  <w:style w:type="paragraph" w:styleId="7">
    <w:name w:val="heading 6"/>
    <w:basedOn w:val="1"/>
    <w:next w:val="1"/>
    <w:unhideWhenUsed/>
    <w:qFormat/>
    <w:uiPriority w:val="9"/>
    <w:pPr>
      <w:keepNext/>
      <w:keepLines/>
      <w:numPr>
        <w:ilvl w:val="5"/>
        <w:numId w:val="1"/>
      </w:numPr>
      <w:spacing w:before="240" w:beforeLines="0" w:beforeAutospacing="0" w:after="64" w:afterLines="0" w:afterAutospacing="0" w:line="317" w:lineRule="auto"/>
      <w:ind w:left="0" w:firstLine="0"/>
      <w:outlineLvl w:val="5"/>
    </w:pPr>
    <w:rPr>
      <w:rFonts w:ascii="Arial" w:hAnsi="Arial" w:eastAsia="黑体"/>
      <w:b/>
      <w:sz w:val="24"/>
    </w:rPr>
  </w:style>
  <w:style w:type="paragraph" w:styleId="8">
    <w:name w:val="heading 7"/>
    <w:basedOn w:val="1"/>
    <w:next w:val="1"/>
    <w:semiHidden/>
    <w:unhideWhenUsed/>
    <w:qFormat/>
    <w:uiPriority w:val="9"/>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semiHidden/>
    <w:unhideWhenUsed/>
    <w:qFormat/>
    <w:uiPriority w:val="9"/>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semiHidden/>
    <w:unhideWhenUsed/>
    <w:qFormat/>
    <w:uiPriority w:val="9"/>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41">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1260"/>
      <w:jc w:val="left"/>
    </w:pPr>
    <w:rPr>
      <w:rFonts w:eastAsiaTheme="minorHAnsi"/>
      <w:sz w:val="18"/>
      <w:szCs w:val="18"/>
    </w:rPr>
  </w:style>
  <w:style w:type="paragraph" w:styleId="12">
    <w:name w:val="Normal Indent"/>
    <w:basedOn w:val="1"/>
    <w:link w:val="62"/>
    <w:qFormat/>
    <w:uiPriority w:val="0"/>
    <w:pPr>
      <w:spacing w:line="264" w:lineRule="auto"/>
      <w:ind w:firstLine="476"/>
    </w:pPr>
    <w:rPr>
      <w:rFonts w:ascii="Arial" w:hAnsi="Arial" w:eastAsia="宋体" w:cs="Arial"/>
      <w:spacing w:val="10"/>
      <w:sz w:val="24"/>
    </w:rPr>
  </w:style>
  <w:style w:type="paragraph" w:styleId="13">
    <w:name w:val="caption"/>
    <w:basedOn w:val="1"/>
    <w:next w:val="1"/>
    <w:link w:val="117"/>
    <w:qFormat/>
    <w:uiPriority w:val="0"/>
    <w:pPr>
      <w:keepNext/>
      <w:adjustRightInd w:val="0"/>
      <w:jc w:val="center"/>
      <w:textAlignment w:val="baseline"/>
    </w:pPr>
    <w:rPr>
      <w:rFonts w:ascii="Times New Roman" w:hAnsi="Times New Roman" w:eastAsia="宋体" w:cs="Times New Roman"/>
      <w:b/>
      <w:kern w:val="0"/>
      <w:szCs w:val="21"/>
    </w:rPr>
  </w:style>
  <w:style w:type="paragraph" w:styleId="14">
    <w:name w:val="Document Map"/>
    <w:basedOn w:val="1"/>
    <w:link w:val="70"/>
    <w:unhideWhenUsed/>
    <w:qFormat/>
    <w:uiPriority w:val="99"/>
    <w:rPr>
      <w:rFonts w:ascii="宋体" w:hAnsi="Times New Roman" w:eastAsia="宋体"/>
      <w:sz w:val="18"/>
      <w:szCs w:val="18"/>
    </w:rPr>
  </w:style>
  <w:style w:type="paragraph" w:styleId="15">
    <w:name w:val="annotation text"/>
    <w:basedOn w:val="1"/>
    <w:link w:val="81"/>
    <w:semiHidden/>
    <w:qFormat/>
    <w:uiPriority w:val="0"/>
    <w:pPr>
      <w:jc w:val="left"/>
    </w:pPr>
    <w:rPr>
      <w:rFonts w:ascii="Times New Roman" w:hAnsi="Times New Roman" w:eastAsia="宋体" w:cs="Times New Roman"/>
      <w:szCs w:val="24"/>
    </w:rPr>
  </w:style>
  <w:style w:type="paragraph" w:styleId="16">
    <w:name w:val="Body Text"/>
    <w:basedOn w:val="1"/>
    <w:next w:val="1"/>
    <w:link w:val="77"/>
    <w:qFormat/>
    <w:uiPriority w:val="1"/>
    <w:rPr>
      <w:rFonts w:ascii="Times New Roman" w:hAnsi="Times New Roman" w:eastAsia="宋体" w:cs="Times New Roman"/>
      <w:sz w:val="28"/>
      <w:szCs w:val="28"/>
    </w:rPr>
  </w:style>
  <w:style w:type="paragraph" w:styleId="17">
    <w:name w:val="Body Text Indent"/>
    <w:basedOn w:val="1"/>
    <w:link w:val="98"/>
    <w:semiHidden/>
    <w:unhideWhenUsed/>
    <w:qFormat/>
    <w:uiPriority w:val="99"/>
    <w:pPr>
      <w:spacing w:after="120"/>
      <w:ind w:left="420" w:leftChars="200"/>
    </w:pPr>
  </w:style>
  <w:style w:type="paragraph" w:styleId="18">
    <w:name w:val="toc 5"/>
    <w:basedOn w:val="1"/>
    <w:next w:val="1"/>
    <w:unhideWhenUsed/>
    <w:qFormat/>
    <w:uiPriority w:val="39"/>
    <w:pPr>
      <w:ind w:left="840"/>
      <w:jc w:val="left"/>
    </w:pPr>
    <w:rPr>
      <w:rFonts w:eastAsiaTheme="minorHAnsi"/>
      <w:sz w:val="18"/>
      <w:szCs w:val="18"/>
    </w:rPr>
  </w:style>
  <w:style w:type="paragraph" w:styleId="19">
    <w:name w:val="toc 3"/>
    <w:basedOn w:val="1"/>
    <w:next w:val="1"/>
    <w:unhideWhenUsed/>
    <w:qFormat/>
    <w:uiPriority w:val="39"/>
    <w:pPr>
      <w:ind w:left="420"/>
      <w:jc w:val="left"/>
    </w:pPr>
    <w:rPr>
      <w:rFonts w:eastAsiaTheme="minorHAnsi"/>
      <w:i/>
      <w:iCs/>
      <w:sz w:val="20"/>
      <w:szCs w:val="20"/>
    </w:rPr>
  </w:style>
  <w:style w:type="paragraph" w:styleId="20">
    <w:name w:val="Plain Text"/>
    <w:basedOn w:val="1"/>
    <w:next w:val="1"/>
    <w:link w:val="68"/>
    <w:qFormat/>
    <w:uiPriority w:val="0"/>
    <w:rPr>
      <w:rFonts w:ascii="宋体" w:hAnsi="Courier New" w:eastAsia="宋体" w:cs="Courier New"/>
      <w:szCs w:val="21"/>
    </w:rPr>
  </w:style>
  <w:style w:type="paragraph" w:styleId="21">
    <w:name w:val="toc 8"/>
    <w:basedOn w:val="1"/>
    <w:next w:val="1"/>
    <w:unhideWhenUsed/>
    <w:qFormat/>
    <w:uiPriority w:val="39"/>
    <w:pPr>
      <w:ind w:left="1470"/>
      <w:jc w:val="left"/>
    </w:pPr>
    <w:rPr>
      <w:rFonts w:eastAsiaTheme="minorHAnsi"/>
      <w:sz w:val="18"/>
      <w:szCs w:val="18"/>
    </w:rPr>
  </w:style>
  <w:style w:type="paragraph" w:styleId="22">
    <w:name w:val="Date"/>
    <w:basedOn w:val="1"/>
    <w:next w:val="1"/>
    <w:link w:val="72"/>
    <w:qFormat/>
    <w:uiPriority w:val="0"/>
    <w:rPr>
      <w:rFonts w:ascii="Times New Roman" w:hAnsi="Times New Roman" w:eastAsia="宋体"/>
      <w:sz w:val="24"/>
    </w:rPr>
  </w:style>
  <w:style w:type="paragraph" w:styleId="23">
    <w:name w:val="Body Text Indent 2"/>
    <w:basedOn w:val="1"/>
    <w:link w:val="67"/>
    <w:qFormat/>
    <w:uiPriority w:val="0"/>
    <w:pPr>
      <w:tabs>
        <w:tab w:val="left" w:pos="0"/>
      </w:tabs>
      <w:spacing w:line="240" w:lineRule="atLeast"/>
      <w:ind w:right="21" w:rightChars="10" w:firstLine="640" w:firstLineChars="200"/>
      <w:jc w:val="left"/>
    </w:pPr>
    <w:rPr>
      <w:rFonts w:ascii="Times New Roman" w:hAnsi="Times New Roman" w:eastAsia="方正书宋简体"/>
      <w:sz w:val="32"/>
      <w:szCs w:val="24"/>
    </w:rPr>
  </w:style>
  <w:style w:type="paragraph" w:styleId="24">
    <w:name w:val="Balloon Text"/>
    <w:basedOn w:val="1"/>
    <w:link w:val="76"/>
    <w:semiHidden/>
    <w:qFormat/>
    <w:uiPriority w:val="0"/>
    <w:rPr>
      <w:rFonts w:ascii="Times New Roman" w:hAnsi="Times New Roman" w:eastAsia="宋体" w:cs="Times New Roman"/>
      <w:sz w:val="18"/>
      <w:szCs w:val="18"/>
    </w:rPr>
  </w:style>
  <w:style w:type="paragraph" w:styleId="25">
    <w:name w:val="footer"/>
    <w:basedOn w:val="1"/>
    <w:link w:val="61"/>
    <w:unhideWhenUsed/>
    <w:qFormat/>
    <w:uiPriority w:val="99"/>
    <w:pPr>
      <w:tabs>
        <w:tab w:val="center" w:pos="4153"/>
        <w:tab w:val="right" w:pos="8306"/>
      </w:tabs>
      <w:snapToGrid w:val="0"/>
      <w:jc w:val="left"/>
    </w:pPr>
    <w:rPr>
      <w:sz w:val="18"/>
      <w:szCs w:val="18"/>
    </w:rPr>
  </w:style>
  <w:style w:type="paragraph" w:styleId="26">
    <w:name w:val="header"/>
    <w:basedOn w:val="1"/>
    <w:link w:val="60"/>
    <w:unhideWhenUsed/>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unhideWhenUsed/>
    <w:qFormat/>
    <w:uiPriority w:val="39"/>
    <w:pPr>
      <w:spacing w:before="120" w:after="120"/>
      <w:jc w:val="left"/>
    </w:pPr>
    <w:rPr>
      <w:rFonts w:eastAsiaTheme="minorHAnsi"/>
      <w:b/>
      <w:bCs/>
      <w:caps/>
      <w:sz w:val="20"/>
      <w:szCs w:val="20"/>
    </w:rPr>
  </w:style>
  <w:style w:type="paragraph" w:styleId="28">
    <w:name w:val="toc 4"/>
    <w:basedOn w:val="1"/>
    <w:next w:val="1"/>
    <w:unhideWhenUsed/>
    <w:qFormat/>
    <w:uiPriority w:val="39"/>
    <w:pPr>
      <w:ind w:left="630"/>
      <w:jc w:val="left"/>
    </w:pPr>
    <w:rPr>
      <w:rFonts w:eastAsiaTheme="minorHAnsi"/>
      <w:sz w:val="18"/>
      <w:szCs w:val="18"/>
    </w:rPr>
  </w:style>
  <w:style w:type="paragraph" w:styleId="29">
    <w:name w:val="footnote text"/>
    <w:basedOn w:val="1"/>
    <w:link w:val="95"/>
    <w:semiHidden/>
    <w:unhideWhenUsed/>
    <w:qFormat/>
    <w:uiPriority w:val="99"/>
    <w:pPr>
      <w:snapToGrid w:val="0"/>
      <w:jc w:val="left"/>
    </w:pPr>
    <w:rPr>
      <w:sz w:val="18"/>
      <w:szCs w:val="18"/>
    </w:rPr>
  </w:style>
  <w:style w:type="paragraph" w:styleId="30">
    <w:name w:val="toc 6"/>
    <w:basedOn w:val="1"/>
    <w:next w:val="1"/>
    <w:unhideWhenUsed/>
    <w:qFormat/>
    <w:uiPriority w:val="39"/>
    <w:pPr>
      <w:ind w:left="1050"/>
      <w:jc w:val="left"/>
    </w:pPr>
    <w:rPr>
      <w:rFonts w:eastAsiaTheme="minorHAnsi"/>
      <w:sz w:val="18"/>
      <w:szCs w:val="18"/>
    </w:rPr>
  </w:style>
  <w:style w:type="paragraph" w:styleId="31">
    <w:name w:val="toc 2"/>
    <w:basedOn w:val="1"/>
    <w:next w:val="1"/>
    <w:unhideWhenUsed/>
    <w:qFormat/>
    <w:uiPriority w:val="39"/>
    <w:pPr>
      <w:ind w:left="210"/>
      <w:jc w:val="left"/>
    </w:pPr>
    <w:rPr>
      <w:rFonts w:eastAsiaTheme="minorHAnsi"/>
      <w:smallCaps/>
      <w:sz w:val="20"/>
      <w:szCs w:val="20"/>
    </w:rPr>
  </w:style>
  <w:style w:type="paragraph" w:styleId="32">
    <w:name w:val="toc 9"/>
    <w:basedOn w:val="1"/>
    <w:next w:val="1"/>
    <w:unhideWhenUsed/>
    <w:qFormat/>
    <w:uiPriority w:val="39"/>
    <w:pPr>
      <w:ind w:left="1680"/>
      <w:jc w:val="left"/>
    </w:pPr>
    <w:rPr>
      <w:rFonts w:eastAsiaTheme="minorHAnsi"/>
      <w:sz w:val="18"/>
      <w:szCs w:val="18"/>
    </w:rPr>
  </w:style>
  <w:style w:type="paragraph" w:styleId="33">
    <w:name w:val="Title"/>
    <w:basedOn w:val="1"/>
    <w:next w:val="1"/>
    <w:link w:val="66"/>
    <w:qFormat/>
    <w:uiPriority w:val="0"/>
    <w:pPr>
      <w:spacing w:before="240" w:after="60"/>
      <w:jc w:val="center"/>
      <w:outlineLvl w:val="0"/>
    </w:pPr>
    <w:rPr>
      <w:rFonts w:ascii="Cambria" w:hAnsi="宋体" w:eastAsia="宋体"/>
      <w:b/>
      <w:bCs/>
      <w:sz w:val="32"/>
      <w:szCs w:val="32"/>
    </w:rPr>
  </w:style>
  <w:style w:type="paragraph" w:styleId="34">
    <w:name w:val="annotation subject"/>
    <w:basedOn w:val="15"/>
    <w:next w:val="15"/>
    <w:link w:val="82"/>
    <w:semiHidden/>
    <w:qFormat/>
    <w:uiPriority w:val="0"/>
    <w:rPr>
      <w:b/>
      <w:bCs/>
    </w:rPr>
  </w:style>
  <w:style w:type="paragraph" w:styleId="35">
    <w:name w:val="Body Text First Indent"/>
    <w:basedOn w:val="16"/>
    <w:next w:val="36"/>
    <w:link w:val="99"/>
    <w:unhideWhenUsed/>
    <w:qFormat/>
    <w:uiPriority w:val="99"/>
    <w:pPr>
      <w:spacing w:after="120"/>
      <w:ind w:firstLine="420" w:firstLineChars="100"/>
    </w:pPr>
    <w:rPr>
      <w:rFonts w:asciiTheme="minorHAnsi" w:hAnsiTheme="minorHAnsi" w:eastAsiaTheme="minorEastAsia" w:cstheme="minorBidi"/>
      <w:sz w:val="21"/>
      <w:szCs w:val="22"/>
    </w:rPr>
  </w:style>
  <w:style w:type="paragraph" w:styleId="36">
    <w:name w:val="Body Text First Indent 2"/>
    <w:basedOn w:val="17"/>
    <w:qFormat/>
    <w:uiPriority w:val="0"/>
    <w:pPr>
      <w:ind w:left="0" w:leftChars="0" w:firstLine="210"/>
    </w:pPr>
    <w:rPr>
      <w:sz w:val="24"/>
      <w:szCs w:val="20"/>
    </w:rPr>
  </w:style>
  <w:style w:type="table" w:styleId="38">
    <w:name w:val="Table Grid"/>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Simple 1"/>
    <w:basedOn w:val="37"/>
    <w:semiHidden/>
    <w:unhideWhenUsed/>
    <w:qFormat/>
    <w:uiPriority w:val="99"/>
    <w:pPr>
      <w:widowControl w:val="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40">
    <w:name w:val="Table List 3"/>
    <w:basedOn w:val="37"/>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character" w:styleId="42">
    <w:name w:val="page number"/>
    <w:qFormat/>
    <w:uiPriority w:val="0"/>
  </w:style>
  <w:style w:type="character" w:styleId="43">
    <w:name w:val="FollowedHyperlink"/>
    <w:unhideWhenUsed/>
    <w:qFormat/>
    <w:uiPriority w:val="99"/>
    <w:rPr>
      <w:color w:val="800080"/>
      <w:u w:val="single"/>
    </w:rPr>
  </w:style>
  <w:style w:type="character" w:styleId="44">
    <w:name w:val="Emphasis"/>
    <w:qFormat/>
    <w:uiPriority w:val="0"/>
    <w:rPr>
      <w:i/>
      <w:iCs/>
    </w:rPr>
  </w:style>
  <w:style w:type="character" w:styleId="45">
    <w:name w:val="Hyperlink"/>
    <w:qFormat/>
    <w:uiPriority w:val="99"/>
    <w:rPr>
      <w:rFonts w:cs="Times New Roman"/>
      <w:color w:val="3366CC"/>
      <w:u w:val="single"/>
    </w:rPr>
  </w:style>
  <w:style w:type="character" w:styleId="46">
    <w:name w:val="annotation reference"/>
    <w:semiHidden/>
    <w:qFormat/>
    <w:uiPriority w:val="0"/>
    <w:rPr>
      <w:sz w:val="21"/>
      <w:szCs w:val="21"/>
    </w:rPr>
  </w:style>
  <w:style w:type="character" w:styleId="47">
    <w:name w:val="footnote reference"/>
    <w:unhideWhenUsed/>
    <w:qFormat/>
    <w:uiPriority w:val="0"/>
    <w:rPr>
      <w:rFonts w:hint="eastAsia" w:ascii="黑体" w:eastAsia="黑体"/>
      <w:b/>
      <w:bCs/>
      <w:snapToGrid w:val="0"/>
      <w:kern w:val="2"/>
      <w:sz w:val="24"/>
      <w:szCs w:val="24"/>
      <w:vertAlign w:val="superscript"/>
      <w:lang w:val="en-US" w:eastAsia="zh-CN" w:bidi="ar-SA"/>
    </w:rPr>
  </w:style>
  <w:style w:type="paragraph" w:customStyle="1" w:styleId="48">
    <w:name w:val="Default"/>
    <w:basedOn w:val="49"/>
    <w:next w:val="1"/>
    <w:qFormat/>
    <w:uiPriority w:val="0"/>
    <w:pPr>
      <w:autoSpaceDE w:val="0"/>
      <w:autoSpaceDN w:val="0"/>
    </w:pPr>
    <w:rPr>
      <w:rFonts w:hint="eastAsia" w:ascii="华文中宋" w:hAnsi="华文中宋" w:eastAsia="华文中宋" w:cs="Times New Roman"/>
      <w:color w:val="000000"/>
      <w:sz w:val="24"/>
      <w:szCs w:val="21"/>
    </w:rPr>
  </w:style>
  <w:style w:type="paragraph" w:customStyle="1" w:styleId="49">
    <w:name w:val="纯文本1"/>
    <w:basedOn w:val="1"/>
    <w:next w:val="1"/>
    <w:qFormat/>
    <w:uiPriority w:val="0"/>
    <w:pPr>
      <w:adjustRightInd w:val="0"/>
      <w:jc w:val="center"/>
      <w:textAlignment w:val="baseline"/>
    </w:pPr>
    <w:rPr>
      <w:rFonts w:ascii="宋体" w:hAnsi="Courier New"/>
      <w:szCs w:val="20"/>
    </w:rPr>
  </w:style>
  <w:style w:type="paragraph" w:customStyle="1" w:styleId="50">
    <w:name w:val="Default1"/>
    <w:qFormat/>
    <w:uiPriority w:val="0"/>
    <w:pPr>
      <w:widowControl w:val="0"/>
      <w:autoSpaceDE w:val="0"/>
      <w:autoSpaceDN w:val="0"/>
      <w:adjustRightInd w:val="0"/>
      <w:spacing w:line="360" w:lineRule="auto"/>
      <w:jc w:val="both"/>
    </w:pPr>
    <w:rPr>
      <w:rFonts w:ascii="宋体" w:hAnsi="Calibri" w:eastAsia="宋体" w:cs="宋体"/>
      <w:color w:val="000000"/>
      <w:sz w:val="24"/>
      <w:szCs w:val="24"/>
      <w:lang w:val="en-US" w:eastAsia="zh-CN" w:bidi="ar-SA"/>
    </w:rPr>
  </w:style>
  <w:style w:type="character" w:customStyle="1" w:styleId="51">
    <w:name w:val="标题 3 字符"/>
    <w:basedOn w:val="41"/>
    <w:link w:val="4"/>
    <w:semiHidden/>
    <w:qFormat/>
    <w:uiPriority w:val="9"/>
    <w:rPr>
      <w:rFonts w:ascii="Times New Roman" w:hAnsi="Times New Roman" w:eastAsia="黑体"/>
      <w:b/>
      <w:bCs/>
      <w:sz w:val="24"/>
      <w:szCs w:val="32"/>
    </w:rPr>
  </w:style>
  <w:style w:type="character" w:customStyle="1" w:styleId="52">
    <w:name w:val="标题 2 字符"/>
    <w:basedOn w:val="41"/>
    <w:link w:val="3"/>
    <w:qFormat/>
    <w:uiPriority w:val="0"/>
    <w:rPr>
      <w:rFonts w:ascii="Times New Roman" w:hAnsi="Times New Roman" w:eastAsia="黑体" w:cs="Times New Roman"/>
      <w:b/>
      <w:spacing w:val="6"/>
      <w:sz w:val="28"/>
      <w:szCs w:val="28"/>
    </w:rPr>
  </w:style>
  <w:style w:type="character" w:customStyle="1" w:styleId="53">
    <w:name w:val="标题 1 字符"/>
    <w:basedOn w:val="41"/>
    <w:link w:val="2"/>
    <w:qFormat/>
    <w:uiPriority w:val="0"/>
    <w:rPr>
      <w:rFonts w:ascii="Times New Roman" w:hAnsi="Times New Roman" w:eastAsia="黑体" w:cs="Times New Roman"/>
      <w:b/>
      <w:bCs/>
      <w:kern w:val="44"/>
      <w:sz w:val="30"/>
      <w:szCs w:val="44"/>
    </w:rPr>
  </w:style>
  <w:style w:type="character" w:customStyle="1" w:styleId="54">
    <w:name w:val="标题 4 字符"/>
    <w:basedOn w:val="41"/>
    <w:link w:val="5"/>
    <w:semiHidden/>
    <w:qFormat/>
    <w:uiPriority w:val="9"/>
    <w:rPr>
      <w:rFonts w:ascii="Times New Roman" w:hAnsi="Times New Roman" w:eastAsia="宋体" w:cstheme="majorBidi"/>
      <w:b/>
      <w:bCs/>
      <w:sz w:val="24"/>
      <w:szCs w:val="28"/>
    </w:rPr>
  </w:style>
  <w:style w:type="paragraph" w:customStyle="1" w:styleId="55">
    <w:name w:val="新5级标题 表格"/>
    <w:basedOn w:val="56"/>
    <w:qFormat/>
    <w:uiPriority w:val="0"/>
    <w:pPr>
      <w:numPr>
        <w:ilvl w:val="4"/>
        <w:numId w:val="2"/>
      </w:numPr>
      <w:tabs>
        <w:tab w:val="left" w:pos="567"/>
      </w:tabs>
      <w:ind w:left="5280"/>
    </w:pPr>
    <w:rPr>
      <w:rFonts w:ascii="Times New Roman" w:hAnsi="Times New Roman" w:eastAsia="黑体"/>
      <w:sz w:val="28"/>
      <w:szCs w:val="32"/>
    </w:rPr>
  </w:style>
  <w:style w:type="paragraph" w:customStyle="1" w:styleId="56">
    <w:name w:val="表格标题"/>
    <w:basedOn w:val="57"/>
    <w:qFormat/>
    <w:uiPriority w:val="0"/>
    <w:pPr>
      <w:tabs>
        <w:tab w:val="left" w:pos="567"/>
      </w:tabs>
      <w:spacing w:line="240" w:lineRule="auto"/>
      <w:ind w:firstLine="0" w:firstLineChars="0"/>
      <w:jc w:val="center"/>
    </w:pPr>
    <w:rPr>
      <w:b/>
      <w:color w:val="000000"/>
      <w:sz w:val="21"/>
    </w:rPr>
  </w:style>
  <w:style w:type="paragraph" w:customStyle="1" w:styleId="57">
    <w:name w:val="小于节标题"/>
    <w:basedOn w:val="58"/>
    <w:qFormat/>
    <w:uiPriority w:val="0"/>
    <w:pPr>
      <w:tabs>
        <w:tab w:val="left" w:pos="567"/>
      </w:tabs>
      <w:ind w:firstLine="0" w:firstLineChars="0"/>
    </w:pPr>
  </w:style>
  <w:style w:type="paragraph" w:customStyle="1" w:styleId="58">
    <w:name w:val="新正文样式"/>
    <w:basedOn w:val="1"/>
    <w:qFormat/>
    <w:uiPriority w:val="0"/>
    <w:pPr>
      <w:widowControl/>
      <w:tabs>
        <w:tab w:val="left" w:pos="567"/>
      </w:tabs>
    </w:pPr>
    <w:rPr>
      <w:rFonts w:cstheme="majorBidi"/>
      <w:kern w:val="0"/>
      <w:szCs w:val="24"/>
    </w:rPr>
  </w:style>
  <w:style w:type="paragraph" w:customStyle="1" w:styleId="59">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60">
    <w:name w:val="页眉 字符"/>
    <w:basedOn w:val="41"/>
    <w:link w:val="26"/>
    <w:qFormat/>
    <w:uiPriority w:val="0"/>
    <w:rPr>
      <w:sz w:val="18"/>
      <w:szCs w:val="18"/>
    </w:rPr>
  </w:style>
  <w:style w:type="character" w:customStyle="1" w:styleId="61">
    <w:name w:val="页脚 字符"/>
    <w:basedOn w:val="41"/>
    <w:link w:val="25"/>
    <w:qFormat/>
    <w:uiPriority w:val="99"/>
    <w:rPr>
      <w:sz w:val="18"/>
      <w:szCs w:val="18"/>
    </w:rPr>
  </w:style>
  <w:style w:type="character" w:customStyle="1" w:styleId="62">
    <w:name w:val="正文缩进 字符"/>
    <w:link w:val="12"/>
    <w:qFormat/>
    <w:uiPriority w:val="0"/>
    <w:rPr>
      <w:rFonts w:ascii="Arial" w:hAnsi="Arial" w:eastAsia="宋体" w:cs="Arial"/>
      <w:spacing w:val="10"/>
      <w:sz w:val="24"/>
    </w:rPr>
  </w:style>
  <w:style w:type="paragraph" w:styleId="63">
    <w:name w:val="List Paragraph"/>
    <w:basedOn w:val="1"/>
    <w:link w:val="103"/>
    <w:qFormat/>
    <w:uiPriority w:val="0"/>
    <w:pPr>
      <w:ind w:firstLine="420" w:firstLineChars="200"/>
    </w:pPr>
  </w:style>
  <w:style w:type="character" w:customStyle="1" w:styleId="64">
    <w:name w:val="正文（小四）"/>
    <w:qFormat/>
    <w:uiPriority w:val="0"/>
    <w:rPr>
      <w:rFonts w:ascii="Times New Roman" w:hAnsi="Times New Roman" w:eastAsia="宋体"/>
      <w:sz w:val="24"/>
      <w:lang w:val="en-US" w:eastAsia="zh-CN"/>
    </w:rPr>
  </w:style>
  <w:style w:type="paragraph" w:customStyle="1" w:styleId="65">
    <w:name w:val="表图名"/>
    <w:basedOn w:val="1"/>
    <w:qFormat/>
    <w:uiPriority w:val="0"/>
    <w:pPr>
      <w:autoSpaceDE w:val="0"/>
      <w:autoSpaceDN w:val="0"/>
      <w:adjustRightInd w:val="0"/>
      <w:spacing w:line="360" w:lineRule="auto"/>
      <w:jc w:val="center"/>
    </w:pPr>
    <w:rPr>
      <w:rFonts w:ascii="Times New Roman" w:hAnsi="Times New Roman" w:eastAsia="宋体" w:cs="Times New Roman"/>
      <w:b/>
      <w:bCs/>
      <w:color w:val="0C0C0C"/>
      <w:kern w:val="0"/>
      <w:sz w:val="20"/>
      <w:szCs w:val="24"/>
    </w:rPr>
  </w:style>
  <w:style w:type="character" w:customStyle="1" w:styleId="66">
    <w:name w:val="标题 字符"/>
    <w:link w:val="33"/>
    <w:qFormat/>
    <w:uiPriority w:val="0"/>
    <w:rPr>
      <w:rFonts w:ascii="Cambria" w:hAnsi="宋体" w:eastAsia="宋体"/>
      <w:b/>
      <w:bCs/>
      <w:sz w:val="32"/>
      <w:szCs w:val="32"/>
    </w:rPr>
  </w:style>
  <w:style w:type="character" w:customStyle="1" w:styleId="67">
    <w:name w:val="正文文本缩进 2 字符"/>
    <w:link w:val="23"/>
    <w:qFormat/>
    <w:uiPriority w:val="0"/>
    <w:rPr>
      <w:rFonts w:ascii="Times New Roman" w:hAnsi="Times New Roman" w:eastAsia="方正书宋简体"/>
      <w:sz w:val="32"/>
      <w:szCs w:val="24"/>
    </w:rPr>
  </w:style>
  <w:style w:type="character" w:customStyle="1" w:styleId="68">
    <w:name w:val="纯文本 字符"/>
    <w:link w:val="20"/>
    <w:qFormat/>
    <w:uiPriority w:val="0"/>
    <w:rPr>
      <w:rFonts w:ascii="宋体" w:hAnsi="Courier New" w:eastAsia="宋体" w:cs="Courier New"/>
      <w:szCs w:val="21"/>
    </w:rPr>
  </w:style>
  <w:style w:type="character" w:customStyle="1" w:styleId="69">
    <w:name w:val="样式 宋体 小四"/>
    <w:qFormat/>
    <w:uiPriority w:val="0"/>
    <w:rPr>
      <w:rFonts w:ascii="宋体" w:eastAsia="宋体" w:cs="Times New Roman"/>
      <w:b/>
      <w:sz w:val="30"/>
      <w:szCs w:val="30"/>
    </w:rPr>
  </w:style>
  <w:style w:type="character" w:customStyle="1" w:styleId="70">
    <w:name w:val="文档结构图 字符"/>
    <w:link w:val="14"/>
    <w:qFormat/>
    <w:uiPriority w:val="99"/>
    <w:rPr>
      <w:rFonts w:ascii="宋体" w:hAnsi="Times New Roman" w:eastAsia="宋体"/>
      <w:sz w:val="18"/>
      <w:szCs w:val="18"/>
    </w:rPr>
  </w:style>
  <w:style w:type="character" w:customStyle="1" w:styleId="71">
    <w:name w:val="bt_content1"/>
    <w:qFormat/>
    <w:uiPriority w:val="0"/>
    <w:rPr>
      <w:sz w:val="21"/>
      <w:szCs w:val="21"/>
      <w:u w:val="none"/>
    </w:rPr>
  </w:style>
  <w:style w:type="character" w:customStyle="1" w:styleId="72">
    <w:name w:val="日期 字符"/>
    <w:link w:val="22"/>
    <w:qFormat/>
    <w:uiPriority w:val="0"/>
    <w:rPr>
      <w:rFonts w:ascii="Times New Roman" w:hAnsi="Times New Roman" w:eastAsia="宋体"/>
      <w:sz w:val="24"/>
    </w:rPr>
  </w:style>
  <w:style w:type="character" w:customStyle="1" w:styleId="73">
    <w:name w:val="正文1 Char"/>
    <w:link w:val="74"/>
    <w:qFormat/>
    <w:locked/>
    <w:uiPriority w:val="0"/>
    <w:rPr>
      <w:rFonts w:ascii="宋体" w:hAnsi="宋体" w:eastAsia="宋体"/>
      <w:sz w:val="28"/>
      <w:szCs w:val="24"/>
    </w:rPr>
  </w:style>
  <w:style w:type="paragraph" w:customStyle="1" w:styleId="74">
    <w:name w:val="正文1"/>
    <w:basedOn w:val="1"/>
    <w:link w:val="73"/>
    <w:qFormat/>
    <w:uiPriority w:val="0"/>
    <w:pPr>
      <w:spacing w:before="60" w:line="360" w:lineRule="auto"/>
      <w:ind w:firstLine="480" w:firstLineChars="200"/>
    </w:pPr>
    <w:rPr>
      <w:rFonts w:ascii="宋体" w:hAnsi="宋体" w:eastAsia="宋体"/>
      <w:sz w:val="28"/>
      <w:szCs w:val="24"/>
    </w:rPr>
  </w:style>
  <w:style w:type="character" w:customStyle="1" w:styleId="75">
    <w:name w:val="标题 字符1"/>
    <w:basedOn w:val="41"/>
    <w:qFormat/>
    <w:uiPriority w:val="10"/>
    <w:rPr>
      <w:rFonts w:asciiTheme="majorHAnsi" w:hAnsiTheme="majorHAnsi" w:eastAsiaTheme="majorEastAsia" w:cstheme="majorBidi"/>
      <w:b/>
      <w:bCs/>
      <w:sz w:val="32"/>
      <w:szCs w:val="32"/>
    </w:rPr>
  </w:style>
  <w:style w:type="character" w:customStyle="1" w:styleId="76">
    <w:name w:val="批注框文本 字符"/>
    <w:basedOn w:val="41"/>
    <w:link w:val="24"/>
    <w:semiHidden/>
    <w:qFormat/>
    <w:uiPriority w:val="99"/>
    <w:rPr>
      <w:rFonts w:ascii="Times New Roman" w:hAnsi="Times New Roman" w:eastAsia="宋体" w:cs="Times New Roman"/>
      <w:sz w:val="18"/>
      <w:szCs w:val="18"/>
    </w:rPr>
  </w:style>
  <w:style w:type="character" w:customStyle="1" w:styleId="77">
    <w:name w:val="正文文本 字符"/>
    <w:basedOn w:val="41"/>
    <w:link w:val="16"/>
    <w:qFormat/>
    <w:uiPriority w:val="1"/>
    <w:rPr>
      <w:rFonts w:ascii="Times New Roman" w:hAnsi="Times New Roman" w:eastAsia="宋体" w:cs="Times New Roman"/>
      <w:sz w:val="28"/>
      <w:szCs w:val="28"/>
    </w:rPr>
  </w:style>
  <w:style w:type="character" w:customStyle="1" w:styleId="78">
    <w:name w:val="文档结构图 字符1"/>
    <w:basedOn w:val="41"/>
    <w:semiHidden/>
    <w:qFormat/>
    <w:uiPriority w:val="99"/>
    <w:rPr>
      <w:rFonts w:ascii="Microsoft YaHei UI" w:eastAsia="Microsoft YaHei UI"/>
      <w:sz w:val="18"/>
      <w:szCs w:val="18"/>
    </w:rPr>
  </w:style>
  <w:style w:type="character" w:customStyle="1" w:styleId="79">
    <w:name w:val="日期 字符1"/>
    <w:basedOn w:val="41"/>
    <w:semiHidden/>
    <w:qFormat/>
    <w:uiPriority w:val="99"/>
  </w:style>
  <w:style w:type="character" w:customStyle="1" w:styleId="80">
    <w:name w:val="纯文本 字符1"/>
    <w:basedOn w:val="41"/>
    <w:semiHidden/>
    <w:qFormat/>
    <w:uiPriority w:val="99"/>
    <w:rPr>
      <w:rFonts w:hAnsi="Courier New" w:cs="Courier New" w:asciiTheme="minorEastAsia"/>
    </w:rPr>
  </w:style>
  <w:style w:type="character" w:customStyle="1" w:styleId="81">
    <w:name w:val="批注文字 字符"/>
    <w:basedOn w:val="41"/>
    <w:link w:val="15"/>
    <w:semiHidden/>
    <w:qFormat/>
    <w:uiPriority w:val="0"/>
    <w:rPr>
      <w:rFonts w:ascii="Times New Roman" w:hAnsi="Times New Roman" w:eastAsia="宋体" w:cs="Times New Roman"/>
      <w:szCs w:val="24"/>
    </w:rPr>
  </w:style>
  <w:style w:type="character" w:customStyle="1" w:styleId="82">
    <w:name w:val="批注主题 字符"/>
    <w:basedOn w:val="81"/>
    <w:link w:val="34"/>
    <w:semiHidden/>
    <w:qFormat/>
    <w:uiPriority w:val="0"/>
    <w:rPr>
      <w:rFonts w:ascii="Times New Roman" w:hAnsi="Times New Roman" w:eastAsia="宋体" w:cs="Times New Roman"/>
      <w:b/>
      <w:bCs/>
      <w:szCs w:val="24"/>
    </w:rPr>
  </w:style>
  <w:style w:type="paragraph" w:customStyle="1" w:styleId="83">
    <w:name w:val="正文文"/>
    <w:basedOn w:val="1"/>
    <w:qFormat/>
    <w:uiPriority w:val="0"/>
    <w:pPr>
      <w:spacing w:line="360" w:lineRule="auto"/>
      <w:ind w:firstLine="560" w:firstLineChars="200"/>
    </w:pPr>
    <w:rPr>
      <w:rFonts w:ascii="Times New Roman" w:hAnsi="宋体" w:eastAsia="宋体" w:cs="Times New Roman"/>
      <w:sz w:val="28"/>
      <w:szCs w:val="28"/>
    </w:rPr>
  </w:style>
  <w:style w:type="character" w:customStyle="1" w:styleId="84">
    <w:name w:val="正文文本缩进 2 字符1"/>
    <w:basedOn w:val="41"/>
    <w:semiHidden/>
    <w:qFormat/>
    <w:uiPriority w:val="99"/>
  </w:style>
  <w:style w:type="paragraph" w:customStyle="1" w:styleId="85">
    <w:name w:val="标题2"/>
    <w:basedOn w:val="1"/>
    <w:qFormat/>
    <w:uiPriority w:val="0"/>
    <w:pPr>
      <w:spacing w:beforeLines="100" w:afterLines="100"/>
      <w:jc w:val="center"/>
    </w:pPr>
    <w:rPr>
      <w:rFonts w:ascii="Times New Roman" w:hAnsi="Times New Roman" w:eastAsia="楷体_GB2312" w:cs="Times New Roman"/>
      <w:b/>
      <w:bCs/>
      <w:sz w:val="32"/>
      <w:szCs w:val="24"/>
    </w:rPr>
  </w:style>
  <w:style w:type="paragraph" w:customStyle="1" w:styleId="86">
    <w:name w:val="Char Char Char1 Char Char Char Char Char Char Char"/>
    <w:basedOn w:val="1"/>
    <w:qFormat/>
    <w:uiPriority w:val="0"/>
    <w:pPr>
      <w:adjustRightInd w:val="0"/>
      <w:spacing w:line="312" w:lineRule="auto"/>
      <w:textAlignment w:val="baseline"/>
    </w:pPr>
    <w:rPr>
      <w:rFonts w:ascii="Tahoma" w:hAnsi="Tahoma" w:eastAsia="宋体" w:cs="Times New Roman"/>
      <w:kern w:val="0"/>
      <w:sz w:val="24"/>
      <w:szCs w:val="20"/>
    </w:rPr>
  </w:style>
  <w:style w:type="paragraph" w:customStyle="1" w:styleId="87">
    <w:name w:val="样式1"/>
    <w:basedOn w:val="1"/>
    <w:qFormat/>
    <w:uiPriority w:val="0"/>
    <w:pPr>
      <w:numPr>
        <w:ilvl w:val="0"/>
        <w:numId w:val="3"/>
      </w:numPr>
      <w:tabs>
        <w:tab w:val="left" w:pos="1176"/>
      </w:tabs>
      <w:spacing w:afterLines="150"/>
      <w:jc w:val="center"/>
    </w:pPr>
    <w:rPr>
      <w:rFonts w:ascii="Times New Roman" w:hAnsi="Times New Roman" w:eastAsia="宋体" w:cs="Times New Roman"/>
      <w:sz w:val="32"/>
      <w:szCs w:val="32"/>
    </w:rPr>
  </w:style>
  <w:style w:type="paragraph" w:customStyle="1" w:styleId="88">
    <w:name w:val="正文 新宋体 四号"/>
    <w:basedOn w:val="1"/>
    <w:qFormat/>
    <w:uiPriority w:val="0"/>
    <w:pPr>
      <w:spacing w:line="288" w:lineRule="auto"/>
      <w:ind w:firstLine="200" w:firstLineChars="200"/>
    </w:pPr>
    <w:rPr>
      <w:rFonts w:ascii="Times New Roman" w:hAnsi="Times New Roman" w:eastAsia="新宋体" w:cs="Times New Roman"/>
      <w:sz w:val="28"/>
      <w:szCs w:val="24"/>
    </w:rPr>
  </w:style>
  <w:style w:type="paragraph" w:customStyle="1" w:styleId="89">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90">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2"/>
    </w:rPr>
  </w:style>
  <w:style w:type="paragraph" w:customStyle="1" w:styleId="91">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92">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FF0000"/>
      <w:kern w:val="0"/>
      <w:sz w:val="24"/>
      <w:szCs w:val="24"/>
    </w:rPr>
  </w:style>
  <w:style w:type="table" w:customStyle="1" w:styleId="93">
    <w:name w:val="设计院"/>
    <w:basedOn w:val="39"/>
    <w:qFormat/>
    <w:uiPriority w:val="0"/>
    <w:pPr>
      <w:jc w:val="center"/>
    </w:pPr>
    <w:tblPr>
      <w:tblBorders>
        <w:top w:val="single" w:color="auto" w:sz="12" w:space="0"/>
        <w:bottom w:val="single" w:color="auto" w:sz="12" w:space="0"/>
        <w:insideH w:val="single" w:color="auto" w:sz="4" w:space="0"/>
        <w:insideV w:val="single" w:color="auto" w:sz="4" w:space="0"/>
      </w:tblBorders>
    </w:tblPr>
    <w:tcPr>
      <w:shd w:val="clear" w:color="auto" w:fill="FFFFFF"/>
      <w:vAlign w:val="center"/>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paragraph" w:customStyle="1" w:styleId="94">
    <w:name w:val="缩进"/>
    <w:basedOn w:val="1"/>
    <w:qFormat/>
    <w:uiPriority w:val="0"/>
    <w:pPr>
      <w:autoSpaceDE w:val="0"/>
      <w:autoSpaceDN w:val="0"/>
      <w:adjustRightInd w:val="0"/>
      <w:spacing w:line="400" w:lineRule="atLeast"/>
      <w:ind w:firstLine="425"/>
      <w:textAlignment w:val="baseline"/>
    </w:pPr>
    <w:rPr>
      <w:rFonts w:ascii="Times New Roman" w:hAnsi="Times New Roman" w:eastAsia="宋体" w:cs="Times New Roman"/>
      <w:kern w:val="0"/>
      <w:sz w:val="24"/>
      <w:szCs w:val="20"/>
    </w:rPr>
  </w:style>
  <w:style w:type="character" w:customStyle="1" w:styleId="95">
    <w:name w:val="脚注文本 字符"/>
    <w:basedOn w:val="41"/>
    <w:link w:val="29"/>
    <w:semiHidden/>
    <w:qFormat/>
    <w:uiPriority w:val="99"/>
    <w:rPr>
      <w:sz w:val="18"/>
      <w:szCs w:val="18"/>
    </w:rPr>
  </w:style>
  <w:style w:type="paragraph" w:customStyle="1" w:styleId="96">
    <w:name w:val="p0"/>
    <w:basedOn w:val="1"/>
    <w:qFormat/>
    <w:uiPriority w:val="0"/>
    <w:pPr>
      <w:widowControl/>
    </w:pPr>
    <w:rPr>
      <w:rFonts w:ascii="Calibri" w:hAnsi="Calibri" w:eastAsia="宋体" w:cs="Calibri"/>
      <w:kern w:val="0"/>
      <w:szCs w:val="21"/>
    </w:rPr>
  </w:style>
  <w:style w:type="table" w:customStyle="1" w:styleId="97">
    <w:name w:val="网格型6"/>
    <w:basedOn w:val="37"/>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8">
    <w:name w:val="正文文本缩进 字符"/>
    <w:basedOn w:val="41"/>
    <w:link w:val="17"/>
    <w:semiHidden/>
    <w:qFormat/>
    <w:uiPriority w:val="99"/>
  </w:style>
  <w:style w:type="character" w:customStyle="1" w:styleId="99">
    <w:name w:val="正文文本首行缩进 字符"/>
    <w:basedOn w:val="77"/>
    <w:link w:val="35"/>
    <w:qFormat/>
    <w:uiPriority w:val="99"/>
    <w:rPr>
      <w:rFonts w:ascii="Times New Roman" w:hAnsi="Times New Roman" w:eastAsia="宋体" w:cs="Times New Roman"/>
      <w:sz w:val="28"/>
      <w:szCs w:val="28"/>
    </w:rPr>
  </w:style>
  <w:style w:type="character" w:customStyle="1" w:styleId="100">
    <w:name w:val="正文缩进 Char2"/>
    <w:qFormat/>
    <w:uiPriority w:val="0"/>
    <w:rPr>
      <w:rFonts w:ascii="Arial" w:hAnsi="Arial" w:eastAsia="宋体" w:cs="Arial"/>
      <w:spacing w:val="10"/>
      <w:sz w:val="24"/>
    </w:rPr>
  </w:style>
  <w:style w:type="character" w:customStyle="1" w:styleId="101">
    <w:name w:val="表格内容 Char Char"/>
    <w:link w:val="102"/>
    <w:qFormat/>
    <w:uiPriority w:val="0"/>
    <w:rPr>
      <w:sz w:val="24"/>
    </w:rPr>
  </w:style>
  <w:style w:type="paragraph" w:customStyle="1" w:styleId="102">
    <w:name w:val="表格内容"/>
    <w:basedOn w:val="56"/>
    <w:link w:val="101"/>
    <w:qFormat/>
    <w:uiPriority w:val="0"/>
    <w:pPr>
      <w:snapToGrid w:val="0"/>
      <w:jc w:val="center"/>
    </w:pPr>
    <w:rPr>
      <w:rFonts w:asciiTheme="minorHAnsi" w:hAnsiTheme="minorHAnsi" w:eastAsiaTheme="minorEastAsia" w:cstheme="minorBidi"/>
      <w:kern w:val="2"/>
      <w:sz w:val="24"/>
      <w:szCs w:val="22"/>
      <w:lang w:val="en-US" w:eastAsia="zh-CN" w:bidi="ar-SA"/>
    </w:rPr>
  </w:style>
  <w:style w:type="character" w:customStyle="1" w:styleId="103">
    <w:name w:val="列表段落 字符"/>
    <w:link w:val="63"/>
    <w:qFormat/>
    <w:uiPriority w:val="0"/>
  </w:style>
  <w:style w:type="paragraph" w:customStyle="1" w:styleId="104">
    <w:name w:val="表格格式"/>
    <w:next w:val="1"/>
    <w:qFormat/>
    <w:uiPriority w:val="0"/>
    <w:pPr>
      <w:adjustRightInd w:val="0"/>
      <w:snapToGrid w:val="0"/>
      <w:jc w:val="center"/>
    </w:pPr>
    <w:rPr>
      <w:rFonts w:ascii="Times New Roman" w:hAnsi="Times New Roman" w:eastAsia="宋体" w:cs="Times New Roman"/>
      <w:color w:val="000000"/>
      <w:sz w:val="21"/>
      <w:lang w:val="en-US" w:eastAsia="zh-CN" w:bidi="ar-SA"/>
    </w:rPr>
  </w:style>
  <w:style w:type="paragraph" w:customStyle="1" w:styleId="105">
    <w:name w:val="前言、引言标题"/>
    <w:next w:val="1"/>
    <w:qFormat/>
    <w:uiPriority w:val="0"/>
    <w:pPr>
      <w:numPr>
        <w:ilvl w:val="0"/>
        <w:numId w:val="4"/>
      </w:numPr>
      <w:shd w:val="clear" w:color="FFFFFF" w:fill="FFFFFF"/>
      <w:tabs>
        <w:tab w:val="left" w:pos="900"/>
        <w:tab w:val="left" w:pos="1080"/>
      </w:tabs>
      <w:spacing w:before="640" w:after="560"/>
      <w:jc w:val="center"/>
      <w:outlineLvl w:val="0"/>
    </w:pPr>
    <w:rPr>
      <w:rFonts w:ascii="黑体" w:hAnsi="Times New Roman" w:eastAsia="黑体" w:cs="Times New Roman"/>
      <w:sz w:val="32"/>
      <w:lang w:val="en-US" w:eastAsia="zh-CN" w:bidi="ar-SA"/>
    </w:rPr>
  </w:style>
  <w:style w:type="paragraph" w:customStyle="1" w:styleId="106">
    <w:name w:val="表格样式 钦州规划"/>
    <w:basedOn w:val="102"/>
    <w:link w:val="107"/>
    <w:qFormat/>
    <w:uiPriority w:val="0"/>
    <w:pPr>
      <w:widowControl w:val="0"/>
      <w:overflowPunct w:val="0"/>
      <w:adjustRightInd w:val="0"/>
      <w:snapToGrid/>
      <w:spacing w:before="40" w:after="60" w:line="200" w:lineRule="atLeast"/>
      <w:textAlignment w:val="baseline"/>
    </w:pPr>
    <w:rPr>
      <w:rFonts w:ascii="华文细黑" w:hAnsi="华文细黑" w:eastAsia="华文细黑" w:cs="Times New Roman"/>
      <w:color w:val="000000" w:themeColor="text1"/>
      <w:kern w:val="0"/>
      <w:szCs w:val="21"/>
      <w14:textFill>
        <w14:solidFill>
          <w14:schemeClr w14:val="tx1"/>
        </w14:solidFill>
      </w14:textFill>
    </w:rPr>
  </w:style>
  <w:style w:type="character" w:customStyle="1" w:styleId="107">
    <w:name w:val="表格样式 钦州规划 Char"/>
    <w:basedOn w:val="41"/>
    <w:link w:val="106"/>
    <w:qFormat/>
    <w:uiPriority w:val="0"/>
    <w:rPr>
      <w:rFonts w:ascii="华文细黑" w:hAnsi="华文细黑" w:eastAsia="华文细黑" w:cs="Times New Roman"/>
      <w:color w:val="000000" w:themeColor="text1"/>
      <w:kern w:val="0"/>
      <w:sz w:val="24"/>
      <w:szCs w:val="21"/>
      <w14:textFill>
        <w14:solidFill>
          <w14:schemeClr w14:val="tx1"/>
        </w14:solidFill>
      </w14:textFill>
    </w:rPr>
  </w:style>
  <w:style w:type="paragraph" w:customStyle="1" w:styleId="108">
    <w:name w:val="表格正文"/>
    <w:basedOn w:val="12"/>
    <w:link w:val="109"/>
    <w:qFormat/>
    <w:uiPriority w:val="0"/>
    <w:pPr>
      <w:jc w:val="center"/>
    </w:pPr>
    <w:rPr>
      <w:rFonts w:ascii="Times New Roman" w:hAnsi="Times New Roman" w:eastAsia="宋体" w:cs="Times New Roman"/>
      <w:szCs w:val="24"/>
    </w:rPr>
  </w:style>
  <w:style w:type="character" w:customStyle="1" w:styleId="109">
    <w:name w:val="表格正文 Char"/>
    <w:link w:val="108"/>
    <w:qFormat/>
    <w:uiPriority w:val="0"/>
    <w:rPr>
      <w:rFonts w:ascii="Times New Roman" w:hAnsi="Times New Roman" w:eastAsia="宋体" w:cs="Times New Roman"/>
      <w:szCs w:val="24"/>
    </w:rPr>
  </w:style>
  <w:style w:type="table" w:customStyle="1" w:styleId="110">
    <w:name w:val="Table Normal"/>
    <w:semiHidden/>
    <w:unhideWhenUsed/>
    <w:qFormat/>
    <w:uiPriority w:val="2"/>
    <w:tblPr>
      <w:tblCellMar>
        <w:top w:w="0" w:type="dxa"/>
        <w:left w:w="0" w:type="dxa"/>
        <w:bottom w:w="0" w:type="dxa"/>
        <w:right w:w="0" w:type="dxa"/>
      </w:tblCellMar>
    </w:tblPr>
  </w:style>
  <w:style w:type="paragraph" w:customStyle="1" w:styleId="111">
    <w:name w:val="Table Paragraph"/>
    <w:basedOn w:val="1"/>
    <w:qFormat/>
    <w:uiPriority w:val="1"/>
    <w:pPr>
      <w:autoSpaceDE w:val="0"/>
      <w:autoSpaceDN w:val="0"/>
      <w:jc w:val="left"/>
    </w:pPr>
    <w:rPr>
      <w:rFonts w:ascii="Noto Sans CJK JP Regular" w:hAnsi="Noto Sans CJK JP Regular" w:eastAsia="Noto Sans CJK JP Regular" w:cs="Noto Sans CJK JP Regular"/>
      <w:kern w:val="0"/>
      <w:sz w:val="22"/>
      <w:lang w:eastAsia="en-US"/>
    </w:rPr>
  </w:style>
  <w:style w:type="character" w:styleId="112">
    <w:name w:val="Placeholder Text"/>
    <w:basedOn w:val="41"/>
    <w:semiHidden/>
    <w:qFormat/>
    <w:uiPriority w:val="99"/>
    <w:rPr>
      <w:color w:val="808080"/>
    </w:rPr>
  </w:style>
  <w:style w:type="table" w:customStyle="1" w:styleId="113">
    <w:name w:val="三线表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4">
    <w:name w:val="Table Normal1"/>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115">
    <w:name w:val="Table Normal2"/>
    <w:semiHidden/>
    <w:unhideWhenUsed/>
    <w:qFormat/>
    <w:uiPriority w:val="2"/>
    <w:pPr>
      <w:widowControl w:val="0"/>
    </w:pPr>
    <w:rPr>
      <w:sz w:val="22"/>
      <w:lang w:eastAsia="en-US"/>
    </w:rPr>
    <w:tblPr>
      <w:tblCellMar>
        <w:top w:w="0" w:type="dxa"/>
        <w:left w:w="0" w:type="dxa"/>
        <w:bottom w:w="0" w:type="dxa"/>
        <w:right w:w="0" w:type="dxa"/>
      </w:tblCellMar>
    </w:tblPr>
  </w:style>
  <w:style w:type="table" w:customStyle="1" w:styleId="116">
    <w:name w:val="Table Normal3"/>
    <w:semiHidden/>
    <w:unhideWhenUsed/>
    <w:qFormat/>
    <w:uiPriority w:val="2"/>
    <w:pPr>
      <w:widowControl w:val="0"/>
    </w:pPr>
    <w:rPr>
      <w:sz w:val="22"/>
      <w:lang w:eastAsia="en-US"/>
    </w:rPr>
    <w:tblPr>
      <w:tblCellMar>
        <w:top w:w="0" w:type="dxa"/>
        <w:left w:w="0" w:type="dxa"/>
        <w:bottom w:w="0" w:type="dxa"/>
        <w:right w:w="0" w:type="dxa"/>
      </w:tblCellMar>
    </w:tblPr>
  </w:style>
  <w:style w:type="character" w:customStyle="1" w:styleId="117">
    <w:name w:val="题注 字符"/>
    <w:link w:val="13"/>
    <w:qFormat/>
    <w:uiPriority w:val="0"/>
    <w:rPr>
      <w:rFonts w:ascii="Times New Roman" w:hAnsi="Times New Roman" w:eastAsia="宋体" w:cs="Times New Roman"/>
      <w:b/>
      <w:kern w:val="0"/>
      <w:szCs w:val="21"/>
    </w:rPr>
  </w:style>
  <w:style w:type="paragraph" w:customStyle="1" w:styleId="118">
    <w:name w:val="TOC 标题1"/>
    <w:basedOn w:val="2"/>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F5597" w:themeColor="accent1" w:themeShade="BF"/>
      <w:kern w:val="0"/>
      <w:sz w:val="28"/>
      <w:szCs w:val="28"/>
    </w:rPr>
  </w:style>
  <w:style w:type="character" w:customStyle="1" w:styleId="119">
    <w:name w:val="未处理的提及1"/>
    <w:basedOn w:val="41"/>
    <w:semiHidden/>
    <w:unhideWhenUsed/>
    <w:qFormat/>
    <w:uiPriority w:val="99"/>
    <w:rPr>
      <w:color w:val="605E5C"/>
      <w:shd w:val="clear" w:color="auto" w:fill="E1DFDD"/>
    </w:rPr>
  </w:style>
  <w:style w:type="table" w:customStyle="1" w:styleId="120">
    <w:name w:val="Table Normal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1">
    <w:name w:val="Table Normal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2">
    <w:name w:val="Table Normal6"/>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3">
    <w:name w:val="Table Normal7"/>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24">
    <w:name w:val="xl26"/>
    <w:basedOn w:val="1"/>
    <w:link w:val="125"/>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Times New Roman"/>
      <w:kern w:val="0"/>
      <w:szCs w:val="21"/>
    </w:rPr>
  </w:style>
  <w:style w:type="character" w:customStyle="1" w:styleId="125">
    <w:name w:val="xl26 Char"/>
    <w:link w:val="124"/>
    <w:qFormat/>
    <w:uiPriority w:val="0"/>
    <w:rPr>
      <w:rFonts w:ascii="宋体" w:hAnsi="宋体"/>
      <w:sz w:val="21"/>
      <w:szCs w:val="21"/>
    </w:rPr>
  </w:style>
  <w:style w:type="character" w:customStyle="1" w:styleId="126">
    <w:name w:val="表格内容 Char"/>
    <w:basedOn w:val="41"/>
    <w:qFormat/>
    <w:uiPriority w:val="0"/>
    <w:rPr>
      <w:rFonts w:ascii="Arial" w:hAnsi="Arial" w:eastAsia="仿宋_GB2312"/>
      <w:kern w:val="0"/>
    </w:rPr>
  </w:style>
  <w:style w:type="paragraph" w:customStyle="1" w:styleId="127">
    <w:name w:val="表格标题2"/>
    <w:basedOn w:val="1"/>
    <w:link w:val="128"/>
    <w:qFormat/>
    <w:uiPriority w:val="0"/>
    <w:pPr>
      <w:keepNext/>
      <w:widowControl/>
      <w:overflowPunct w:val="0"/>
      <w:adjustRightInd w:val="0"/>
      <w:snapToGrid w:val="0"/>
      <w:spacing w:before="360" w:after="120" w:line="480" w:lineRule="exact"/>
      <w:jc w:val="center"/>
      <w:textAlignment w:val="baseline"/>
    </w:pPr>
    <w:rPr>
      <w:rFonts w:ascii="Arial" w:hAnsi="Arial" w:eastAsia="黑体" w:cs="Times New Roman"/>
      <w:b/>
      <w:kern w:val="0"/>
      <w:sz w:val="24"/>
      <w:szCs w:val="20"/>
    </w:rPr>
  </w:style>
  <w:style w:type="character" w:customStyle="1" w:styleId="128">
    <w:name w:val="表格标题2 Char"/>
    <w:basedOn w:val="41"/>
    <w:link w:val="127"/>
    <w:qFormat/>
    <w:uiPriority w:val="0"/>
    <w:rPr>
      <w:rFonts w:ascii="Arial" w:hAnsi="Arial" w:eastAsia="黑体"/>
      <w:b/>
      <w:sz w:val="24"/>
    </w:rPr>
  </w:style>
  <w:style w:type="paragraph" w:customStyle="1" w:styleId="129">
    <w:name w:val="表格"/>
    <w:basedOn w:val="1"/>
    <w:link w:val="130"/>
    <w:qFormat/>
    <w:uiPriority w:val="0"/>
    <w:pPr>
      <w:jc w:val="center"/>
    </w:pPr>
    <w:rPr>
      <w:rFonts w:ascii="Times New Roman" w:hAnsi="Times New Roman" w:eastAsia="宋体" w:cs="Times New Roman"/>
      <w:kern w:val="0"/>
      <w:sz w:val="20"/>
      <w:szCs w:val="20"/>
    </w:rPr>
  </w:style>
  <w:style w:type="character" w:customStyle="1" w:styleId="130">
    <w:name w:val="表格 Char"/>
    <w:link w:val="129"/>
    <w:qFormat/>
    <w:uiPriority w:val="0"/>
  </w:style>
  <w:style w:type="paragraph" w:customStyle="1" w:styleId="131">
    <w:name w:val="表格文字01"/>
    <w:basedOn w:val="1"/>
    <w:qFormat/>
    <w:uiPriority w:val="0"/>
    <w:pPr>
      <w:wordWrap w:val="0"/>
      <w:overflowPunct w:val="0"/>
      <w:topLinePunct/>
      <w:jc w:val="center"/>
    </w:pPr>
    <w:rPr>
      <w:rFonts w:ascii="Arial" w:hAnsi="Arial"/>
      <w:color w:val="000000"/>
    </w:rPr>
  </w:style>
  <w:style w:type="paragraph" w:customStyle="1" w:styleId="132">
    <w:name w:val="宗兴正文"/>
    <w:qFormat/>
    <w:uiPriority w:val="0"/>
    <w:pPr>
      <w:spacing w:line="360" w:lineRule="auto"/>
      <w:ind w:firstLine="200" w:firstLineChars="200"/>
      <w:jc w:val="both"/>
    </w:pPr>
    <w:rPr>
      <w:rFonts w:ascii="Calibri" w:hAnsi="Calibri" w:eastAsia="宋体" w:cs="Times New Roman"/>
      <w:kern w:val="2"/>
      <w:sz w:val="24"/>
      <w:szCs w:val="24"/>
      <w:lang w:val="en-US" w:eastAsia="zh-CN" w:bidi="ar-SA"/>
    </w:rPr>
  </w:style>
  <w:style w:type="paragraph" w:customStyle="1" w:styleId="133">
    <w:name w:val="00正文"/>
    <w:basedOn w:val="23"/>
    <w:qFormat/>
    <w:uiPriority w:val="0"/>
    <w:pPr>
      <w:tabs>
        <w:tab w:val="left" w:pos="602"/>
        <w:tab w:val="clear" w:pos="0"/>
      </w:tabs>
      <w:spacing w:line="300" w:lineRule="auto"/>
      <w:ind w:firstLine="480"/>
    </w:pPr>
    <w:rPr>
      <w:snapToGrid w:val="0"/>
      <w:sz w:val="24"/>
    </w:rPr>
  </w:style>
  <w:style w:type="character" w:customStyle="1" w:styleId="134">
    <w:name w:val="font01"/>
    <w:basedOn w:val="41"/>
    <w:qFormat/>
    <w:uiPriority w:val="0"/>
    <w:rPr>
      <w:rFonts w:hint="eastAsia" w:ascii="宋体" w:hAnsi="宋体" w:eastAsia="宋体" w:cs="宋体"/>
      <w:color w:val="0000FF"/>
      <w:sz w:val="21"/>
      <w:szCs w:val="21"/>
      <w:u w:val="none"/>
    </w:rPr>
  </w:style>
  <w:style w:type="character" w:customStyle="1" w:styleId="135">
    <w:name w:val="font31"/>
    <w:basedOn w:val="41"/>
    <w:qFormat/>
    <w:uiPriority w:val="0"/>
    <w:rPr>
      <w:rFonts w:hint="default" w:ascii="Times New Roman" w:hAnsi="Times New Roman" w:cs="Times New Roman"/>
      <w:color w:val="0000FF"/>
      <w:sz w:val="21"/>
      <w:szCs w:val="21"/>
      <w:u w:val="none"/>
    </w:rPr>
  </w:style>
  <w:style w:type="character" w:customStyle="1" w:styleId="136">
    <w:name w:val="font11"/>
    <w:basedOn w:val="41"/>
    <w:qFormat/>
    <w:uiPriority w:val="0"/>
    <w:rPr>
      <w:rFonts w:hint="eastAsia" w:ascii="宋体" w:hAnsi="宋体" w:eastAsia="宋体" w:cs="宋体"/>
      <w:color w:val="0000FF"/>
      <w:sz w:val="21"/>
      <w:szCs w:val="21"/>
      <w:u w:val="none"/>
    </w:rPr>
  </w:style>
  <w:style w:type="paragraph" w:customStyle="1" w:styleId="137">
    <w:name w:val="A-表格文字"/>
    <w:basedOn w:val="1"/>
    <w:next w:val="138"/>
    <w:qFormat/>
    <w:uiPriority w:val="0"/>
    <w:pPr>
      <w:autoSpaceDE w:val="0"/>
      <w:autoSpaceDN w:val="0"/>
      <w:adjustRightInd w:val="0"/>
      <w:jc w:val="center"/>
      <w:textAlignment w:val="center"/>
    </w:pPr>
    <w:rPr>
      <w:kern w:val="0"/>
      <w:szCs w:val="21"/>
    </w:rPr>
  </w:style>
  <w:style w:type="paragraph" w:customStyle="1" w:styleId="138">
    <w:name w:val="A-z正文"/>
    <w:basedOn w:val="1"/>
    <w:qFormat/>
    <w:uiPriority w:val="0"/>
    <w:pPr>
      <w:spacing w:line="360" w:lineRule="auto"/>
      <w:ind w:firstLine="200" w:firstLineChars="200"/>
    </w:pPr>
    <w:rPr>
      <w:rFonts w:cs="宋体"/>
      <w:sz w:val="24"/>
      <w:szCs w:val="20"/>
    </w:rPr>
  </w:style>
  <w:style w:type="character" w:customStyle="1" w:styleId="139">
    <w:name w:val="fontstyle01"/>
    <w:qFormat/>
    <w:uiPriority w:val="0"/>
    <w:rPr>
      <w:rFonts w:hint="eastAsia" w:ascii="宋体" w:hAnsi="宋体" w:eastAsia="宋体"/>
      <w:color w:val="000000"/>
      <w:sz w:val="24"/>
      <w:szCs w:val="24"/>
    </w:rPr>
  </w:style>
  <w:style w:type="character" w:customStyle="1" w:styleId="140">
    <w:name w:val="fontstyle11"/>
    <w:qFormat/>
    <w:uiPriority w:val="0"/>
    <w:rPr>
      <w:rFonts w:hint="default" w:ascii="Times New Roman" w:hAnsi="Times New Roman" w:cs="Times New Roman"/>
      <w:color w:val="000000"/>
      <w:sz w:val="24"/>
      <w:szCs w:val="24"/>
    </w:rPr>
  </w:style>
  <w:style w:type="character" w:customStyle="1" w:styleId="141">
    <w:name w:val="fontstyle21"/>
    <w:qFormat/>
    <w:uiPriority w:val="0"/>
    <w:rPr>
      <w:rFonts w:hint="default" w:ascii="TimesNewRomanPSMT" w:hAnsi="TimesNewRomanPSMT"/>
      <w:color w:val="000000"/>
      <w:sz w:val="24"/>
      <w:szCs w:val="24"/>
    </w:rPr>
  </w:style>
  <w:style w:type="paragraph" w:customStyle="1" w:styleId="142">
    <w:name w:val="五级"/>
    <w:basedOn w:val="1"/>
    <w:qFormat/>
    <w:uiPriority w:val="0"/>
    <w:pPr>
      <w:overflowPunct w:val="0"/>
      <w:snapToGrid w:val="0"/>
      <w:spacing w:line="500" w:lineRule="exact"/>
      <w:ind w:firstLine="200" w:firstLineChars="200"/>
      <w:outlineLvl w:val="4"/>
    </w:pPr>
    <w:rPr>
      <w:rFonts w:ascii="Times New Roman" w:hAnsi="Times New Roman" w:eastAsia="宋体" w:cs="Times New Roman"/>
      <w:b/>
      <w:sz w:val="24"/>
      <w:szCs w:val="30"/>
    </w:rPr>
  </w:style>
  <w:style w:type="paragraph" w:customStyle="1" w:styleId="143">
    <w:name w:val="图"/>
    <w:basedOn w:val="144"/>
    <w:qFormat/>
    <w:uiPriority w:val="0"/>
    <w:pPr>
      <w:ind w:firstLine="0" w:firstLineChars="0"/>
      <w:jc w:val="center"/>
    </w:pPr>
    <w:rPr>
      <w:b/>
    </w:rPr>
  </w:style>
  <w:style w:type="paragraph" w:customStyle="1" w:styleId="144">
    <w:name w:val="正"/>
    <w:basedOn w:val="1"/>
    <w:qFormat/>
    <w:uiPriority w:val="0"/>
    <w:pPr>
      <w:spacing w:line="500" w:lineRule="exact"/>
      <w:ind w:firstLine="200" w:firstLineChars="200"/>
    </w:pPr>
    <w:rPr>
      <w:rFonts w:ascii="Times New Roman" w:hAnsi="Times New Roman" w:eastAsia="宋体"/>
      <w:sz w:val="24"/>
    </w:rPr>
  </w:style>
  <w:style w:type="paragraph" w:customStyle="1" w:styleId="145">
    <w:name w:val="内容"/>
    <w:basedOn w:val="146"/>
    <w:qFormat/>
    <w:uiPriority w:val="0"/>
    <w:pPr>
      <w:spacing w:before="0" w:after="0" w:line="240" w:lineRule="auto"/>
      <w:outlineLvl w:val="9"/>
    </w:pPr>
    <w:rPr>
      <w:rFonts w:ascii="华文细黑" w:hAnsi="华文细黑" w:eastAsia="华文细黑"/>
      <w:b w:val="0"/>
      <w:sz w:val="21"/>
    </w:rPr>
  </w:style>
  <w:style w:type="paragraph" w:customStyle="1" w:styleId="146">
    <w:name w:val="表"/>
    <w:basedOn w:val="147"/>
    <w:qFormat/>
    <w:uiPriority w:val="0"/>
    <w:pPr>
      <w:spacing w:before="120" w:beforeLines="0" w:after="120" w:afterLines="0"/>
      <w:jc w:val="center"/>
      <w:outlineLvl w:val="5"/>
    </w:pPr>
    <w:rPr>
      <w:rFonts w:eastAsiaTheme="minorEastAsia"/>
      <w:sz w:val="24"/>
    </w:rPr>
  </w:style>
  <w:style w:type="paragraph" w:customStyle="1" w:styleId="147">
    <w:name w:val="四级"/>
    <w:basedOn w:val="148"/>
    <w:qFormat/>
    <w:uiPriority w:val="0"/>
    <w:pPr>
      <w:outlineLvl w:val="3"/>
    </w:pPr>
    <w:rPr>
      <w:sz w:val="28"/>
    </w:rPr>
  </w:style>
  <w:style w:type="paragraph" w:customStyle="1" w:styleId="148">
    <w:name w:val="三级"/>
    <w:basedOn w:val="1"/>
    <w:qFormat/>
    <w:uiPriority w:val="0"/>
    <w:pPr>
      <w:overflowPunct w:val="0"/>
      <w:snapToGrid w:val="0"/>
      <w:spacing w:before="25" w:beforeLines="25" w:after="20" w:afterLines="20" w:line="480" w:lineRule="exact"/>
      <w:outlineLvl w:val="2"/>
    </w:pPr>
    <w:rPr>
      <w:rFonts w:ascii="Times New Roman" w:hAnsi="Times New Roman" w:eastAsia="宋体"/>
      <w:b/>
      <w:sz w:val="30"/>
    </w:rPr>
  </w:style>
  <w:style w:type="character" w:customStyle="1" w:styleId="149">
    <w:name w:val="font21"/>
    <w:basedOn w:val="41"/>
    <w:qFormat/>
    <w:uiPriority w:val="0"/>
    <w:rPr>
      <w:rFonts w:hint="default" w:ascii="Times New Roman" w:hAnsi="Times New Roman" w:cs="Times New Roman"/>
      <w:color w:val="000000"/>
      <w:sz w:val="21"/>
      <w:szCs w:val="21"/>
      <w:u w:val="none"/>
      <w:vertAlign w:val="superscript"/>
    </w:rPr>
  </w:style>
  <w:style w:type="character" w:customStyle="1" w:styleId="150">
    <w:name w:val="f241"/>
    <w:qFormat/>
    <w:uiPriority w:val="0"/>
    <w:rPr>
      <w:sz w:val="36"/>
      <w:szCs w:val="36"/>
    </w:rPr>
  </w:style>
  <w:style w:type="character" w:customStyle="1" w:styleId="151">
    <w:name w:val="font61"/>
    <w:basedOn w:val="41"/>
    <w:qFormat/>
    <w:uiPriority w:val="0"/>
    <w:rPr>
      <w:rFonts w:hint="default" w:ascii="Times New Roman" w:hAnsi="Times New Roman" w:cs="Times New Roman"/>
      <w:b/>
      <w:bCs/>
      <w:color w:val="000000"/>
      <w:sz w:val="21"/>
      <w:szCs w:val="21"/>
      <w:u w:val="none"/>
      <w:vertAlign w:val="superscript"/>
    </w:rPr>
  </w:style>
  <w:style w:type="character" w:customStyle="1" w:styleId="152">
    <w:name w:val="font41"/>
    <w:basedOn w:val="41"/>
    <w:qFormat/>
    <w:uiPriority w:val="0"/>
    <w:rPr>
      <w:rFonts w:hint="default" w:ascii="Times New Roman" w:hAnsi="Times New Roman" w:cs="Times New Roman"/>
      <w:color w:val="000000"/>
      <w:sz w:val="21"/>
      <w:szCs w:val="21"/>
      <w:u w:val="none"/>
    </w:rPr>
  </w:style>
  <w:style w:type="character" w:customStyle="1" w:styleId="153">
    <w:name w:val="font51"/>
    <w:basedOn w:val="41"/>
    <w:qFormat/>
    <w:uiPriority w:val="0"/>
    <w:rPr>
      <w:rFonts w:hint="eastAsia" w:ascii="宋体" w:hAnsi="宋体" w:eastAsia="宋体" w:cs="宋体"/>
      <w:b/>
      <w:bCs/>
      <w:color w:val="000000"/>
      <w:sz w:val="21"/>
      <w:szCs w:val="21"/>
      <w:u w:val="none"/>
    </w:rPr>
  </w:style>
  <w:style w:type="character" w:customStyle="1" w:styleId="154">
    <w:name w:val="font71"/>
    <w:basedOn w:val="41"/>
    <w:qFormat/>
    <w:uiPriority w:val="0"/>
    <w:rPr>
      <w:rFonts w:hint="default" w:ascii="Times New Roman" w:hAnsi="Times New Roman" w:cs="Times New Roman"/>
      <w:b/>
      <w:bCs/>
      <w:color w:val="000000"/>
      <w:sz w:val="21"/>
      <w:szCs w:val="21"/>
      <w:u w:val="none"/>
      <w:vertAlign w:val="superscript"/>
    </w:rPr>
  </w:style>
  <w:style w:type="paragraph" w:customStyle="1" w:styleId="155">
    <w:name w:val="Table Text"/>
    <w:basedOn w:val="1"/>
    <w:semiHidden/>
    <w:qFormat/>
    <w:uiPriority w:val="0"/>
    <w:rPr>
      <w:rFonts w:ascii="宋体" w:hAnsi="宋体" w:eastAsia="宋体" w:cs="宋体"/>
      <w:sz w:val="20"/>
      <w:szCs w:val="20"/>
      <w:lang w:val="en-US" w:eastAsia="en-US" w:bidi="ar-SA"/>
    </w:rPr>
  </w:style>
  <w:style w:type="paragraph" w:customStyle="1" w:styleId="156">
    <w:name w:val="Other|1"/>
    <w:basedOn w:val="1"/>
    <w:qFormat/>
    <w:uiPriority w:val="0"/>
    <w:rPr>
      <w:rFonts w:ascii="宋体" w:hAnsi="宋体" w:cs="宋体"/>
      <w:sz w:val="60"/>
      <w:szCs w:val="60"/>
      <w:lang w:val="zh-TW" w:eastAsia="zh-TW" w:bidi="zh-TW"/>
    </w:rPr>
  </w:style>
  <w:style w:type="paragraph" w:customStyle="1" w:styleId="157">
    <w:name w:val="列出段落31"/>
    <w:basedOn w:val="1"/>
    <w:qFormat/>
    <w:uiPriority w:val="1"/>
    <w:pPr>
      <w:autoSpaceDE w:val="0"/>
      <w:autoSpaceDN w:val="0"/>
      <w:ind w:left="1483" w:hanging="704"/>
      <w:jc w:val="left"/>
    </w:pPr>
    <w:rPr>
      <w:rFonts w:ascii="宋体" w:hAnsi="宋体" w:eastAsia="宋体" w:cs="宋体"/>
      <w:kern w:val="0"/>
      <w:sz w:val="22"/>
      <w:szCs w:val="22"/>
      <w:lang w:val="zh-CN" w:bidi="zh-CN"/>
    </w:rPr>
  </w:style>
  <w:style w:type="paragraph" w:customStyle="1" w:styleId="158">
    <w:name w:val="1表格正文"/>
    <w:basedOn w:val="1"/>
    <w:qFormat/>
    <w:uiPriority w:val="0"/>
    <w:pPr>
      <w:adjustRightInd w:val="0"/>
      <w:snapToGrid w:val="0"/>
      <w:jc w:val="center"/>
    </w:pPr>
    <w:rPr>
      <w:rFonts w:ascii="宋体" w:hAnsi="宋体" w:eastAsia="宋体"/>
      <w:kern w:val="0"/>
      <w:sz w:val="24"/>
    </w:rPr>
  </w:style>
  <w:style w:type="paragraph" w:customStyle="1" w:styleId="159">
    <w:name w:val="我的正文"/>
    <w:basedOn w:val="1"/>
    <w:qFormat/>
    <w:uiPriority w:val="0"/>
    <w:pPr>
      <w:ind w:firstLine="538" w:firstLineChars="192"/>
    </w:pPr>
    <w:rPr>
      <w:rFonts w:eastAsia="宋体"/>
      <w:szCs w:val="24"/>
    </w:rPr>
  </w:style>
  <w:style w:type="paragraph" w:customStyle="1" w:styleId="160">
    <w:name w:val="正文3"/>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61">
    <w:name w:val="文章正文样式 Char Char Char4"/>
    <w:basedOn w:val="1"/>
    <w:qFormat/>
    <w:uiPriority w:val="0"/>
    <w:pPr>
      <w:spacing w:line="520" w:lineRule="exact"/>
      <w:ind w:firstLine="480" w:firstLineChars="200"/>
      <w:jc w:val="left"/>
    </w:pPr>
    <w:rPr>
      <w:rFonts w:ascii="宋体" w:hAnsi="宋体" w:eastAsia="宋体" w:cs="宋体"/>
      <w:sz w:val="24"/>
    </w:rPr>
  </w:style>
  <w:style w:type="paragraph" w:customStyle="1" w:styleId="162">
    <w:name w:val="表头xxx"/>
    <w:basedOn w:val="1"/>
    <w:next w:val="163"/>
    <w:qFormat/>
    <w:uiPriority w:val="0"/>
    <w:pPr>
      <w:adjustRightInd w:val="0"/>
      <w:snapToGrid w:val="0"/>
      <w:spacing w:before="50" w:beforeLines="50" w:line="240" w:lineRule="auto"/>
      <w:ind w:firstLine="0" w:firstLineChars="0"/>
      <w:jc w:val="center"/>
    </w:pPr>
    <w:rPr>
      <w:rFonts w:ascii="Times New Roman" w:hAnsi="Times New Roman" w:eastAsia="宋体" w:cs="Times New Roman"/>
      <w:b/>
      <w:bCs/>
      <w:color w:val="000000" w:themeColor="text1"/>
      <w14:textFill>
        <w14:solidFill>
          <w14:schemeClr w14:val="tx1"/>
        </w14:solidFill>
      </w14:textFill>
    </w:rPr>
  </w:style>
  <w:style w:type="paragraph" w:customStyle="1" w:styleId="163">
    <w:name w:val="正 文"/>
    <w:qFormat/>
    <w:uiPriority w:val="0"/>
    <w:pPr>
      <w:widowControl w:val="0"/>
      <w:spacing w:line="480" w:lineRule="exact"/>
      <w:ind w:firstLine="471"/>
      <w:jc w:val="both"/>
    </w:pPr>
    <w:rPr>
      <w:rFonts w:ascii="Times New Roman" w:hAnsi="Times New Roman" w:eastAsia="宋体" w:cs="Times New Roman"/>
      <w:kern w:val="2"/>
      <w:sz w:val="24"/>
      <w:szCs w:val="24"/>
      <w:lang w:val="zh-CN" w:eastAsia="zh-CN" w:bidi="ar-SA"/>
    </w:rPr>
  </w:style>
  <w:style w:type="paragraph" w:customStyle="1" w:styleId="164">
    <w:name w:val="表格内容xxx"/>
    <w:basedOn w:val="1"/>
    <w:qFormat/>
    <w:uiPriority w:val="0"/>
    <w:pPr>
      <w:adjustRightInd w:val="0"/>
      <w:snapToGrid w:val="0"/>
      <w:spacing w:line="240" w:lineRule="auto"/>
      <w:ind w:firstLine="0" w:firstLineChars="0"/>
      <w:jc w:val="center"/>
    </w:pPr>
    <w:rPr>
      <w:rFonts w:ascii="Times New Roman" w:hAnsi="Times New Roman" w:eastAsia="宋体" w:cs="Times New Roman"/>
      <w:color w:val="000000" w:themeColor="text1"/>
      <w:sz w:val="21"/>
      <w14:textFill>
        <w14:solidFill>
          <w14:schemeClr w14:val="tx1"/>
        </w14:solidFill>
      </w14:textFill>
    </w:rPr>
  </w:style>
  <w:style w:type="character" w:customStyle="1" w:styleId="165">
    <w:name w:val="16"/>
    <w:basedOn w:val="41"/>
    <w:qFormat/>
    <w:uiPriority w:val="0"/>
    <w:rPr>
      <w:rFonts w:hint="eastAsia" w:ascii="宋体" w:hAnsi="宋体" w:eastAsia="宋体" w:cs="宋体"/>
      <w:b/>
      <w:bCs/>
      <w:color w:val="000000"/>
      <w:sz w:val="20"/>
      <w:szCs w:val="20"/>
    </w:rPr>
  </w:style>
  <w:style w:type="character" w:customStyle="1" w:styleId="166">
    <w:name w:val="17"/>
    <w:basedOn w:val="41"/>
    <w:qFormat/>
    <w:uiPriority w:val="0"/>
    <w:rPr>
      <w:rFonts w:hint="default" w:ascii="Times New Roman" w:hAnsi="Times New Roman" w:cs="Times New Roman"/>
      <w:b/>
      <w:bCs/>
      <w:color w:val="000000"/>
      <w:sz w:val="20"/>
      <w:szCs w:val="20"/>
      <w:vertAlign w:val="superscript"/>
    </w:rPr>
  </w:style>
  <w:style w:type="character" w:customStyle="1" w:styleId="167">
    <w:name w:val="18"/>
    <w:basedOn w:val="41"/>
    <w:qFormat/>
    <w:uiPriority w:val="0"/>
    <w:rPr>
      <w:rFonts w:hint="eastAsia" w:ascii="宋体" w:hAnsi="宋体" w:eastAsia="宋体" w:cs="宋体"/>
      <w:color w:val="000000"/>
      <w:sz w:val="20"/>
      <w:szCs w:val="20"/>
    </w:rPr>
  </w:style>
  <w:style w:type="paragraph" w:customStyle="1" w:styleId="168">
    <w:name w:val="[正文格式]"/>
    <w:basedOn w:val="1"/>
    <w:qFormat/>
    <w:uiPriority w:val="0"/>
    <w:pPr>
      <w:spacing w:line="480" w:lineRule="exact"/>
      <w:ind w:firstLine="200" w:firstLineChars="200"/>
    </w:pPr>
    <w:rPr>
      <w:rFonts w:ascii="Times New Roman" w:hAnsi="Times New Roman"/>
    </w:rPr>
  </w:style>
  <w:style w:type="paragraph" w:customStyle="1" w:styleId="169">
    <w:name w:val="表格、图表名称"/>
    <w:basedOn w:val="1"/>
    <w:qFormat/>
    <w:uiPriority w:val="0"/>
    <w:pPr>
      <w:ind w:firstLine="0"/>
      <w:jc w:val="center"/>
    </w:pPr>
    <w:rPr>
      <w:rFonts w:ascii="Times New Roman" w:hAnsi="Times New Roman"/>
      <w:b/>
    </w:rPr>
  </w:style>
  <w:style w:type="paragraph" w:customStyle="1" w:styleId="170">
    <w:name w:val="表格内文字"/>
    <w:basedOn w:val="1"/>
    <w:qFormat/>
    <w:uiPriority w:val="0"/>
    <w:pPr>
      <w:autoSpaceDE w:val="0"/>
      <w:autoSpaceDN w:val="0"/>
      <w:adjustRightInd w:val="0"/>
      <w:ind w:firstLine="0"/>
      <w:jc w:val="center"/>
    </w:pPr>
    <w:rPr>
      <w:rFonts w:ascii="Times New Roman" w:hAnsi="Times New Roman"/>
      <w:sz w:val="22"/>
    </w:rPr>
  </w:style>
  <w:style w:type="character" w:customStyle="1" w:styleId="171">
    <w:name w:val="font81"/>
    <w:basedOn w:val="41"/>
    <w:qFormat/>
    <w:uiPriority w:val="0"/>
    <w:rPr>
      <w:rFonts w:hint="default" w:ascii="Times New Roman" w:hAnsi="Times New Roman" w:cs="Times New Roman"/>
      <w:b/>
      <w:bCs/>
      <w:color w:val="000000"/>
      <w:sz w:val="21"/>
      <w:szCs w:val="21"/>
      <w:u w:val="single"/>
    </w:rPr>
  </w:style>
  <w:style w:type="character" w:customStyle="1" w:styleId="172">
    <w:name w:val="font91"/>
    <w:basedOn w:val="41"/>
    <w:qFormat/>
    <w:uiPriority w:val="0"/>
    <w:rPr>
      <w:rFonts w:hint="default" w:ascii="Times New Roman" w:hAnsi="Times New Roman" w:cs="Times New Roman"/>
      <w:b/>
      <w:bCs/>
      <w:color w:val="000000"/>
      <w:sz w:val="21"/>
      <w:szCs w:val="21"/>
      <w:u w:val="single"/>
      <w:vertAlign w:val="superscript"/>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74.jpe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theme" Target="theme/theme1.xml"/><Relationship Id="rId89" Type="http://schemas.openxmlformats.org/officeDocument/2006/relationships/image" Target="media/image71.pn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jpe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4.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chart" Target="charts/chart4.xml"/><Relationship Id="rId73" Type="http://schemas.openxmlformats.org/officeDocument/2006/relationships/chart" Target="charts/chart3.xml"/><Relationship Id="rId72" Type="http://schemas.openxmlformats.org/officeDocument/2006/relationships/chart" Target="charts/chart2.xml"/><Relationship Id="rId71" Type="http://schemas.openxmlformats.org/officeDocument/2006/relationships/chart" Target="charts/chart1.xml"/><Relationship Id="rId70" Type="http://schemas.openxmlformats.org/officeDocument/2006/relationships/image" Target="media/image56.png"/><Relationship Id="rId7" Type="http://schemas.openxmlformats.org/officeDocument/2006/relationships/header" Target="header2.xml"/><Relationship Id="rId69" Type="http://schemas.openxmlformats.org/officeDocument/2006/relationships/image" Target="media/image55.wmf"/><Relationship Id="rId68" Type="http://schemas.openxmlformats.org/officeDocument/2006/relationships/image" Target="media/image54.wmf"/><Relationship Id="rId67" Type="http://schemas.openxmlformats.org/officeDocument/2006/relationships/image" Target="media/image53.wmf"/><Relationship Id="rId66" Type="http://schemas.openxmlformats.org/officeDocument/2006/relationships/image" Target="media/image52.wmf"/><Relationship Id="rId65" Type="http://schemas.openxmlformats.org/officeDocument/2006/relationships/image" Target="media/image51.wmf"/><Relationship Id="rId64" Type="http://schemas.openxmlformats.org/officeDocument/2006/relationships/image" Target="media/image50.wmf"/><Relationship Id="rId63" Type="http://schemas.openxmlformats.org/officeDocument/2006/relationships/image" Target="media/image49.wmf"/><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3.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wmf"/><Relationship Id="rId37" Type="http://schemas.openxmlformats.org/officeDocument/2006/relationships/image" Target="media/image23.wmf"/><Relationship Id="rId36" Type="http://schemas.openxmlformats.org/officeDocument/2006/relationships/image" Target="media/image22.wmf"/><Relationship Id="rId35" Type="http://schemas.openxmlformats.org/officeDocument/2006/relationships/image" Target="media/image21.wmf"/><Relationship Id="rId34" Type="http://schemas.openxmlformats.org/officeDocument/2006/relationships/image" Target="media/image20.wmf"/><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wmf"/><Relationship Id="rId30" Type="http://schemas.openxmlformats.org/officeDocument/2006/relationships/image" Target="media/image16.wmf"/><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wmf"/><Relationship Id="rId23" Type="http://schemas.openxmlformats.org/officeDocument/2006/relationships/oleObject" Target="embeddings/oleObject5.bin"/><Relationship Id="rId22" Type="http://schemas.openxmlformats.org/officeDocument/2006/relationships/image" Target="media/image9.wmf"/><Relationship Id="rId21" Type="http://schemas.openxmlformats.org/officeDocument/2006/relationships/oleObject" Target="embeddings/oleObject4.bin"/><Relationship Id="rId20" Type="http://schemas.openxmlformats.org/officeDocument/2006/relationships/image" Target="media/image8.e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7.emf"/><Relationship Id="rId17" Type="http://schemas.openxmlformats.org/officeDocument/2006/relationships/oleObject" Target="embeddings/oleObject2.bin"/><Relationship Id="rId16" Type="http://schemas.openxmlformats.org/officeDocument/2006/relationships/image" Target="media/image6.emf"/><Relationship Id="rId15" Type="http://schemas.openxmlformats.org/officeDocument/2006/relationships/oleObject" Target="embeddings/oleObject1.bin"/><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wmf"/><Relationship Id="rId10" Type="http://schemas.openxmlformats.org/officeDocument/2006/relationships/image" Target="media/image1.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24037;&#20316;&#31807;1"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24037;&#20316;&#31807;1"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[工作簿1]Sheet1!$F$2</c:f>
              <c:strCache>
                <c:ptCount val="1"/>
                <c:pt idx="0">
                  <c:v>C（mg/L）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[工作簿1]Sheet1!$E$3:$E$19</c:f>
              <c:numCache>
                <c:formatCode>General</c:formatCode>
                <c:ptCount val="17"/>
                <c:pt idx="0">
                  <c:v>0</c:v>
                </c:pt>
                <c:pt idx="1">
                  <c:v>10</c:v>
                </c:pt>
                <c:pt idx="2">
                  <c:v>20</c:v>
                </c:pt>
                <c:pt idx="3">
                  <c:v>30</c:v>
                </c:pt>
                <c:pt idx="4">
                  <c:v>40</c:v>
                </c:pt>
                <c:pt idx="5">
                  <c:v>50</c:v>
                </c:pt>
                <c:pt idx="6">
                  <c:v>60</c:v>
                </c:pt>
                <c:pt idx="7">
                  <c:v>70</c:v>
                </c:pt>
                <c:pt idx="8">
                  <c:v>80</c:v>
                </c:pt>
                <c:pt idx="9">
                  <c:v>90</c:v>
                </c:pt>
                <c:pt idx="10">
                  <c:v>100</c:v>
                </c:pt>
                <c:pt idx="11">
                  <c:v>150</c:v>
                </c:pt>
                <c:pt idx="12">
                  <c:v>200</c:v>
                </c:pt>
                <c:pt idx="13">
                  <c:v>250</c:v>
                </c:pt>
                <c:pt idx="14">
                  <c:v>300</c:v>
                </c:pt>
                <c:pt idx="15">
                  <c:v>350</c:v>
                </c:pt>
                <c:pt idx="16">
                  <c:v>400</c:v>
                </c:pt>
              </c:numCache>
            </c:numRef>
          </c:xVal>
          <c:yVal>
            <c:numRef>
              <c:f>[工作簿1]Sheet1!$F$3:$F$19</c:f>
              <c:numCache>
                <c:formatCode>General</c:formatCode>
                <c:ptCount val="17"/>
                <c:pt idx="0">
                  <c:v>27.8</c:v>
                </c:pt>
                <c:pt idx="1">
                  <c:v>26.2</c:v>
                </c:pt>
                <c:pt idx="2">
                  <c:v>18.7</c:v>
                </c:pt>
                <c:pt idx="3">
                  <c:v>10.1</c:v>
                </c:pt>
                <c:pt idx="4">
                  <c:v>4.11</c:v>
                </c:pt>
                <c:pt idx="5">
                  <c:v>1.27</c:v>
                </c:pt>
                <c:pt idx="6">
                  <c:v>0.296</c:v>
                </c:pt>
                <c:pt idx="7">
                  <c:v>0.0522</c:v>
                </c:pt>
                <c:pt idx="8">
                  <c:v>0.00697</c:v>
                </c:pt>
                <c:pt idx="9">
                  <c:v>0.000704</c:v>
                </c:pt>
                <c:pt idx="10">
                  <c:v>5.37e-5</c:v>
                </c:pt>
                <c:pt idx="11">
                  <c:v>2.11e-12</c:v>
                </c:pt>
                <c:pt idx="12">
                  <c:v>0</c:v>
                </c:pt>
                <c:pt idx="13">
                  <c:v>0</c:v>
                </c:pt>
                <c:pt idx="14">
                  <c:v>0</c:v>
                </c:pt>
                <c:pt idx="15">
                  <c:v>0</c:v>
                </c:pt>
                <c:pt idx="16">
                  <c:v>0</c:v>
                </c:pt>
              </c:numCache>
            </c:numRef>
          </c:yVal>
          <c:smooth val="1"/>
        </c:ser>
        <c:dLbls>
          <c:showLegendKey val="0"/>
          <c:showVal val="0"/>
          <c:showCatName val="0"/>
          <c:showSerName val="0"/>
          <c:showPercent val="0"/>
          <c:showBubbleSize val="0"/>
        </c:dLbls>
        <c:axId val="721374107"/>
        <c:axId val="705666667"/>
      </c:scatterChart>
      <c:valAx>
        <c:axId val="72137410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X(m)</a:t>
                </a:r>
                <a:endParaRPr lang="en-US" altLang="zh-CN"/>
              </a:p>
            </c:rich>
          </c:tx>
          <c:layout>
            <c:manualLayout>
              <c:xMode val="edge"/>
              <c:yMode val="edge"/>
              <c:x val="0.469151315789474"/>
              <c:y val="0.77523148148148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5666667"/>
        <c:crosses val="autoZero"/>
        <c:crossBetween val="midCat"/>
      </c:valAx>
      <c:valAx>
        <c:axId val="705666667"/>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C(mg/L)</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2137410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[工作簿1]Sheet1!$F$2</c:f>
              <c:strCache>
                <c:ptCount val="1"/>
                <c:pt idx="0">
                  <c:v>C（mg/L）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[工作簿1]Sheet1!$E$3:$E$19</c:f>
              <c:numCache>
                <c:formatCode>General</c:formatCode>
                <c:ptCount val="17"/>
                <c:pt idx="0">
                  <c:v>0</c:v>
                </c:pt>
                <c:pt idx="1">
                  <c:v>10</c:v>
                </c:pt>
                <c:pt idx="2">
                  <c:v>20</c:v>
                </c:pt>
                <c:pt idx="3">
                  <c:v>30</c:v>
                </c:pt>
                <c:pt idx="4">
                  <c:v>40</c:v>
                </c:pt>
                <c:pt idx="5">
                  <c:v>50</c:v>
                </c:pt>
                <c:pt idx="6">
                  <c:v>60</c:v>
                </c:pt>
                <c:pt idx="7">
                  <c:v>70</c:v>
                </c:pt>
                <c:pt idx="8">
                  <c:v>80</c:v>
                </c:pt>
                <c:pt idx="9">
                  <c:v>90</c:v>
                </c:pt>
                <c:pt idx="10">
                  <c:v>100</c:v>
                </c:pt>
                <c:pt idx="11">
                  <c:v>150</c:v>
                </c:pt>
                <c:pt idx="12">
                  <c:v>200</c:v>
                </c:pt>
                <c:pt idx="13">
                  <c:v>250</c:v>
                </c:pt>
                <c:pt idx="14">
                  <c:v>300</c:v>
                </c:pt>
                <c:pt idx="15">
                  <c:v>350</c:v>
                </c:pt>
                <c:pt idx="16">
                  <c:v>400</c:v>
                </c:pt>
              </c:numCache>
            </c:numRef>
          </c:xVal>
          <c:yVal>
            <c:numRef>
              <c:f>[工作簿1]Sheet1!$F$3:$F$19</c:f>
              <c:numCache>
                <c:formatCode>General</c:formatCode>
                <c:ptCount val="17"/>
                <c:pt idx="0">
                  <c:v>7.9</c:v>
                </c:pt>
                <c:pt idx="1">
                  <c:v>8.45</c:v>
                </c:pt>
                <c:pt idx="2">
                  <c:v>8.79</c:v>
                </c:pt>
                <c:pt idx="3">
                  <c:v>8.89</c:v>
                </c:pt>
                <c:pt idx="4">
                  <c:v>8.74</c:v>
                </c:pt>
                <c:pt idx="5">
                  <c:v>8.36</c:v>
                </c:pt>
                <c:pt idx="6">
                  <c:v>7.77</c:v>
                </c:pt>
                <c:pt idx="7">
                  <c:v>7.03</c:v>
                </c:pt>
                <c:pt idx="8">
                  <c:v>6.18</c:v>
                </c:pt>
                <c:pt idx="9">
                  <c:v>5.29</c:v>
                </c:pt>
                <c:pt idx="10">
                  <c:v>4.4</c:v>
                </c:pt>
                <c:pt idx="11">
                  <c:v>1.15</c:v>
                </c:pt>
                <c:pt idx="12">
                  <c:v>0.15</c:v>
                </c:pt>
                <c:pt idx="13">
                  <c:v>0.00969</c:v>
                </c:pt>
                <c:pt idx="14">
                  <c:v>0.000314</c:v>
                </c:pt>
                <c:pt idx="15">
                  <c:v>5e-6</c:v>
                </c:pt>
                <c:pt idx="16">
                  <c:v>3.98e-8</c:v>
                </c:pt>
              </c:numCache>
            </c:numRef>
          </c:yVal>
          <c:smooth val="1"/>
        </c:ser>
        <c:dLbls>
          <c:showLegendKey val="0"/>
          <c:showVal val="0"/>
          <c:showCatName val="0"/>
          <c:showSerName val="0"/>
          <c:showPercent val="0"/>
          <c:showBubbleSize val="0"/>
        </c:dLbls>
        <c:axId val="721374107"/>
        <c:axId val="705666667"/>
      </c:scatterChart>
      <c:valAx>
        <c:axId val="72137410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X(m)</a:t>
                </a:r>
                <a:endParaRPr lang="en-US" altLang="zh-CN"/>
              </a:p>
            </c:rich>
          </c:tx>
          <c:layout>
            <c:manualLayout>
              <c:xMode val="edge"/>
              <c:yMode val="edge"/>
              <c:x val="0.469151315789474"/>
              <c:y val="0.77523148148148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5666667"/>
        <c:crosses val="autoZero"/>
        <c:crossBetween val="midCat"/>
      </c:valAx>
      <c:valAx>
        <c:axId val="705666667"/>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C(mg/L)</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2137410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[工作簿1]Sheet1!$F$2</c:f>
              <c:strCache>
                <c:ptCount val="1"/>
                <c:pt idx="0">
                  <c:v>C（mg/L）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[工作簿1]Sheet1!$E$3:$E$19</c:f>
              <c:numCache>
                <c:formatCode>General</c:formatCode>
                <c:ptCount val="17"/>
                <c:pt idx="0">
                  <c:v>0</c:v>
                </c:pt>
                <c:pt idx="1">
                  <c:v>10</c:v>
                </c:pt>
                <c:pt idx="2">
                  <c:v>20</c:v>
                </c:pt>
                <c:pt idx="3">
                  <c:v>30</c:v>
                </c:pt>
                <c:pt idx="4">
                  <c:v>40</c:v>
                </c:pt>
                <c:pt idx="5">
                  <c:v>50</c:v>
                </c:pt>
                <c:pt idx="6">
                  <c:v>60</c:v>
                </c:pt>
                <c:pt idx="7">
                  <c:v>70</c:v>
                </c:pt>
                <c:pt idx="8">
                  <c:v>80</c:v>
                </c:pt>
                <c:pt idx="9">
                  <c:v>90</c:v>
                </c:pt>
                <c:pt idx="10">
                  <c:v>100</c:v>
                </c:pt>
                <c:pt idx="11">
                  <c:v>150</c:v>
                </c:pt>
                <c:pt idx="12">
                  <c:v>200</c:v>
                </c:pt>
                <c:pt idx="13">
                  <c:v>250</c:v>
                </c:pt>
                <c:pt idx="14">
                  <c:v>300</c:v>
                </c:pt>
                <c:pt idx="15">
                  <c:v>350</c:v>
                </c:pt>
                <c:pt idx="16">
                  <c:v>400</c:v>
                </c:pt>
              </c:numCache>
            </c:numRef>
          </c:xVal>
          <c:yVal>
            <c:numRef>
              <c:f>[工作簿1]Sheet1!$F$3:$F$19</c:f>
              <c:numCache>
                <c:formatCode>General</c:formatCode>
                <c:ptCount val="17"/>
                <c:pt idx="0">
                  <c:v>764</c:v>
                </c:pt>
                <c:pt idx="1">
                  <c:v>721</c:v>
                </c:pt>
                <c:pt idx="2">
                  <c:v>514</c:v>
                </c:pt>
                <c:pt idx="3">
                  <c:v>277</c:v>
                </c:pt>
                <c:pt idx="4">
                  <c:v>113</c:v>
                </c:pt>
                <c:pt idx="5">
                  <c:v>34.9</c:v>
                </c:pt>
                <c:pt idx="6">
                  <c:v>8.14</c:v>
                </c:pt>
                <c:pt idx="7">
                  <c:v>1.44</c:v>
                </c:pt>
                <c:pt idx="8">
                  <c:v>0.192</c:v>
                </c:pt>
                <c:pt idx="9">
                  <c:v>0.0193</c:v>
                </c:pt>
                <c:pt idx="10">
                  <c:v>0.00148</c:v>
                </c:pt>
                <c:pt idx="11">
                  <c:v>5.8e-11</c:v>
                </c:pt>
                <c:pt idx="12">
                  <c:v>0</c:v>
                </c:pt>
                <c:pt idx="13">
                  <c:v>0</c:v>
                </c:pt>
                <c:pt idx="14">
                  <c:v>0</c:v>
                </c:pt>
                <c:pt idx="15">
                  <c:v>0</c:v>
                </c:pt>
                <c:pt idx="16">
                  <c:v>0</c:v>
                </c:pt>
              </c:numCache>
            </c:numRef>
          </c:yVal>
          <c:smooth val="1"/>
        </c:ser>
        <c:dLbls>
          <c:showLegendKey val="0"/>
          <c:showVal val="0"/>
          <c:showCatName val="0"/>
          <c:showSerName val="0"/>
          <c:showPercent val="0"/>
          <c:showBubbleSize val="0"/>
        </c:dLbls>
        <c:axId val="721374107"/>
        <c:axId val="705666667"/>
      </c:scatterChart>
      <c:valAx>
        <c:axId val="721374107"/>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X(m)</a:t>
                </a:r>
                <a:endParaRPr lang="en-US" altLang="zh-CN"/>
              </a:p>
            </c:rich>
          </c:tx>
          <c:layout>
            <c:manualLayout>
              <c:xMode val="edge"/>
              <c:yMode val="edge"/>
              <c:x val="0.469151315789474"/>
              <c:y val="0.77523148148148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5666667"/>
        <c:crosses val="autoZero"/>
        <c:crossBetween val="midCat"/>
      </c:valAx>
      <c:valAx>
        <c:axId val="705666667"/>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C(mg/L)</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21374107"/>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[工作簿1]Sheet1!$F$2</c:f>
              <c:strCache>
                <c:ptCount val="1"/>
                <c:pt idx="0">
                  <c:v>C（mg/L）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[工作簿1]Sheet1!$E$3:$E$19</c:f>
              <c:numCache>
                <c:formatCode>General</c:formatCode>
                <c:ptCount val="17"/>
                <c:pt idx="0">
                  <c:v>0</c:v>
                </c:pt>
                <c:pt idx="1">
                  <c:v>10</c:v>
                </c:pt>
                <c:pt idx="2">
                  <c:v>20</c:v>
                </c:pt>
                <c:pt idx="3">
                  <c:v>30</c:v>
                </c:pt>
                <c:pt idx="4">
                  <c:v>40</c:v>
                </c:pt>
                <c:pt idx="5">
                  <c:v>50</c:v>
                </c:pt>
                <c:pt idx="6">
                  <c:v>60</c:v>
                </c:pt>
                <c:pt idx="7">
                  <c:v>70</c:v>
                </c:pt>
                <c:pt idx="8">
                  <c:v>80</c:v>
                </c:pt>
                <c:pt idx="9">
                  <c:v>90</c:v>
                </c:pt>
                <c:pt idx="10">
                  <c:v>100</c:v>
                </c:pt>
                <c:pt idx="11">
                  <c:v>150</c:v>
                </c:pt>
                <c:pt idx="12">
                  <c:v>200</c:v>
                </c:pt>
                <c:pt idx="13">
                  <c:v>250</c:v>
                </c:pt>
                <c:pt idx="14">
                  <c:v>300</c:v>
                </c:pt>
                <c:pt idx="15">
                  <c:v>350</c:v>
                </c:pt>
                <c:pt idx="16">
                  <c:v>400</c:v>
                </c:pt>
              </c:numCache>
            </c:numRef>
          </c:xVal>
          <c:yVal>
            <c:numRef>
              <c:f>[工作簿1]Sheet1!$F$3:$F$19</c:f>
              <c:numCache>
                <c:formatCode>General</c:formatCode>
                <c:ptCount val="17"/>
                <c:pt idx="0">
                  <c:v>217</c:v>
                </c:pt>
                <c:pt idx="1">
                  <c:v>232</c:v>
                </c:pt>
                <c:pt idx="2">
                  <c:v>242</c:v>
                </c:pt>
                <c:pt idx="3">
                  <c:v>244</c:v>
                </c:pt>
                <c:pt idx="4">
                  <c:v>240</c:v>
                </c:pt>
                <c:pt idx="5">
                  <c:v>230</c:v>
                </c:pt>
                <c:pt idx="6">
                  <c:v>214</c:v>
                </c:pt>
                <c:pt idx="7">
                  <c:v>193</c:v>
                </c:pt>
                <c:pt idx="8">
                  <c:v>170</c:v>
                </c:pt>
                <c:pt idx="9">
                  <c:v>145</c:v>
                </c:pt>
                <c:pt idx="10">
                  <c:v>121</c:v>
                </c:pt>
                <c:pt idx="11">
                  <c:v>31.6</c:v>
                </c:pt>
                <c:pt idx="12">
                  <c:v>4.12</c:v>
                </c:pt>
                <c:pt idx="13">
                  <c:v>0.267</c:v>
                </c:pt>
                <c:pt idx="14">
                  <c:v>0.00858</c:v>
                </c:pt>
                <c:pt idx="15">
                  <c:v>0.000137</c:v>
                </c:pt>
                <c:pt idx="16">
                  <c:v>1.1e-6</c:v>
                </c:pt>
              </c:numCache>
            </c:numRef>
          </c:yVal>
          <c:smooth val="1"/>
        </c:ser>
        <c:dLbls>
          <c:showLegendKey val="0"/>
          <c:showVal val="0"/>
          <c:showCatName val="0"/>
          <c:showSerName val="0"/>
          <c:showPercent val="0"/>
          <c:showBubbleSize val="0"/>
        </c:dLbls>
        <c:axId val="672892663"/>
        <c:axId val="605705555"/>
      </c:scatterChart>
      <c:valAx>
        <c:axId val="672892663"/>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X(m)</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5705555"/>
        <c:crosses val="autoZero"/>
        <c:crossBetween val="midCat"/>
      </c:valAx>
      <c:valAx>
        <c:axId val="60570555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ltLang="zh-CN"/>
                  <a:t>C(mg/L)</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72892663"/>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18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solidFill>
          <a:schemeClr val="phClr"/>
        </a:solid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240</Pages>
  <Words>3645</Words>
  <Characters>4029</Characters>
  <Lines>579</Lines>
  <Paragraphs>429</Paragraphs>
  <TotalTime>27</TotalTime>
  <ScaleCrop>false</ScaleCrop>
  <LinksUpToDate>false</LinksUpToDate>
  <CharactersWithSpaces>4150</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2019-04-21T09:21:00Z</dcterms:created>
  <dc:creator>chen man</dc:creator>
  <cp:lastModifiedBy>20314</cp:lastModifiedBy>
  <dcterms:modified xsi:type="dcterms:W3CDTF">2025-09-08T10:16:34Z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8253783E459A404FBBCD71D5CF279DA7_13</vt:lpwstr>
  </property>
  <property fmtid="{D5CDD505-2E9C-101B-9397-08002B2CF9AE}" pid="4" name="KSOTemplateDocerSaveRecord">
    <vt:lpwstr>eyJoZGlkIjoiN2I4YzVlMmUyMjc0YjZhY2E1YmJiMWRiMWI0YzAwNTIiLCJ1c2VySWQiOiIxMDM3NjMxMjY0In0=</vt:lpwstr>
  </property>
</Properties>
</file>